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646BC">
      <w:pPr>
        <w:spacing w:line="800" w:lineRule="exact"/>
        <w:jc w:val="center"/>
        <w:rPr>
          <w:rFonts w:hint="eastAsia" w:asciiTheme="minorEastAsia" w:hAnsiTheme="minorEastAsia" w:eastAsiaTheme="minorEastAsia" w:cstheme="minorEastAsia"/>
          <w:b/>
          <w:color w:val="000000" w:themeColor="text1"/>
          <w:sz w:val="40"/>
          <w:szCs w:val="40"/>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48"/>
          <w:szCs w:val="48"/>
          <w:highlight w:val="none"/>
          <w:lang w:eastAsia="zh-CN"/>
          <w14:textFill>
            <w14:solidFill>
              <w14:schemeClr w14:val="tx1"/>
            </w14:solidFill>
          </w14:textFill>
        </w:rPr>
        <w:t>广东省仁化县全域旅游基础设施建设项目（二期）—丹霞青湖塘村新农村经济带工程勘察设计、施工</w:t>
      </w:r>
      <w:r>
        <w:rPr>
          <w:rFonts w:hint="eastAsia" w:asciiTheme="minorEastAsia" w:hAnsiTheme="minorEastAsia" w:eastAsiaTheme="minorEastAsia" w:cstheme="minorEastAsia"/>
          <w:b/>
          <w:color w:val="000000" w:themeColor="text1"/>
          <w:sz w:val="48"/>
          <w:szCs w:val="48"/>
          <w:highlight w:val="none"/>
          <w:lang w:val="en-US" w:eastAsia="zh-CN"/>
          <w14:textFill>
            <w14:solidFill>
              <w14:schemeClr w14:val="tx1"/>
            </w14:solidFill>
          </w14:textFill>
        </w:rPr>
        <w:t>总承包</w:t>
      </w:r>
    </w:p>
    <w:p w14:paraId="372BE266">
      <w:pPr>
        <w:spacing w:line="360" w:lineRule="auto"/>
        <w:rPr>
          <w:rFonts w:hint="eastAsia" w:asciiTheme="minorEastAsia" w:hAnsiTheme="minorEastAsia" w:eastAsiaTheme="minorEastAsia" w:cstheme="minorEastAsia"/>
          <w:b/>
          <w:color w:val="000000" w:themeColor="text1"/>
          <w:highlight w:val="none"/>
          <w14:textFill>
            <w14:solidFill>
              <w14:schemeClr w14:val="tx1"/>
            </w14:solidFill>
          </w14:textFill>
        </w:rPr>
      </w:pPr>
    </w:p>
    <w:p w14:paraId="491B7975">
      <w:pPr>
        <w:spacing w:line="360" w:lineRule="auto"/>
        <w:rPr>
          <w:rFonts w:hint="eastAsia" w:asciiTheme="minorEastAsia" w:hAnsiTheme="minorEastAsia" w:eastAsiaTheme="minorEastAsia" w:cstheme="minorEastAsia"/>
          <w:b/>
          <w:color w:val="000000" w:themeColor="text1"/>
          <w:highlight w:val="none"/>
          <w14:textFill>
            <w14:solidFill>
              <w14:schemeClr w14:val="tx1"/>
            </w14:solidFill>
          </w14:textFill>
        </w:rPr>
      </w:pPr>
    </w:p>
    <w:p w14:paraId="1E8011C0">
      <w:pPr>
        <w:spacing w:line="360" w:lineRule="auto"/>
        <w:rPr>
          <w:rFonts w:hint="eastAsia" w:asciiTheme="minorEastAsia" w:hAnsiTheme="minorEastAsia" w:eastAsiaTheme="minorEastAsia" w:cstheme="minorEastAsia"/>
          <w:b/>
          <w:color w:val="000000" w:themeColor="text1"/>
          <w:highlight w:val="none"/>
          <w14:textFill>
            <w14:solidFill>
              <w14:schemeClr w14:val="tx1"/>
            </w14:solidFill>
          </w14:textFill>
        </w:rPr>
      </w:pPr>
    </w:p>
    <w:p w14:paraId="7D582DFF">
      <w:pPr>
        <w:pStyle w:val="8"/>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16284F61">
      <w:pPr>
        <w:pStyle w:val="19"/>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4780B1F3">
      <w:pPr>
        <w:pStyle w:val="36"/>
        <w:spacing w:line="360" w:lineRule="auto"/>
        <w:jc w:val="center"/>
        <w:rPr>
          <w:rFonts w:hint="eastAsia" w:asciiTheme="minorEastAsia" w:hAnsiTheme="minorEastAsia" w:eastAsiaTheme="minorEastAsia" w:cstheme="minorEastAsia"/>
          <w:b/>
          <w:bCs/>
          <w:color w:val="000000" w:themeColor="text1"/>
          <w:spacing w:val="26"/>
          <w:sz w:val="84"/>
          <w:szCs w:val="8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26"/>
          <w:sz w:val="84"/>
          <w:szCs w:val="84"/>
          <w:highlight w:val="none"/>
          <w14:textFill>
            <w14:solidFill>
              <w14:schemeClr w14:val="tx1"/>
            </w14:solidFill>
          </w14:textFill>
        </w:rPr>
        <w:t>招标文件</w:t>
      </w:r>
    </w:p>
    <w:p w14:paraId="584A1C28">
      <w:pPr>
        <w:spacing w:line="360" w:lineRule="auto"/>
        <w:ind w:left="240" w:leftChars="100"/>
        <w:jc w:val="center"/>
        <w:rPr>
          <w:rFonts w:hint="eastAsia" w:asciiTheme="minorEastAsia" w:hAnsiTheme="minorEastAsia" w:eastAsiaTheme="minorEastAsia" w:cstheme="minorEastAsia"/>
          <w:b/>
          <w:color w:val="000000" w:themeColor="text1"/>
          <w:sz w:val="32"/>
          <w:szCs w:val="32"/>
          <w:highlight w:val="none"/>
          <w14:textFill>
            <w14:solidFill>
              <w14:schemeClr w14:val="tx1"/>
            </w14:solidFill>
          </w14:textFill>
        </w:rPr>
      </w:pPr>
    </w:p>
    <w:tbl>
      <w:tblPr>
        <w:tblStyle w:val="21"/>
        <w:tblpPr w:leftFromText="180" w:rightFromText="180" w:vertAnchor="text" w:horzAnchor="page" w:tblpX="1372" w:tblpY="753"/>
        <w:tblW w:w="9799" w:type="dxa"/>
        <w:tblInd w:w="0" w:type="dxa"/>
        <w:tblLayout w:type="fixed"/>
        <w:tblCellMar>
          <w:top w:w="0" w:type="dxa"/>
          <w:left w:w="0" w:type="dxa"/>
          <w:bottom w:w="0" w:type="dxa"/>
          <w:right w:w="0" w:type="dxa"/>
        </w:tblCellMar>
      </w:tblPr>
      <w:tblGrid>
        <w:gridCol w:w="4671"/>
        <w:gridCol w:w="5128"/>
      </w:tblGrid>
      <w:tr w14:paraId="1528C84C">
        <w:tblPrEx>
          <w:tblCellMar>
            <w:top w:w="0" w:type="dxa"/>
            <w:left w:w="0" w:type="dxa"/>
            <w:bottom w:w="0" w:type="dxa"/>
            <w:right w:w="0" w:type="dxa"/>
          </w:tblCellMar>
        </w:tblPrEx>
        <w:trPr>
          <w:trHeight w:val="935" w:hRule="atLeast"/>
        </w:trPr>
        <w:tc>
          <w:tcPr>
            <w:tcW w:w="4671" w:type="dxa"/>
            <w:noWrap/>
            <w:vAlign w:val="center"/>
          </w:tcPr>
          <w:p w14:paraId="5A4A7A02">
            <w:pPr>
              <w:pStyle w:val="37"/>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   标   人（盖单位章）：</w:t>
            </w:r>
          </w:p>
        </w:tc>
        <w:tc>
          <w:tcPr>
            <w:tcW w:w="5128" w:type="dxa"/>
            <w:noWrap/>
            <w:vAlign w:val="center"/>
          </w:tcPr>
          <w:p w14:paraId="43941704">
            <w:pPr>
              <w:pStyle w:val="37"/>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t>仁化县融鑫文化旅游投资有限公司</w:t>
            </w:r>
          </w:p>
        </w:tc>
      </w:tr>
      <w:tr w14:paraId="227807CE">
        <w:tblPrEx>
          <w:tblCellMar>
            <w:top w:w="0" w:type="dxa"/>
            <w:left w:w="0" w:type="dxa"/>
            <w:bottom w:w="0" w:type="dxa"/>
            <w:right w:w="0" w:type="dxa"/>
          </w:tblCellMar>
        </w:tblPrEx>
        <w:trPr>
          <w:trHeight w:val="1059" w:hRule="atLeast"/>
        </w:trPr>
        <w:tc>
          <w:tcPr>
            <w:tcW w:w="4671" w:type="dxa"/>
            <w:noWrap/>
            <w:vAlign w:val="center"/>
          </w:tcPr>
          <w:p w14:paraId="24C6A423">
            <w:pPr>
              <w:pStyle w:val="37"/>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招标人工作领导小组负责人（签字）：</w:t>
            </w:r>
          </w:p>
        </w:tc>
        <w:tc>
          <w:tcPr>
            <w:tcW w:w="5128" w:type="dxa"/>
            <w:noWrap/>
            <w:vAlign w:val="center"/>
          </w:tcPr>
          <w:p w14:paraId="321EF2C7">
            <w:pPr>
              <w:pStyle w:val="37"/>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p>
        </w:tc>
      </w:tr>
      <w:tr w14:paraId="554BBDBB">
        <w:tblPrEx>
          <w:tblCellMar>
            <w:top w:w="0" w:type="dxa"/>
            <w:left w:w="0" w:type="dxa"/>
            <w:bottom w:w="0" w:type="dxa"/>
            <w:right w:w="0" w:type="dxa"/>
          </w:tblCellMar>
        </w:tblPrEx>
        <w:trPr>
          <w:trHeight w:val="1031" w:hRule="atLeast"/>
        </w:trPr>
        <w:tc>
          <w:tcPr>
            <w:tcW w:w="4671" w:type="dxa"/>
            <w:noWrap/>
            <w:vAlign w:val="center"/>
          </w:tcPr>
          <w:p w14:paraId="1FB24DC0">
            <w:pPr>
              <w:pStyle w:val="37"/>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 标 代 理 机 构 （盖章）：</w:t>
            </w:r>
          </w:p>
        </w:tc>
        <w:tc>
          <w:tcPr>
            <w:tcW w:w="5128" w:type="dxa"/>
            <w:noWrap/>
            <w:vAlign w:val="center"/>
          </w:tcPr>
          <w:p w14:paraId="01B58229">
            <w:pPr>
              <w:pStyle w:val="37"/>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8"/>
                <w:szCs w:val="28"/>
                <w:highlight w:val="none"/>
                <w:lang w:eastAsia="zh-CN"/>
                <w14:textFill>
                  <w14:solidFill>
                    <w14:schemeClr w14:val="tx1"/>
                  </w14:solidFill>
                </w14:textFill>
              </w:rPr>
              <w:t>韶关市城监项目管理有限公司</w:t>
            </w:r>
          </w:p>
        </w:tc>
      </w:tr>
      <w:tr w14:paraId="2BFDF3E4">
        <w:tblPrEx>
          <w:tblCellMar>
            <w:top w:w="0" w:type="dxa"/>
            <w:left w:w="0" w:type="dxa"/>
            <w:bottom w:w="0" w:type="dxa"/>
            <w:right w:w="0" w:type="dxa"/>
          </w:tblCellMar>
        </w:tblPrEx>
        <w:trPr>
          <w:trHeight w:val="809" w:hRule="atLeast"/>
        </w:trPr>
        <w:tc>
          <w:tcPr>
            <w:tcW w:w="4671" w:type="dxa"/>
            <w:noWrap/>
            <w:vAlign w:val="center"/>
          </w:tcPr>
          <w:p w14:paraId="65101364">
            <w:pPr>
              <w:pStyle w:val="37"/>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招标文件编制人（签字）：</w:t>
            </w:r>
          </w:p>
        </w:tc>
        <w:tc>
          <w:tcPr>
            <w:tcW w:w="5128" w:type="dxa"/>
            <w:noWrap/>
            <w:vAlign w:val="center"/>
          </w:tcPr>
          <w:p w14:paraId="18AAEBD4">
            <w:pPr>
              <w:pStyle w:val="37"/>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drawing>
                <wp:inline distT="0" distB="0" distL="114300" distR="114300">
                  <wp:extent cx="567055" cy="361315"/>
                  <wp:effectExtent l="0" t="0" r="0" b="635"/>
                  <wp:docPr id="5" name="图片 5" descr="骆乐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骆乐签名"/>
                          <pic:cNvPicPr>
                            <a:picLocks noChangeAspect="1"/>
                          </pic:cNvPicPr>
                        </pic:nvPicPr>
                        <pic:blipFill>
                          <a:blip r:embed="rId11"/>
                          <a:stretch>
                            <a:fillRect/>
                          </a:stretch>
                        </pic:blipFill>
                        <pic:spPr>
                          <a:xfrm>
                            <a:off x="0" y="0"/>
                            <a:ext cx="567055" cy="361315"/>
                          </a:xfrm>
                          <a:prstGeom prst="rect">
                            <a:avLst/>
                          </a:prstGeom>
                        </pic:spPr>
                      </pic:pic>
                    </a:graphicData>
                  </a:graphic>
                </wp:inline>
              </w:drawing>
            </w:r>
          </w:p>
        </w:tc>
      </w:tr>
      <w:tr w14:paraId="2F0F3FF4">
        <w:tblPrEx>
          <w:tblCellMar>
            <w:top w:w="0" w:type="dxa"/>
            <w:left w:w="0" w:type="dxa"/>
            <w:bottom w:w="0" w:type="dxa"/>
            <w:right w:w="0" w:type="dxa"/>
          </w:tblCellMar>
        </w:tblPrEx>
        <w:trPr>
          <w:trHeight w:val="863" w:hRule="atLeast"/>
        </w:trPr>
        <w:tc>
          <w:tcPr>
            <w:tcW w:w="4671" w:type="dxa"/>
            <w:noWrap/>
            <w:vAlign w:val="center"/>
          </w:tcPr>
          <w:p w14:paraId="1B395422">
            <w:pPr>
              <w:pStyle w:val="37"/>
              <w:wordWrap w:val="0"/>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招标代理机构项目负责人（签字）：</w:t>
            </w:r>
          </w:p>
        </w:tc>
        <w:tc>
          <w:tcPr>
            <w:tcW w:w="5128" w:type="dxa"/>
            <w:noWrap/>
            <w:vAlign w:val="center"/>
          </w:tcPr>
          <w:p w14:paraId="5972A199">
            <w:pPr>
              <w:pStyle w:val="37"/>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drawing>
                <wp:inline distT="0" distB="0" distL="114300" distR="114300">
                  <wp:extent cx="1143000" cy="494030"/>
                  <wp:effectExtent l="0" t="0" r="0" b="1270"/>
                  <wp:docPr id="6" name="图片 6" descr="饶家豪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饶家豪签名"/>
                          <pic:cNvPicPr>
                            <a:picLocks noChangeAspect="1"/>
                          </pic:cNvPicPr>
                        </pic:nvPicPr>
                        <pic:blipFill>
                          <a:blip r:embed="rId12"/>
                          <a:stretch>
                            <a:fillRect/>
                          </a:stretch>
                        </pic:blipFill>
                        <pic:spPr>
                          <a:xfrm>
                            <a:off x="0" y="0"/>
                            <a:ext cx="1143000" cy="494030"/>
                          </a:xfrm>
                          <a:prstGeom prst="rect">
                            <a:avLst/>
                          </a:prstGeom>
                        </pic:spPr>
                      </pic:pic>
                    </a:graphicData>
                  </a:graphic>
                </wp:inline>
              </w:drawing>
            </w:r>
          </w:p>
        </w:tc>
      </w:tr>
      <w:tr w14:paraId="3220C8AE">
        <w:tblPrEx>
          <w:tblCellMar>
            <w:top w:w="0" w:type="dxa"/>
            <w:left w:w="0" w:type="dxa"/>
            <w:bottom w:w="0" w:type="dxa"/>
            <w:right w:w="0" w:type="dxa"/>
          </w:tblCellMar>
        </w:tblPrEx>
        <w:trPr>
          <w:trHeight w:val="1047" w:hRule="atLeast"/>
        </w:trPr>
        <w:tc>
          <w:tcPr>
            <w:tcW w:w="4671" w:type="dxa"/>
            <w:noWrap/>
            <w:vAlign w:val="center"/>
          </w:tcPr>
          <w:p w14:paraId="363AD005">
            <w:pPr>
              <w:pStyle w:val="37"/>
              <w:wordWrap w:val="0"/>
              <w:jc w:val="distribute"/>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招标文件编制日期：</w:t>
            </w:r>
          </w:p>
        </w:tc>
        <w:tc>
          <w:tcPr>
            <w:tcW w:w="5128" w:type="dxa"/>
            <w:noWrap/>
            <w:vAlign w:val="center"/>
          </w:tcPr>
          <w:p w14:paraId="71D0DC53">
            <w:pPr>
              <w:pStyle w:val="37"/>
              <w:rPr>
                <w:rFonts w:hint="eastAsia" w:asciiTheme="minorEastAsia" w:hAnsiTheme="minorEastAsia" w:eastAsiaTheme="minorEastAsia" w:cstheme="minorEastAsia"/>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8"/>
                <w:highlight w:val="none"/>
                <w14:textFill>
                  <w14:solidFill>
                    <w14:schemeClr w14:val="tx1"/>
                  </w14:solidFill>
                </w14:textFill>
              </w:rPr>
              <w:t>202</w:t>
            </w:r>
            <w:r>
              <w:rPr>
                <w:rFonts w:hint="eastAsia" w:asciiTheme="minorEastAsia" w:hAnsiTheme="minorEastAsia" w:eastAsiaTheme="minorEastAsia" w:cstheme="minorEastAsia"/>
                <w:color w:val="000000" w:themeColor="text1"/>
                <w:sz w:val="28"/>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8"/>
                <w:highlight w:val="none"/>
                <w14:textFill>
                  <w14:solidFill>
                    <w14:schemeClr w14:val="tx1"/>
                  </w14:solidFill>
                </w14:textFill>
              </w:rPr>
              <w:t>年</w:t>
            </w:r>
            <w:r>
              <w:rPr>
                <w:rFonts w:hint="eastAsia" w:asciiTheme="minorEastAsia" w:hAnsiTheme="minorEastAsia" w:eastAsiaTheme="minorEastAsia" w:cstheme="minorEastAsia"/>
                <w:color w:val="000000" w:themeColor="text1"/>
                <w:sz w:val="28"/>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8"/>
                <w:highlight w:val="none"/>
                <w14:textFill>
                  <w14:solidFill>
                    <w14:schemeClr w14:val="tx1"/>
                  </w14:solidFill>
                </w14:textFill>
              </w:rPr>
              <w:t>月</w:t>
            </w:r>
          </w:p>
        </w:tc>
      </w:tr>
    </w:tbl>
    <w:p w14:paraId="402D7797">
      <w:pPr>
        <w:outlineLvl w:val="9"/>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1ABA971C">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18CC84CD">
      <w:pPr>
        <w:pStyle w:val="8"/>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08B1A273">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sectPr>
          <w:footerReference r:id="rId3" w:type="default"/>
          <w:endnotePr>
            <w:numFmt w:val="decimal"/>
          </w:endnotePr>
          <w:pgSz w:w="11906" w:h="16838"/>
          <w:pgMar w:top="1440" w:right="1463" w:bottom="1440" w:left="1463" w:header="851" w:footer="992" w:gutter="0"/>
          <w:pgNumType w:start="1"/>
          <w:cols w:space="720" w:num="1"/>
          <w:docGrid w:type="lines" w:linePitch="312" w:charSpace="0"/>
        </w:sectPr>
      </w:pPr>
    </w:p>
    <w:p w14:paraId="6DF9B08C">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48D35D93">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0A1B9732">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743739B">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5248EBD7">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0AD838A2">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714E94C4">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4F54B98A">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1B6F4462">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C7C5C77">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48A58102">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44207426">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4328C888">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75A009B4">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261B7B28">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70B07DEC">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7478C51A">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7834CE7A">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D619D7E">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20FFD412">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4C74AE0">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51B6D913">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2F914B0F">
      <w:pPr>
        <w:pStyle w:val="38"/>
        <w:tabs>
          <w:tab w:val="left" w:pos="4935"/>
        </w:tabs>
        <w:jc w:val="cente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目    录</w:t>
      </w:r>
    </w:p>
    <w:p w14:paraId="092B206D">
      <w:pPr>
        <w:pStyle w:val="15"/>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TOC \o "1-3" \f \h \u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_Toc15981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44"/>
          <w:szCs w:val="36"/>
          <w:highlight w:val="none"/>
          <w14:textFill>
            <w14:solidFill>
              <w14:schemeClr w14:val="tx1"/>
            </w14:solidFill>
          </w14:textFill>
        </w:rPr>
        <w:t>第一章投标须知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_Toc15981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FB5B2A0">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_Toc7549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第一节.投标须知前附表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_Toc7549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354DE3C">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_Toc28775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szCs w:val="24"/>
          <w:highlight w:val="none"/>
          <w14:textFill>
            <w14:solidFill>
              <w14:schemeClr w14:val="tx1"/>
            </w14:solidFill>
          </w14:textFill>
        </w:rPr>
        <w:t>第二节.重要事项时间地点一览表.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_Toc28775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8060B20">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_Toc16648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szCs w:val="24"/>
          <w:highlight w:val="none"/>
          <w14:textFill>
            <w14:solidFill>
              <w14:schemeClr w14:val="tx1"/>
            </w14:solidFill>
          </w14:textFill>
        </w:rPr>
        <w:t>第三节 投标须知正文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_Toc16648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445B29C">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_Toc26102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1、 工程概况综合说明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_Toc26102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19C913E">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_Toc6635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2 、招标范围</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_Toc6635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4D70D422">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_Toc8255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4 、投标人资质及条件要求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_Toc8255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E3F3CE8">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_Toc18273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5 、工程招标内容及要求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_Toc18273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D832A02">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_Toc398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6 、招标工程施工条件及现场踏勘</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A0C78B6">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_Toc27260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7 、其他招标说明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_Toc27260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4CCC35C">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_Toc14019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8 、招标答疑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_Toc14019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AEFEB3F">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_Toc5224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9 、投标报价的编制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_Toc5224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297B5EE">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_Toc27901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10、 最高</w:t>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投标</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限价的确定</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_Toc27901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A49770A">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_Toc9185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11</w:t>
      </w:r>
      <w:r>
        <w:rPr>
          <w:rFonts w:hint="eastAsia" w:asciiTheme="minorEastAsia" w:hAnsiTheme="minorEastAsia" w:eastAsiaTheme="minorEastAsia" w:cstheme="minorEastAsia"/>
          <w:color w:val="000000" w:themeColor="text1"/>
          <w:szCs w:val="22"/>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投标</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文件的编制要求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_Toc9185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24</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95FB5E4">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_Toc15798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12、 投标有效期及对投标人的其他要求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_Toc15798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869712E">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_Toc29545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13</w:t>
      </w:r>
      <w:r>
        <w:rPr>
          <w:rFonts w:hint="eastAsia" w:asciiTheme="minorEastAsia" w:hAnsiTheme="minorEastAsia" w:eastAsiaTheme="minorEastAsia" w:cstheme="minorEastAsia"/>
          <w:color w:val="000000" w:themeColor="text1"/>
          <w:kern w:val="2"/>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开标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_Toc29545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B3BF463">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_Toc19630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14</w:t>
      </w:r>
      <w:r>
        <w:rPr>
          <w:rFonts w:hint="eastAsia" w:asciiTheme="minorEastAsia" w:hAnsiTheme="minorEastAsia" w:eastAsiaTheme="minorEastAsia" w:cstheme="minorEastAsia"/>
          <w:color w:val="000000" w:themeColor="text1"/>
          <w:kern w:val="2"/>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评标的方法和标准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_Toc19630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0AF4B30">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_Toc1522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15</w:t>
      </w:r>
      <w:r>
        <w:rPr>
          <w:rFonts w:hint="eastAsia" w:asciiTheme="minorEastAsia" w:hAnsiTheme="minorEastAsia" w:eastAsiaTheme="minorEastAsia" w:cstheme="minorEastAsia"/>
          <w:color w:val="000000" w:themeColor="text1"/>
          <w:kern w:val="2"/>
          <w:highlight w:val="none"/>
          <w:lang w:val="en-US" w:eastAsia="zh-CN"/>
          <w14:textFill>
            <w14:solidFill>
              <w14:schemeClr w14:val="tx1"/>
            </w14:solidFill>
          </w14:textFill>
        </w:rPr>
        <w:t>、</w:t>
      </w:r>
      <w:r>
        <w:rPr>
          <w:rFonts w:hint="eastAsia" w:ascii="宋体" w:hAnsi="宋体" w:eastAsia="宋体" w:cs="宋体"/>
          <w:bCs/>
          <w:snapToGrid w:val="0"/>
          <w:color w:val="000000" w:themeColor="text1"/>
          <w:spacing w:val="0"/>
          <w:kern w:val="0"/>
          <w:szCs w:val="24"/>
          <w:highlight w:val="none"/>
          <w:lang w:eastAsia="zh-CN"/>
          <w14:textFill>
            <w14:solidFill>
              <w14:schemeClr w14:val="tx1"/>
            </w14:solidFill>
          </w14:textFill>
        </w:rPr>
        <w:t>评标结果公示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04368B53">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_Toc11870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第四节 否决投标条件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_Toc11870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F503615">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_Toc3613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1．资格评审环节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_Toc3613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E80D1C0">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_Toc8904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2．形式评审环节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_Toc8904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5D20240">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_Toc19523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3．响应性评审环节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_Toc19523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FB78B55">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_Toc20433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4．其他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_Toc20433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D247C0D">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_Toc25049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宋体" w:hAnsi="宋体" w:eastAsia="宋体" w:cs="宋体"/>
          <w:bCs/>
          <w:snapToGrid/>
          <w:color w:val="000000" w:themeColor="text1"/>
          <w:kern w:val="2"/>
          <w:szCs w:val="24"/>
          <w:highlight w:val="none"/>
          <w:lang w:eastAsia="zh-CN"/>
          <w14:textFill>
            <w14:solidFill>
              <w14:schemeClr w14:val="tx1"/>
            </w14:solidFill>
          </w14:textFill>
        </w:rPr>
        <w:t>第</w:t>
      </w:r>
      <w:r>
        <w:rPr>
          <w:rFonts w:hint="eastAsia" w:ascii="宋体" w:hAnsi="宋体" w:eastAsia="宋体" w:cs="宋体"/>
          <w:bCs/>
          <w:snapToGrid/>
          <w:color w:val="000000" w:themeColor="text1"/>
          <w:kern w:val="2"/>
          <w:szCs w:val="24"/>
          <w:highlight w:val="none"/>
          <w:lang w:val="en-US" w:eastAsia="zh-CN"/>
          <w14:textFill>
            <w14:solidFill>
              <w14:schemeClr w14:val="tx1"/>
            </w14:solidFill>
          </w14:textFill>
        </w:rPr>
        <w:t>五</w:t>
      </w:r>
      <w:r>
        <w:rPr>
          <w:rFonts w:hint="eastAsia" w:ascii="宋体" w:hAnsi="宋体" w:eastAsia="宋体" w:cs="宋体"/>
          <w:bCs/>
          <w:snapToGrid/>
          <w:color w:val="000000" w:themeColor="text1"/>
          <w:kern w:val="2"/>
          <w:szCs w:val="24"/>
          <w:highlight w:val="none"/>
          <w:lang w:eastAsia="zh-CN"/>
          <w14:textFill>
            <w14:solidFill>
              <w14:schemeClr w14:val="tx1"/>
            </w14:solidFill>
          </w14:textFill>
        </w:rPr>
        <w:t>节 定标规定</w:t>
      </w:r>
      <w:r>
        <w:rPr>
          <w:rFonts w:hint="eastAsia" w:ascii="宋体" w:hAnsi="宋体" w:eastAsia="宋体" w:cs="宋体"/>
          <w:bCs/>
          <w:snapToGrid/>
          <w:color w:val="000000" w:themeColor="text1"/>
          <w:kern w:val="2"/>
          <w:szCs w:val="24"/>
          <w:highlight w:val="none"/>
          <w:lang w:val="en-US" w:eastAsia="zh-CN"/>
          <w14:textFill>
            <w14:solidFill>
              <w14:schemeClr w14:val="tx1"/>
            </w14:solidFill>
          </w14:textFill>
        </w:rPr>
        <w:t>及细则（本项目采用票决数量法定标）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_Toc25049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ECC43B3">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_Toc16282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宋体" w:hAnsi="宋体" w:eastAsia="宋体" w:cs="宋体"/>
          <w:bCs/>
          <w:snapToGrid/>
          <w:color w:val="000000" w:themeColor="text1"/>
          <w:kern w:val="2"/>
          <w:szCs w:val="24"/>
          <w:highlight w:val="none"/>
          <w:lang w:eastAsia="zh-CN"/>
          <w14:textFill>
            <w14:solidFill>
              <w14:schemeClr w14:val="tx1"/>
            </w14:solidFill>
          </w14:textFill>
        </w:rPr>
        <w:t>第</w:t>
      </w:r>
      <w:r>
        <w:rPr>
          <w:rFonts w:hint="eastAsia" w:ascii="宋体" w:hAnsi="宋体" w:eastAsia="宋体" w:cs="宋体"/>
          <w:bCs/>
          <w:snapToGrid/>
          <w:color w:val="000000" w:themeColor="text1"/>
          <w:kern w:val="2"/>
          <w:szCs w:val="24"/>
          <w:highlight w:val="none"/>
          <w:lang w:val="en-US" w:eastAsia="zh-CN"/>
          <w14:textFill>
            <w14:solidFill>
              <w14:schemeClr w14:val="tx1"/>
            </w14:solidFill>
          </w14:textFill>
        </w:rPr>
        <w:t>六</w:t>
      </w:r>
      <w:r>
        <w:rPr>
          <w:rFonts w:hint="eastAsia" w:ascii="宋体" w:hAnsi="宋体" w:eastAsia="宋体" w:cs="宋体"/>
          <w:bCs/>
          <w:snapToGrid/>
          <w:color w:val="000000" w:themeColor="text1"/>
          <w:kern w:val="2"/>
          <w:szCs w:val="24"/>
          <w:highlight w:val="none"/>
          <w:lang w:eastAsia="zh-CN"/>
          <w14:textFill>
            <w14:solidFill>
              <w14:schemeClr w14:val="tx1"/>
            </w14:solidFill>
          </w14:textFill>
        </w:rPr>
        <w:t>节 中标确认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_Toc16282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43</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7D04234">
      <w:pPr>
        <w:pStyle w:val="15"/>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_Toc27896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44"/>
          <w:szCs w:val="36"/>
          <w:highlight w:val="none"/>
          <w14:textFill>
            <w14:solidFill>
              <w14:schemeClr w14:val="tx1"/>
            </w14:solidFill>
          </w14:textFill>
        </w:rPr>
        <w:t>第二章 拟签订合同的主要条款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_Toc27896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45</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D662740">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_Toc19055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highlight w:val="none"/>
          <w14:textFill>
            <w14:solidFill>
              <w14:schemeClr w14:val="tx1"/>
            </w14:solidFill>
          </w14:textFill>
        </w:rPr>
        <w:t>1 工程承包方式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_Toc19055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45</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8FF9A35">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_Toc5382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highlight w:val="none"/>
          <w14:textFill>
            <w14:solidFill>
              <w14:schemeClr w14:val="tx1"/>
            </w14:solidFill>
          </w14:textFill>
        </w:rPr>
        <w:t>2 施工图工程量清单预算的编制原则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_Toc5382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45</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2ADF2CE">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_Toc4412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szCs w:val="24"/>
          <w:highlight w:val="none"/>
          <w14:textFill>
            <w14:solidFill>
              <w14:schemeClr w14:val="tx1"/>
            </w14:solidFill>
          </w14:textFill>
        </w:rPr>
        <w:t>3 工程结算原则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_Toc4412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46</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C97DA2B">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_Toc14810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2"/>
          <w:szCs w:val="24"/>
          <w:highlight w:val="none"/>
          <w14:textFill>
            <w14:solidFill>
              <w14:schemeClr w14:val="tx1"/>
            </w14:solidFill>
          </w14:textFill>
        </w:rPr>
        <w:t>4 工程付款办法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_Toc14810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426C5E2">
      <w:pPr>
        <w:pStyle w:val="15"/>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_Toc5296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44"/>
          <w:szCs w:val="36"/>
          <w:highlight w:val="none"/>
          <w14:textFill>
            <w14:solidFill>
              <w14:schemeClr w14:val="tx1"/>
            </w14:solidFill>
          </w14:textFill>
        </w:rPr>
        <w:t>第三章 中标人须知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_Toc5296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72</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768B675B">
      <w:pPr>
        <w:pStyle w:val="15"/>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_Toc16593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44"/>
          <w:szCs w:val="36"/>
          <w:highlight w:val="none"/>
          <w14:textFill>
            <w14:solidFill>
              <w14:schemeClr w14:val="tx1"/>
            </w14:solidFill>
          </w14:textFill>
        </w:rPr>
        <w:t>第四章 投标人提交的其他材料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_Toc16593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78</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03342F0">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_Toc5747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1</w:t>
      </w:r>
      <w:r>
        <w:rPr>
          <w:rFonts w:hint="eastAsia" w:asciiTheme="minorEastAsia" w:hAnsiTheme="minorEastAsia" w:eastAsiaTheme="minorEastAsia" w:cstheme="minorEastAsia"/>
          <w:bCs/>
          <w:color w:val="000000" w:themeColor="text1"/>
          <w:szCs w:val="24"/>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 xml:space="preserve"> 投标保证</w:t>
      </w:r>
      <w:bookmarkStart w:id="681" w:name="_GoBack"/>
      <w:bookmarkEnd w:id="681"/>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_Toc5747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78</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A2F724E">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_Toc6058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2</w:t>
      </w:r>
      <w:r>
        <w:rPr>
          <w:rFonts w:hint="eastAsia" w:asciiTheme="minorEastAsia" w:hAnsiTheme="minorEastAsia" w:eastAsiaTheme="minorEastAsia" w:cstheme="minorEastAsia"/>
          <w:bCs/>
          <w:color w:val="000000" w:themeColor="text1"/>
          <w:szCs w:val="24"/>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 xml:space="preserve"> 履约保证金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_Toc6058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0018E33">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_Toc7456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3</w:t>
      </w:r>
      <w:r>
        <w:rPr>
          <w:rFonts w:hint="eastAsia" w:asciiTheme="minorEastAsia" w:hAnsiTheme="minorEastAsia" w:eastAsiaTheme="minorEastAsia" w:cstheme="minorEastAsia"/>
          <w:bCs/>
          <w:color w:val="000000" w:themeColor="text1"/>
          <w:szCs w:val="24"/>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质量保证</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_Toc7456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1154ADE">
      <w:pPr>
        <w:pStyle w:val="15"/>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_Toc803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44"/>
          <w:szCs w:val="36"/>
          <w:highlight w:val="none"/>
          <w14:textFill>
            <w14:solidFill>
              <w14:schemeClr w14:val="tx1"/>
            </w14:solidFill>
          </w14:textFill>
        </w:rPr>
        <w:t>第五章 招标工程的技术要求和前期文件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_Toc803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79927A7">
      <w:pPr>
        <w:pStyle w:val="10"/>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_Toc30934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宋体" w:hAnsi="宋体" w:eastAsia="宋体" w:cs="宋体"/>
          <w:snapToGrid w:val="0"/>
          <w:color w:val="000000" w:themeColor="text1"/>
          <w:szCs w:val="24"/>
          <w:highlight w:val="none"/>
          <w:lang w:val="en-US" w:eastAsia="zh-CN"/>
          <w14:textFill>
            <w14:solidFill>
              <w14:schemeClr w14:val="tx1"/>
            </w14:solidFill>
          </w14:textFill>
        </w:rPr>
        <w:t>1．工程勘察标准规范</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_Toc30934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E2733FE">
      <w:pPr>
        <w:pStyle w:val="10"/>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_Toc16309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宋体" w:hAnsi="宋体" w:eastAsia="宋体" w:cs="宋体"/>
          <w:snapToGrid w:val="0"/>
          <w:color w:val="000000" w:themeColor="text1"/>
          <w:szCs w:val="24"/>
          <w:highlight w:val="none"/>
          <w:lang w:val="en-US" w:eastAsia="zh-CN"/>
          <w14:textFill>
            <w14:solidFill>
              <w14:schemeClr w14:val="tx1"/>
            </w14:solidFill>
          </w14:textFill>
        </w:rPr>
        <w:t>2．工程设计标准规范</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_Toc16309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57E5284">
      <w:pPr>
        <w:pStyle w:val="10"/>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_Toc21927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hAnsi="宋体" w:eastAsia="宋体" w:cs="宋体"/>
          <w:bCs w:val="0"/>
          <w:snapToGrid w:val="0"/>
          <w:color w:val="000000" w:themeColor="text1"/>
          <w:kern w:val="0"/>
          <w:szCs w:val="24"/>
          <w:highlight w:val="none"/>
          <w:lang w:val="en-US" w:eastAsia="zh-CN"/>
          <w14:textFill>
            <w14:solidFill>
              <w14:schemeClr w14:val="tx1"/>
            </w14:solidFill>
          </w14:textFill>
        </w:rPr>
        <w:t>3.</w:t>
      </w:r>
      <w:r>
        <w:rPr>
          <w:rFonts w:hint="eastAsia" w:ascii="宋体" w:hAnsi="宋体" w:eastAsia="宋体" w:cs="宋体"/>
          <w:snapToGrid w:val="0"/>
          <w:color w:val="000000" w:themeColor="text1"/>
          <w:szCs w:val="24"/>
          <w:highlight w:val="none"/>
          <w:lang w:val="en-US" w:eastAsia="zh-CN"/>
          <w14:textFill>
            <w14:solidFill>
              <w14:schemeClr w14:val="tx1"/>
            </w14:solidFill>
          </w14:textFill>
        </w:rPr>
        <w:t>市政基础设施工程建设项目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_Toc21927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82</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1C1D2DC">
      <w:pPr>
        <w:pStyle w:val="10"/>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_Toc27860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宋体" w:hAnsi="宋体" w:cs="宋体"/>
          <w:snapToGrid w:val="0"/>
          <w:color w:val="000000" w:themeColor="text1"/>
          <w:szCs w:val="24"/>
          <w:highlight w:val="none"/>
          <w:lang w:val="en-US" w:eastAsia="zh-CN"/>
          <w14:textFill>
            <w14:solidFill>
              <w14:schemeClr w14:val="tx1"/>
            </w14:solidFill>
          </w14:textFill>
        </w:rPr>
        <w:t>4.</w:t>
      </w:r>
      <w:r>
        <w:rPr>
          <w:rFonts w:hint="eastAsia" w:ascii="宋体" w:hAnsi="宋体" w:eastAsia="宋体" w:cs="宋体"/>
          <w:snapToGrid w:val="0"/>
          <w:color w:val="000000" w:themeColor="text1"/>
          <w:szCs w:val="24"/>
          <w:highlight w:val="none"/>
          <w:lang w:val="en-US" w:eastAsia="zh-CN"/>
          <w14:textFill>
            <w14:solidFill>
              <w14:schemeClr w14:val="tx1"/>
            </w14:solidFill>
          </w14:textFill>
        </w:rPr>
        <w:t>备查要求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_Toc27860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83</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FD114A6">
      <w:pPr>
        <w:pStyle w:val="15"/>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_Toc4655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44"/>
          <w:szCs w:val="36"/>
          <w:highlight w:val="none"/>
          <w:lang w:val="en-US" w:eastAsia="zh-CN"/>
          <w14:textFill>
            <w14:solidFill>
              <w14:schemeClr w14:val="tx1"/>
            </w14:solidFill>
          </w14:textFill>
        </w:rPr>
        <w:t xml:space="preserve">第六章  </w:t>
      </w:r>
      <w:r>
        <w:rPr>
          <w:rFonts w:hint="eastAsia" w:asciiTheme="minorEastAsia" w:hAnsiTheme="minorEastAsia" w:eastAsiaTheme="minorEastAsia" w:cstheme="minorEastAsia"/>
          <w:color w:val="000000" w:themeColor="text1"/>
          <w:kern w:val="44"/>
          <w:szCs w:val="36"/>
          <w:highlight w:val="none"/>
          <w14:textFill>
            <w14:solidFill>
              <w14:schemeClr w14:val="tx1"/>
            </w14:solidFill>
          </w14:textFill>
        </w:rPr>
        <w:t>招标文件的附件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_Toc4655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84</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88400D7">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_Toc16296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snapToGrid w:val="0"/>
          <w:color w:val="000000" w:themeColor="text1"/>
          <w:szCs w:val="24"/>
          <w:highlight w:val="none"/>
          <w14:textFill>
            <w14:solidFill>
              <w14:schemeClr w14:val="tx1"/>
            </w14:solidFill>
          </w14:textFill>
        </w:rPr>
        <w:t>格式一 封面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_Toc16296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84</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D2F6BDF">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_Toc1038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格式二 《投标函》及《工程项目总价表》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85</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797EA09">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_Toc8220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格式三 各项</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承诺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_Toc8220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87</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8B97017">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_Toc24868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格式四 授权委托书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_Toc24868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92</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4F64379">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_Toc11174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格式五 法定代表人身份证明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_Toc11174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93</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0350D145">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_Toc31679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格式六 联合体协议书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_Toc31679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94</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B8C0425">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_Toc13130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格式七 投标人基本情况表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_Toc13130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96</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46577AD">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_Toc12567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格式八 项目经理简历表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_Toc12567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97</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DAA7E04">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_Toc13976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格式九 项目经理任职声明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_Toc13976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98</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EF1D035">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_Toc9420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格式十 项目技术负责人简历表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_Toc9420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D515AF9">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_Toc11192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格式十一 项目设计负责人</w:t>
      </w:r>
      <w:r>
        <w:rPr>
          <w:rFonts w:hint="eastAsia" w:asciiTheme="minorEastAsia" w:hAnsiTheme="minorEastAsia" w:eastAsiaTheme="minorEastAsia" w:cstheme="minorEastAsia"/>
          <w:bCs/>
          <w:color w:val="000000" w:themeColor="text1"/>
          <w:szCs w:val="24"/>
          <w:highlight w:val="none"/>
          <w:lang w:val="en-US" w:eastAsia="zh-CN"/>
          <w14:textFill>
            <w14:solidFill>
              <w14:schemeClr w14:val="tx1"/>
            </w14:solidFill>
          </w14:textFill>
        </w:rPr>
        <w:t>/勘察负责人</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_Toc11192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100</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A8714CD">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_Toc31050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snapToGrid w:val="0"/>
          <w:color w:val="000000" w:themeColor="text1"/>
          <w:szCs w:val="24"/>
          <w:highlight w:val="none"/>
          <w14:textFill>
            <w14:solidFill>
              <w14:schemeClr w14:val="tx1"/>
            </w14:solidFill>
          </w14:textFill>
        </w:rPr>
        <w:t>格式十</w:t>
      </w:r>
      <w:r>
        <w:rPr>
          <w:rFonts w:hint="eastAsia" w:asciiTheme="minorEastAsia" w:hAnsiTheme="minorEastAsia" w:eastAsiaTheme="minorEastAsia" w:cstheme="minorEastAsia"/>
          <w:snapToGrid w:val="0"/>
          <w:color w:val="000000" w:themeColor="text1"/>
          <w:szCs w:val="24"/>
          <w:highlight w:val="none"/>
          <w:lang w:val="en-US" w:eastAsia="zh-CN"/>
          <w14:textFill>
            <w14:solidFill>
              <w14:schemeClr w14:val="tx1"/>
            </w14:solidFill>
          </w14:textFill>
        </w:rPr>
        <w:t>二</w:t>
      </w:r>
      <w:r>
        <w:rPr>
          <w:rFonts w:hint="eastAsia" w:asciiTheme="minorEastAsia" w:hAnsiTheme="minorEastAsia" w:eastAsiaTheme="minorEastAsia" w:cstheme="minorEastAsia"/>
          <w:snapToGrid w:val="0"/>
          <w:color w:val="000000" w:themeColor="text1"/>
          <w:szCs w:val="24"/>
          <w:highlight w:val="none"/>
          <w14:textFill>
            <w14:solidFill>
              <w14:schemeClr w14:val="tx1"/>
            </w14:solidFill>
          </w14:textFill>
        </w:rPr>
        <w:t xml:space="preserve"> 项目管理机构组成表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_Toc31050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4B151078">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_Toc9412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格式十</w:t>
      </w:r>
      <w:r>
        <w:rPr>
          <w:rFonts w:hint="eastAsia" w:asciiTheme="minorEastAsia" w:hAnsiTheme="minorEastAsia" w:eastAsiaTheme="minorEastAsia" w:cstheme="minorEastAsia"/>
          <w:bCs/>
          <w:color w:val="000000" w:themeColor="text1"/>
          <w:szCs w:val="24"/>
          <w:highlight w:val="none"/>
          <w:lang w:val="en-US" w:eastAsia="zh-CN"/>
          <w14:textFill>
            <w14:solidFill>
              <w14:schemeClr w14:val="tx1"/>
            </w14:solidFill>
          </w14:textFill>
        </w:rPr>
        <w:t>三</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 xml:space="preserve"> 原件一览表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_Toc9412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102</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2C129007">
      <w:pPr>
        <w:pStyle w:val="18"/>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_Toc29747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imes New Roman" w:hAnsi="宋体" w:eastAsia="宋体" w:cs="Times New Roman"/>
          <w:bCs/>
          <w:snapToGrid w:val="0"/>
          <w:color w:val="000000" w:themeColor="text1"/>
          <w:kern w:val="2"/>
          <w:szCs w:val="21"/>
          <w:highlight w:val="none"/>
          <w:lang w:eastAsia="zh-CN"/>
          <w14:textFill>
            <w14:solidFill>
              <w14:schemeClr w14:val="tx1"/>
            </w14:solidFill>
          </w14:textFill>
        </w:rPr>
        <w:t>格式十</w:t>
      </w:r>
      <w:r>
        <w:rPr>
          <w:rFonts w:hint="eastAsia" w:ascii="Times New Roman" w:hAnsi="宋体" w:cs="Times New Roman"/>
          <w:bCs/>
          <w:snapToGrid w:val="0"/>
          <w:color w:val="000000" w:themeColor="text1"/>
          <w:kern w:val="2"/>
          <w:szCs w:val="21"/>
          <w:highlight w:val="none"/>
          <w:lang w:val="en-US" w:eastAsia="zh-CN"/>
          <w14:textFill>
            <w14:solidFill>
              <w14:schemeClr w14:val="tx1"/>
            </w14:solidFill>
          </w14:textFill>
        </w:rPr>
        <w:t>四</w:t>
      </w:r>
      <w:r>
        <w:rPr>
          <w:rFonts w:hint="eastAsia" w:ascii="Times New Roman" w:hAnsi="宋体" w:eastAsia="宋体" w:cs="Times New Roman"/>
          <w:bCs/>
          <w:snapToGrid w:val="0"/>
          <w:color w:val="000000" w:themeColor="text1"/>
          <w:kern w:val="2"/>
          <w:szCs w:val="21"/>
          <w:highlight w:val="none"/>
          <w:lang w:val="en-US" w:eastAsia="zh-CN"/>
          <w14:textFill>
            <w14:solidFill>
              <w14:schemeClr w14:val="tx1"/>
            </w14:solidFill>
          </w14:textFill>
        </w:rPr>
        <w:t xml:space="preserve"> 定标因素评审资料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_Toc29747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103</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8ADE1E6">
      <w:pPr>
        <w:pStyle w:val="15"/>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_Toc9470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44"/>
          <w:szCs w:val="30"/>
          <w:highlight w:val="none"/>
          <w14:textFill>
            <w14:solidFill>
              <w14:schemeClr w14:val="tx1"/>
            </w14:solidFill>
          </w14:textFill>
        </w:rPr>
        <w:t>第</w:t>
      </w:r>
      <w:r>
        <w:rPr>
          <w:rFonts w:hint="eastAsia" w:asciiTheme="minorEastAsia" w:hAnsiTheme="minorEastAsia" w:eastAsiaTheme="minorEastAsia" w:cstheme="minorEastAsia"/>
          <w:color w:val="000000" w:themeColor="text1"/>
          <w:kern w:val="44"/>
          <w:szCs w:val="30"/>
          <w:highlight w:val="none"/>
          <w:lang w:val="en-US" w:eastAsia="zh-CN"/>
          <w14:textFill>
            <w14:solidFill>
              <w14:schemeClr w14:val="tx1"/>
            </w14:solidFill>
          </w14:textFill>
        </w:rPr>
        <w:t>七</w:t>
      </w:r>
      <w:r>
        <w:rPr>
          <w:rFonts w:hint="eastAsia" w:asciiTheme="minorEastAsia" w:hAnsiTheme="minorEastAsia" w:eastAsiaTheme="minorEastAsia" w:cstheme="minorEastAsia"/>
          <w:color w:val="000000" w:themeColor="text1"/>
          <w:kern w:val="44"/>
          <w:szCs w:val="30"/>
          <w:highlight w:val="none"/>
          <w14:textFill>
            <w14:solidFill>
              <w14:schemeClr w14:val="tx1"/>
            </w14:solidFill>
          </w14:textFill>
        </w:rPr>
        <w:t>章  廉政合同、履约保函、支付保函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_Toc9470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104</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30B22D20">
      <w:pPr>
        <w:pStyle w:val="10"/>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_Toc14151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32"/>
          <w:highlight w:val="none"/>
          <w14:textFill>
            <w14:solidFill>
              <w14:schemeClr w14:val="tx1"/>
            </w14:solidFill>
          </w14:textFill>
        </w:rPr>
        <w:t>廉政合同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_Toc14151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104</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1A2365EB">
      <w:pPr>
        <w:pStyle w:val="10"/>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_Toc19618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32"/>
          <w:highlight w:val="none"/>
          <w14:textFill>
            <w14:solidFill>
              <w14:schemeClr w14:val="tx1"/>
            </w14:solidFill>
          </w14:textFill>
        </w:rPr>
        <w:t>履约保函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_Toc19618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107</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53929455">
      <w:pPr>
        <w:pStyle w:val="10"/>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_Toc14689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bCs/>
          <w:color w:val="000000" w:themeColor="text1"/>
          <w:szCs w:val="32"/>
          <w:highlight w:val="none"/>
          <w14:textFill>
            <w14:solidFill>
              <w14:schemeClr w14:val="tx1"/>
            </w14:solidFill>
          </w14:textFill>
        </w:rPr>
        <w:t>支付保函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_Toc14689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109</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87CFA3E">
      <w:pPr>
        <w:pStyle w:val="15"/>
        <w:tabs>
          <w:tab w:val="right" w:leader="dot" w:pos="8306"/>
        </w:tabs>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instrText xml:space="preserve"> HYPERLINK \l _Toc30822 </w:instrTex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kern w:val="44"/>
          <w:szCs w:val="36"/>
          <w:highlight w:val="none"/>
          <w14:textFill>
            <w14:solidFill>
              <w14:schemeClr w14:val="tx1"/>
            </w14:solidFill>
          </w14:textFill>
        </w:rPr>
        <w:t>第</w:t>
      </w:r>
      <w:r>
        <w:rPr>
          <w:rFonts w:hint="eastAsia" w:asciiTheme="minorEastAsia" w:hAnsiTheme="minorEastAsia" w:eastAsiaTheme="minorEastAsia" w:cstheme="minorEastAsia"/>
          <w:color w:val="000000" w:themeColor="text1"/>
          <w:kern w:val="44"/>
          <w:szCs w:val="36"/>
          <w:highlight w:val="none"/>
          <w:lang w:val="en-US" w:eastAsia="zh-CN"/>
          <w14:textFill>
            <w14:solidFill>
              <w14:schemeClr w14:val="tx1"/>
            </w14:solidFill>
          </w14:textFill>
        </w:rPr>
        <w:t>八</w:t>
      </w:r>
      <w:r>
        <w:rPr>
          <w:rFonts w:hint="eastAsia" w:asciiTheme="minorEastAsia" w:hAnsiTheme="minorEastAsia" w:eastAsiaTheme="minorEastAsia" w:cstheme="minorEastAsia"/>
          <w:color w:val="000000" w:themeColor="text1"/>
          <w:kern w:val="44"/>
          <w:szCs w:val="36"/>
          <w:highlight w:val="none"/>
          <w14:textFill>
            <w14:solidFill>
              <w14:schemeClr w14:val="tx1"/>
            </w14:solidFill>
          </w14:textFill>
        </w:rPr>
        <w:t>章  建设工程合同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_Toc30822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111</w:t>
      </w:r>
      <w:r>
        <w:rPr>
          <w:color w:val="000000" w:themeColor="text1"/>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6307B97C">
      <w:pPr>
        <w:pStyle w:val="38"/>
        <w:tabs>
          <w:tab w:val="left" w:pos="4935"/>
        </w:tabs>
        <w:jc w:val="center"/>
        <w:rPr>
          <w:rFonts w:hint="eastAsia" w:asciiTheme="minorEastAsia" w:hAnsiTheme="minorEastAsia" w:eastAsiaTheme="minorEastAsia" w:cstheme="minorEastAsia"/>
          <w:color w:val="000000" w:themeColor="text1"/>
          <w:szCs w:val="21"/>
          <w:highlight w:val="none"/>
          <w14:textFill>
            <w14:solidFill>
              <w14:schemeClr w14:val="tx1"/>
            </w14:solidFill>
          </w14:textFill>
        </w:rPr>
        <w:sectPr>
          <w:footerReference r:id="rId4" w:type="default"/>
          <w:endnotePr>
            <w:numFmt w:val="decimal"/>
          </w:endnotePr>
          <w:pgSz w:w="11906" w:h="16838"/>
          <w:pgMar w:top="1440" w:right="1800" w:bottom="1440" w:left="1800" w:header="851" w:footer="992" w:gutter="0"/>
          <w:pgNumType w:start="1"/>
          <w:cols w:space="720" w:num="1"/>
          <w:docGrid w:type="lines" w:linePitch="312" w:charSpace="0"/>
        </w:sect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fldChar w:fldCharType="end"/>
      </w:r>
    </w:p>
    <w:p w14:paraId="0A0B2040">
      <w:pPr>
        <w:pStyle w:val="39"/>
        <w:keepNext/>
        <w:keepLines/>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0" w:name="_Toc29892"/>
      <w:bookmarkStart w:id="1" w:name="_Toc15981"/>
      <w:bookmarkStart w:id="2" w:name="_Hlt111690251"/>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第一章投标须知</w:t>
      </w:r>
      <w:bookmarkEnd w:id="0"/>
      <w:bookmarkEnd w:id="1"/>
    </w:p>
    <w:p w14:paraId="538A9106">
      <w:pPr>
        <w:pStyle w:val="40"/>
        <w:keepNext/>
        <w:keepLines/>
        <w:autoSpaceDE/>
        <w:autoSpaceDN/>
        <w:adjustRightInd/>
        <w:spacing w:before="260" w:after="260" w:line="360" w:lineRule="exact"/>
        <w:ind w:left="0" w:leftChars="0" w:firstLine="0" w:firstLineChars="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3" w:name="_Hlt127175444"/>
      <w:bookmarkEnd w:id="3"/>
      <w:bookmarkStart w:id="4" w:name="_Toc7549"/>
      <w:bookmarkStart w:id="5" w:name="_Toc5019"/>
      <w:bookmarkStart w:id="6" w:name="_Hlt120077520"/>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第一节.投标须知前附表</w:t>
      </w:r>
      <w:bookmarkEnd w:id="4"/>
      <w:bookmarkEnd w:id="5"/>
    </w:p>
    <w:tbl>
      <w:tblPr>
        <w:tblStyle w:val="21"/>
        <w:tblW w:w="1019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20"/>
        <w:gridCol w:w="1732"/>
        <w:gridCol w:w="7646"/>
      </w:tblGrid>
      <w:tr w14:paraId="3DBD7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6780CDE9">
            <w:pPr>
              <w:wordWrap w:val="0"/>
              <w:adjustRightInd w:val="0"/>
              <w:snapToGrid w:val="0"/>
              <w:spacing w:line="360" w:lineRule="auto"/>
              <w:ind w:firstLine="211" w:firstLineChars="100"/>
              <w:jc w:val="cente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序号</w:t>
            </w:r>
          </w:p>
        </w:tc>
        <w:tc>
          <w:tcPr>
            <w:tcW w:w="1732" w:type="dxa"/>
            <w:tcBorders>
              <w:top w:val="single" w:color="auto" w:sz="4" w:space="0"/>
              <w:left w:val="single" w:color="auto" w:sz="4" w:space="0"/>
              <w:bottom w:val="single" w:color="auto" w:sz="4" w:space="0"/>
              <w:right w:val="single" w:color="auto" w:sz="4" w:space="0"/>
            </w:tcBorders>
            <w:noWrap/>
            <w:vAlign w:val="center"/>
          </w:tcPr>
          <w:p w14:paraId="49AE4A42">
            <w:pPr>
              <w:wordWrap w:val="0"/>
              <w:adjustRightInd w:val="0"/>
              <w:snapToGrid w:val="0"/>
              <w:spacing w:line="360" w:lineRule="auto"/>
              <w:ind w:firstLine="211" w:firstLineChars="100"/>
              <w:jc w:val="cente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内容</w:t>
            </w:r>
          </w:p>
        </w:tc>
        <w:tc>
          <w:tcPr>
            <w:tcW w:w="7646" w:type="dxa"/>
            <w:tcBorders>
              <w:top w:val="single" w:color="auto" w:sz="4" w:space="0"/>
              <w:left w:val="single" w:color="auto" w:sz="4" w:space="0"/>
              <w:bottom w:val="single" w:color="auto" w:sz="4" w:space="0"/>
              <w:right w:val="single" w:color="auto" w:sz="4" w:space="0"/>
            </w:tcBorders>
            <w:noWrap/>
            <w:vAlign w:val="center"/>
          </w:tcPr>
          <w:p w14:paraId="42F4043B">
            <w:pPr>
              <w:wordWrap w:val="0"/>
              <w:adjustRightInd w:val="0"/>
              <w:snapToGrid w:val="0"/>
              <w:spacing w:line="360" w:lineRule="auto"/>
              <w:ind w:firstLine="211" w:firstLineChars="100"/>
              <w:jc w:val="cente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说明与要求</w:t>
            </w:r>
          </w:p>
        </w:tc>
      </w:tr>
      <w:tr w14:paraId="31F70F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52"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5202EDA9">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w:t>
            </w:r>
          </w:p>
        </w:tc>
        <w:tc>
          <w:tcPr>
            <w:tcW w:w="1732" w:type="dxa"/>
            <w:tcBorders>
              <w:top w:val="single" w:color="auto" w:sz="4" w:space="0"/>
              <w:left w:val="single" w:color="auto" w:sz="4" w:space="0"/>
              <w:bottom w:val="single" w:color="auto" w:sz="4" w:space="0"/>
              <w:right w:val="single" w:color="auto" w:sz="4" w:space="0"/>
            </w:tcBorders>
            <w:noWrap/>
            <w:vAlign w:val="center"/>
          </w:tcPr>
          <w:p w14:paraId="274784CB">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项目</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名称</w:t>
            </w:r>
          </w:p>
        </w:tc>
        <w:tc>
          <w:tcPr>
            <w:tcW w:w="7646" w:type="dxa"/>
            <w:tcBorders>
              <w:top w:val="single" w:color="auto" w:sz="4" w:space="0"/>
              <w:left w:val="single" w:color="auto" w:sz="4" w:space="0"/>
              <w:bottom w:val="single" w:color="auto" w:sz="4" w:space="0"/>
              <w:right w:val="single" w:color="auto" w:sz="4" w:space="0"/>
            </w:tcBorders>
            <w:noWrap/>
            <w:vAlign w:val="center"/>
          </w:tcPr>
          <w:p w14:paraId="555CDF75">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广东省仁化县全域旅游基础设施建设项目（二期）—丹霞青湖塘村新农村经济带工程勘察设计、施工</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总承包</w:t>
            </w:r>
          </w:p>
        </w:tc>
      </w:tr>
      <w:tr w14:paraId="667E27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1212849E">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w:t>
            </w:r>
          </w:p>
        </w:tc>
        <w:tc>
          <w:tcPr>
            <w:tcW w:w="1732" w:type="dxa"/>
            <w:tcBorders>
              <w:top w:val="single" w:color="auto" w:sz="4" w:space="0"/>
              <w:left w:val="single" w:color="auto" w:sz="4" w:space="0"/>
              <w:bottom w:val="single" w:color="auto" w:sz="4" w:space="0"/>
              <w:right w:val="single" w:color="auto" w:sz="4" w:space="0"/>
            </w:tcBorders>
            <w:noWrap/>
            <w:vAlign w:val="center"/>
          </w:tcPr>
          <w:p w14:paraId="2DC1AF30">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项目业主</w:t>
            </w:r>
          </w:p>
        </w:tc>
        <w:tc>
          <w:tcPr>
            <w:tcW w:w="7646" w:type="dxa"/>
            <w:tcBorders>
              <w:top w:val="single" w:color="auto" w:sz="4" w:space="0"/>
              <w:left w:val="single" w:color="auto" w:sz="4" w:space="0"/>
              <w:bottom w:val="single" w:color="auto" w:sz="4" w:space="0"/>
              <w:right w:val="single" w:color="auto" w:sz="4" w:space="0"/>
            </w:tcBorders>
            <w:noWrap/>
            <w:vAlign w:val="center"/>
          </w:tcPr>
          <w:p w14:paraId="28071C5D">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文化广电旅游体育局</w:t>
            </w:r>
          </w:p>
        </w:tc>
      </w:tr>
      <w:tr w14:paraId="1B5E56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64CE3855">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w:t>
            </w:r>
          </w:p>
        </w:tc>
        <w:tc>
          <w:tcPr>
            <w:tcW w:w="1732" w:type="dxa"/>
            <w:tcBorders>
              <w:top w:val="single" w:color="auto" w:sz="4" w:space="0"/>
              <w:left w:val="single" w:color="auto" w:sz="4" w:space="0"/>
              <w:bottom w:val="single" w:color="auto" w:sz="4" w:space="0"/>
              <w:right w:val="single" w:color="auto" w:sz="4" w:space="0"/>
            </w:tcBorders>
            <w:noWrap/>
            <w:vAlign w:val="center"/>
          </w:tcPr>
          <w:p w14:paraId="7DF55BAA">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项目批准部门</w:t>
            </w:r>
          </w:p>
        </w:tc>
        <w:tc>
          <w:tcPr>
            <w:tcW w:w="7646" w:type="dxa"/>
            <w:tcBorders>
              <w:top w:val="single" w:color="auto" w:sz="4" w:space="0"/>
              <w:left w:val="single" w:color="auto" w:sz="4" w:space="0"/>
              <w:bottom w:val="single" w:color="auto" w:sz="4" w:space="0"/>
              <w:right w:val="single" w:color="auto" w:sz="4" w:space="0"/>
            </w:tcBorders>
            <w:noWrap/>
            <w:vAlign w:val="center"/>
          </w:tcPr>
          <w:p w14:paraId="5F2090D9">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仁化</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县</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发展改革和政务数据局</w:t>
            </w:r>
          </w:p>
        </w:tc>
      </w:tr>
      <w:tr w14:paraId="031EF7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624D266A">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w:t>
            </w:r>
          </w:p>
        </w:tc>
        <w:tc>
          <w:tcPr>
            <w:tcW w:w="1732" w:type="dxa"/>
            <w:tcBorders>
              <w:top w:val="single" w:color="auto" w:sz="4" w:space="0"/>
              <w:left w:val="single" w:color="auto" w:sz="4" w:space="0"/>
              <w:bottom w:val="single" w:color="auto" w:sz="4" w:space="0"/>
              <w:right w:val="single" w:color="auto" w:sz="4" w:space="0"/>
            </w:tcBorders>
            <w:noWrap/>
            <w:vAlign w:val="center"/>
          </w:tcPr>
          <w:p w14:paraId="6C46B387">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项目批准文号</w:t>
            </w:r>
          </w:p>
        </w:tc>
        <w:tc>
          <w:tcPr>
            <w:tcW w:w="7646" w:type="dxa"/>
            <w:tcBorders>
              <w:top w:val="single" w:color="auto" w:sz="4" w:space="0"/>
              <w:left w:val="single" w:color="auto" w:sz="4" w:space="0"/>
              <w:bottom w:val="single" w:color="auto" w:sz="4" w:space="0"/>
              <w:right w:val="single" w:color="auto" w:sz="4" w:space="0"/>
            </w:tcBorders>
            <w:noWrap/>
            <w:vAlign w:val="center"/>
          </w:tcPr>
          <w:p w14:paraId="16174243">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仁发改和政数投审〔2025〕76号、仁发改和政数投审〔2026〕24号、仁发改和政数投审〔2026〕33号</w:t>
            </w:r>
          </w:p>
        </w:tc>
      </w:tr>
      <w:tr w14:paraId="6DB8AD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389E08B8">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w:t>
            </w:r>
          </w:p>
        </w:tc>
        <w:tc>
          <w:tcPr>
            <w:tcW w:w="1732" w:type="dxa"/>
            <w:tcBorders>
              <w:top w:val="single" w:color="auto" w:sz="4" w:space="0"/>
              <w:left w:val="single" w:color="auto" w:sz="4" w:space="0"/>
              <w:bottom w:val="single" w:color="auto" w:sz="4" w:space="0"/>
              <w:right w:val="single" w:color="auto" w:sz="4" w:space="0"/>
            </w:tcBorders>
            <w:noWrap/>
            <w:vAlign w:val="center"/>
          </w:tcPr>
          <w:p w14:paraId="09AE85F7">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项目代码</w:t>
            </w:r>
          </w:p>
        </w:tc>
        <w:tc>
          <w:tcPr>
            <w:tcW w:w="7646" w:type="dxa"/>
            <w:tcBorders>
              <w:top w:val="single" w:color="auto" w:sz="4" w:space="0"/>
              <w:left w:val="single" w:color="auto" w:sz="4" w:space="0"/>
              <w:bottom w:val="single" w:color="auto" w:sz="4" w:space="0"/>
              <w:right w:val="single" w:color="auto" w:sz="4" w:space="0"/>
            </w:tcBorders>
            <w:noWrap/>
            <w:vAlign w:val="center"/>
          </w:tcPr>
          <w:p w14:paraId="7732AE4D">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2508-440224-04-01-996668</w:t>
            </w:r>
          </w:p>
        </w:tc>
      </w:tr>
      <w:tr w14:paraId="7CB769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52"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2C6D0B39">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w:t>
            </w:r>
          </w:p>
        </w:tc>
        <w:tc>
          <w:tcPr>
            <w:tcW w:w="1732" w:type="dxa"/>
            <w:tcBorders>
              <w:top w:val="single" w:color="auto" w:sz="4" w:space="0"/>
              <w:left w:val="single" w:color="auto" w:sz="4" w:space="0"/>
              <w:bottom w:val="single" w:color="auto" w:sz="4" w:space="0"/>
              <w:right w:val="single" w:color="auto" w:sz="4" w:space="0"/>
            </w:tcBorders>
            <w:noWrap/>
            <w:vAlign w:val="center"/>
          </w:tcPr>
          <w:p w14:paraId="3DD3F795">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资金来源</w:t>
            </w:r>
          </w:p>
          <w:p w14:paraId="7533B92D">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及出资比例</w:t>
            </w:r>
          </w:p>
        </w:tc>
        <w:tc>
          <w:tcPr>
            <w:tcW w:w="7646" w:type="dxa"/>
            <w:tcBorders>
              <w:top w:val="single" w:color="auto" w:sz="4" w:space="0"/>
              <w:left w:val="single" w:color="auto" w:sz="4" w:space="0"/>
              <w:bottom w:val="single" w:color="auto" w:sz="4" w:space="0"/>
              <w:right w:val="single" w:color="auto" w:sz="4" w:space="0"/>
            </w:tcBorders>
            <w:noWrap/>
            <w:vAlign w:val="center"/>
          </w:tcPr>
          <w:p w14:paraId="75701D46">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上级资金和县级财政资金安排解决，100%</w:t>
            </w:r>
          </w:p>
        </w:tc>
      </w:tr>
      <w:tr w14:paraId="2FE462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63C10519">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w:t>
            </w:r>
          </w:p>
        </w:tc>
        <w:tc>
          <w:tcPr>
            <w:tcW w:w="1732" w:type="dxa"/>
            <w:tcBorders>
              <w:top w:val="single" w:color="auto" w:sz="4" w:space="0"/>
              <w:left w:val="single" w:color="auto" w:sz="4" w:space="0"/>
              <w:bottom w:val="single" w:color="auto" w:sz="4" w:space="0"/>
              <w:right w:val="single" w:color="auto" w:sz="4" w:space="0"/>
            </w:tcBorders>
            <w:noWrap/>
            <w:vAlign w:val="center"/>
          </w:tcPr>
          <w:p w14:paraId="30F2C763">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招标人</w:t>
            </w:r>
          </w:p>
        </w:tc>
        <w:tc>
          <w:tcPr>
            <w:tcW w:w="7646" w:type="dxa"/>
            <w:tcBorders>
              <w:top w:val="single" w:color="auto" w:sz="4" w:space="0"/>
              <w:left w:val="single" w:color="auto" w:sz="4" w:space="0"/>
              <w:bottom w:val="single" w:color="auto" w:sz="4" w:space="0"/>
              <w:right w:val="single" w:color="auto" w:sz="4" w:space="0"/>
            </w:tcBorders>
            <w:noWrap/>
            <w:vAlign w:val="center"/>
          </w:tcPr>
          <w:p w14:paraId="7D027C52">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仁化县融鑫文化旅游投资有限公司</w:t>
            </w:r>
          </w:p>
        </w:tc>
      </w:tr>
      <w:tr w14:paraId="341DB3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60EF99DD">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8</w:t>
            </w:r>
          </w:p>
        </w:tc>
        <w:tc>
          <w:tcPr>
            <w:tcW w:w="1732" w:type="dxa"/>
            <w:tcBorders>
              <w:top w:val="single" w:color="auto" w:sz="4" w:space="0"/>
              <w:left w:val="single" w:color="auto" w:sz="4" w:space="0"/>
              <w:bottom w:val="single" w:color="auto" w:sz="4" w:space="0"/>
              <w:right w:val="single" w:color="auto" w:sz="4" w:space="0"/>
            </w:tcBorders>
            <w:noWrap/>
            <w:vAlign w:val="center"/>
          </w:tcPr>
          <w:p w14:paraId="63B486E7">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招标代理机构</w:t>
            </w:r>
          </w:p>
        </w:tc>
        <w:tc>
          <w:tcPr>
            <w:tcW w:w="7646" w:type="dxa"/>
            <w:tcBorders>
              <w:top w:val="single" w:color="auto" w:sz="4" w:space="0"/>
              <w:left w:val="single" w:color="auto" w:sz="4" w:space="0"/>
              <w:bottom w:val="single" w:color="auto" w:sz="4" w:space="0"/>
              <w:right w:val="single" w:color="auto" w:sz="4" w:space="0"/>
            </w:tcBorders>
            <w:noWrap/>
            <w:vAlign w:val="center"/>
          </w:tcPr>
          <w:p w14:paraId="16F133CA">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韶关市城监项目管理有限公司</w:t>
            </w:r>
          </w:p>
        </w:tc>
      </w:tr>
      <w:tr w14:paraId="2BF5AC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52"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7341781E">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9</w:t>
            </w:r>
          </w:p>
        </w:tc>
        <w:tc>
          <w:tcPr>
            <w:tcW w:w="1732" w:type="dxa"/>
            <w:tcBorders>
              <w:top w:val="single" w:color="auto" w:sz="4" w:space="0"/>
              <w:left w:val="single" w:color="auto" w:sz="4" w:space="0"/>
              <w:bottom w:val="single" w:color="auto" w:sz="4" w:space="0"/>
              <w:right w:val="single" w:color="auto" w:sz="4" w:space="0"/>
            </w:tcBorders>
            <w:noWrap/>
            <w:vAlign w:val="center"/>
          </w:tcPr>
          <w:p w14:paraId="3F8C2B89">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项目总投资</w:t>
            </w:r>
          </w:p>
        </w:tc>
        <w:tc>
          <w:tcPr>
            <w:tcW w:w="7646" w:type="dxa"/>
            <w:tcBorders>
              <w:top w:val="single" w:color="auto" w:sz="4" w:space="0"/>
              <w:left w:val="single" w:color="auto" w:sz="4" w:space="0"/>
              <w:bottom w:val="single" w:color="auto" w:sz="4" w:space="0"/>
              <w:right w:val="single" w:color="auto" w:sz="4" w:space="0"/>
            </w:tcBorders>
            <w:noWrap/>
            <w:vAlign w:val="center"/>
          </w:tcPr>
          <w:p w14:paraId="1F31922D">
            <w:pPr>
              <w:wordWrap w:val="0"/>
              <w:adjustRightInd w:val="0"/>
              <w:snapToGrid w:val="0"/>
              <w:spacing w:line="360" w:lineRule="auto"/>
              <w:ind w:firstLine="210" w:firstLineChars="1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项目概算总投资1993.34万元，其中工程费用1800.19万元，工程建设其他费用173.42万元，预备费用19.73万元。</w:t>
            </w:r>
          </w:p>
        </w:tc>
      </w:tr>
      <w:tr w14:paraId="35CAAE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1FF009B5">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10</w:t>
            </w:r>
          </w:p>
        </w:tc>
        <w:tc>
          <w:tcPr>
            <w:tcW w:w="1732" w:type="dxa"/>
            <w:tcBorders>
              <w:top w:val="single" w:color="auto" w:sz="4" w:space="0"/>
              <w:left w:val="single" w:color="auto" w:sz="4" w:space="0"/>
              <w:bottom w:val="single" w:color="auto" w:sz="4" w:space="0"/>
              <w:right w:val="single" w:color="auto" w:sz="4" w:space="0"/>
            </w:tcBorders>
            <w:noWrap/>
            <w:vAlign w:val="center"/>
          </w:tcPr>
          <w:p w14:paraId="2DA831A3">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建设地点</w:t>
            </w:r>
          </w:p>
        </w:tc>
        <w:tc>
          <w:tcPr>
            <w:tcW w:w="7646" w:type="dxa"/>
            <w:tcBorders>
              <w:top w:val="single" w:color="auto" w:sz="4" w:space="0"/>
              <w:left w:val="single" w:color="auto" w:sz="4" w:space="0"/>
              <w:bottom w:val="single" w:color="auto" w:sz="4" w:space="0"/>
              <w:right w:val="single" w:color="auto" w:sz="4" w:space="0"/>
            </w:tcBorders>
            <w:noWrap/>
            <w:vAlign w:val="center"/>
          </w:tcPr>
          <w:p w14:paraId="48010CA5">
            <w:pPr>
              <w:wordWrap w:val="0"/>
              <w:adjustRightInd w:val="0"/>
              <w:snapToGrid w:val="0"/>
              <w:spacing w:line="360" w:lineRule="auto"/>
              <w:ind w:firstLine="210" w:firstLineChars="1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仁化县丹霞街道。</w:t>
            </w:r>
          </w:p>
        </w:tc>
      </w:tr>
      <w:tr w14:paraId="359E8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38"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7DF3B266">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11</w:t>
            </w:r>
          </w:p>
        </w:tc>
        <w:tc>
          <w:tcPr>
            <w:tcW w:w="1732" w:type="dxa"/>
            <w:tcBorders>
              <w:top w:val="single" w:color="auto" w:sz="4" w:space="0"/>
              <w:left w:val="single" w:color="auto" w:sz="4" w:space="0"/>
              <w:bottom w:val="single" w:color="auto" w:sz="4" w:space="0"/>
              <w:right w:val="single" w:color="auto" w:sz="4" w:space="0"/>
            </w:tcBorders>
            <w:noWrap/>
            <w:vAlign w:val="center"/>
          </w:tcPr>
          <w:p w14:paraId="62F59E6B">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项目建设内容</w:t>
            </w:r>
          </w:p>
          <w:p w14:paraId="428D692E">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和规模</w:t>
            </w:r>
          </w:p>
        </w:tc>
        <w:tc>
          <w:tcPr>
            <w:tcW w:w="7646" w:type="dxa"/>
            <w:tcBorders>
              <w:top w:val="single" w:color="auto" w:sz="4" w:space="0"/>
              <w:left w:val="single" w:color="auto" w:sz="4" w:space="0"/>
              <w:bottom w:val="single" w:color="auto" w:sz="4" w:space="0"/>
              <w:right w:val="single" w:color="auto" w:sz="4" w:space="0"/>
            </w:tcBorders>
            <w:noWrap/>
            <w:vAlign w:val="center"/>
          </w:tcPr>
          <w:p w14:paraId="50540B84">
            <w:pPr>
              <w:wordWrap w:val="0"/>
              <w:adjustRightInd w:val="0"/>
              <w:snapToGrid w:val="0"/>
              <w:spacing w:line="360" w:lineRule="auto"/>
              <w:ind w:firstLine="210" w:firstLineChars="1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主要是道路部分新建约1公里沥青道路、1500米人行道；新建混凝土挡土墙、交通标线等；给水部分新做约1000米DN150内衬塑复合钢管、预留约900米DN150温泉用聚氨酯地埋热水保温管、雨污水部分敷设约1000米DN600的HDPE双壁波纹管及500×800砖砌水渠、敷设约400米φ2000钢筋混凝土涵管、50米φ1000钢筋混凝土涵管；电力部分预埋约7300米管道、通信部分预埋约6300米管道等。</w:t>
            </w:r>
          </w:p>
        </w:tc>
      </w:tr>
      <w:tr w14:paraId="604893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5A77891D">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12</w:t>
            </w:r>
          </w:p>
        </w:tc>
        <w:tc>
          <w:tcPr>
            <w:tcW w:w="1732" w:type="dxa"/>
            <w:tcBorders>
              <w:top w:val="single" w:color="auto" w:sz="4" w:space="0"/>
              <w:left w:val="single" w:color="auto" w:sz="4" w:space="0"/>
              <w:bottom w:val="single" w:color="auto" w:sz="4" w:space="0"/>
              <w:right w:val="single" w:color="auto" w:sz="4" w:space="0"/>
            </w:tcBorders>
            <w:noWrap/>
            <w:vAlign w:val="center"/>
          </w:tcPr>
          <w:p w14:paraId="28FE0162">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招标范围</w:t>
            </w:r>
          </w:p>
        </w:tc>
        <w:tc>
          <w:tcPr>
            <w:tcW w:w="7646" w:type="dxa"/>
            <w:tcBorders>
              <w:top w:val="single" w:color="auto" w:sz="4" w:space="0"/>
              <w:left w:val="single" w:color="auto" w:sz="4" w:space="0"/>
              <w:bottom w:val="single" w:color="auto" w:sz="4" w:space="0"/>
              <w:right w:val="single" w:color="auto" w:sz="4" w:space="0"/>
            </w:tcBorders>
            <w:noWrap/>
            <w:vAlign w:val="center"/>
          </w:tcPr>
          <w:p w14:paraId="73B9AD67">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本工程所涉及的内容包括但不限于以下（1）～（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509CE273">
            <w:pPr>
              <w:wordWrap w:val="0"/>
              <w:adjustRightInd w:val="0"/>
              <w:snapToGrid w:val="0"/>
              <w:spacing w:line="360" w:lineRule="auto"/>
              <w:ind w:firstLine="210" w:firstLineChars="1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1）勘察部分：初步勘察、详细勘察（包括岩土工程勘察、地形测量等）。</w:t>
            </w:r>
          </w:p>
          <w:p w14:paraId="056307B2">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设计部分：</w:t>
            </w: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确保项目顺利实施的报建、报批、施工等所需的所有建安工程等设计文件。包括但不限于：初步设计及概算、施工图设计</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、提供项目所需相关检测项的明细表和危险性较大的分部分项工程清单及保障安全相关说明、</w:t>
            </w: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工地现场服务、验收过程中的设计指导及配合阶段验收及档案整理、协助施工单位编制竣工图及后续设计服务工作</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207314B3">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注：设计文件深度要求必须满足住房和城乡建设部《市政公用工程设计文件编制深度规定（2013版）》和《建筑工程设计文件编制深度规定（2016版）》的要求，各专业还应该满足各专业工程设计文件编制深度规范或规定的要求。</w:t>
            </w:r>
          </w:p>
          <w:p w14:paraId="4D5FC0A0">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）施工部分：设计文件及工程量清单范围内的所有工程及配套工程、设施等的施工</w:t>
            </w: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含竣工验收资料编制整理、备案等），完成并配合发包人结算、负责工程缺陷保修以及发包人要求由施工单位完成的其他工作（发包人另行委托其他单位负责实施的工作内容除外，但需提供一系列协调及配合服务）等</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r>
      <w:tr w14:paraId="4CDE6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64BA5D47">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13</w:t>
            </w:r>
          </w:p>
        </w:tc>
        <w:tc>
          <w:tcPr>
            <w:tcW w:w="1732" w:type="dxa"/>
            <w:tcBorders>
              <w:top w:val="single" w:color="auto" w:sz="4" w:space="0"/>
              <w:left w:val="single" w:color="auto" w:sz="4" w:space="0"/>
              <w:bottom w:val="single" w:color="auto" w:sz="4" w:space="0"/>
              <w:right w:val="single" w:color="auto" w:sz="4" w:space="0"/>
            </w:tcBorders>
            <w:noWrap/>
            <w:vAlign w:val="center"/>
          </w:tcPr>
          <w:p w14:paraId="0B2F559C">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标段划分</w:t>
            </w:r>
          </w:p>
        </w:tc>
        <w:tc>
          <w:tcPr>
            <w:tcW w:w="7646" w:type="dxa"/>
            <w:tcBorders>
              <w:top w:val="single" w:color="auto" w:sz="4" w:space="0"/>
              <w:left w:val="single" w:color="auto" w:sz="4" w:space="0"/>
              <w:bottom w:val="single" w:color="auto" w:sz="4" w:space="0"/>
              <w:right w:val="single" w:color="auto" w:sz="4" w:space="0"/>
            </w:tcBorders>
            <w:noWrap/>
            <w:vAlign w:val="center"/>
          </w:tcPr>
          <w:p w14:paraId="17667584">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本招标项目不划分标段。</w:t>
            </w:r>
          </w:p>
        </w:tc>
      </w:tr>
      <w:tr w14:paraId="52644D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52"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671DC62B">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14</w:t>
            </w:r>
          </w:p>
        </w:tc>
        <w:tc>
          <w:tcPr>
            <w:tcW w:w="1732" w:type="dxa"/>
            <w:tcBorders>
              <w:top w:val="single" w:color="auto" w:sz="4" w:space="0"/>
              <w:left w:val="single" w:color="auto" w:sz="4" w:space="0"/>
              <w:bottom w:val="single" w:color="auto" w:sz="4" w:space="0"/>
              <w:right w:val="single" w:color="auto" w:sz="4" w:space="0"/>
            </w:tcBorders>
            <w:noWrap/>
            <w:vAlign w:val="center"/>
          </w:tcPr>
          <w:p w14:paraId="215D7159">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工期</w:t>
            </w:r>
          </w:p>
        </w:tc>
        <w:tc>
          <w:tcPr>
            <w:tcW w:w="7646" w:type="dxa"/>
            <w:tcBorders>
              <w:top w:val="single" w:color="auto" w:sz="4" w:space="0"/>
              <w:left w:val="single" w:color="auto" w:sz="4" w:space="0"/>
              <w:bottom w:val="single" w:color="auto" w:sz="4" w:space="0"/>
              <w:right w:val="single" w:color="auto" w:sz="4" w:space="0"/>
            </w:tcBorders>
            <w:noWrap/>
            <w:vAlign w:val="center"/>
          </w:tcPr>
          <w:p w14:paraId="24DE7874">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本项目勘察设计、施工总工期180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日历天，其中：</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勘察</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设计工期为</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60</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日历天、施工工期为</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120</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日历天。</w:t>
            </w:r>
          </w:p>
        </w:tc>
      </w:tr>
      <w:tr w14:paraId="0A2981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609"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64E5E7E4">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w:t>
            </w:r>
          </w:p>
        </w:tc>
        <w:tc>
          <w:tcPr>
            <w:tcW w:w="1732" w:type="dxa"/>
            <w:tcBorders>
              <w:top w:val="single" w:color="auto" w:sz="4" w:space="0"/>
              <w:left w:val="single" w:color="auto" w:sz="4" w:space="0"/>
              <w:bottom w:val="single" w:color="auto" w:sz="4" w:space="0"/>
              <w:right w:val="single" w:color="auto" w:sz="4" w:space="0"/>
            </w:tcBorders>
            <w:noWrap/>
            <w:vAlign w:val="center"/>
          </w:tcPr>
          <w:p w14:paraId="31AA2064">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质量标准</w:t>
            </w:r>
          </w:p>
        </w:tc>
        <w:tc>
          <w:tcPr>
            <w:tcW w:w="7646" w:type="dxa"/>
            <w:tcBorders>
              <w:top w:val="single" w:color="auto" w:sz="4" w:space="0"/>
              <w:left w:val="single" w:color="auto" w:sz="4" w:space="0"/>
              <w:bottom w:val="single" w:color="auto" w:sz="4" w:space="0"/>
              <w:right w:val="single" w:color="auto" w:sz="4" w:space="0"/>
            </w:tcBorders>
            <w:noWrap/>
            <w:vAlign w:val="center"/>
          </w:tcPr>
          <w:p w14:paraId="65376345">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勘察要求：符合国家及住建部门颁布的现行有关勘察规范、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标准</w:t>
            </w: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要求，勘察成果必须满足设计及审图合格的要求。</w:t>
            </w:r>
          </w:p>
          <w:p w14:paraId="42A8D1A7">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设计要求：符合国家或行业颁布的现行有效的有关设计的规范要求，符合设计任务书的相关要求，并必须通过有关部门的审查及经有资质的审图机构审查合格。施工要求：</w:t>
            </w:r>
          </w:p>
          <w:p w14:paraId="1154AF97">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3）施工</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要求：施工质量必须达到合格标准，符合现行国家有关工程施工质量验收规范和标准的要求。</w:t>
            </w:r>
          </w:p>
        </w:tc>
      </w:tr>
      <w:tr w14:paraId="3BDB02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23"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79F774C9">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16</w:t>
            </w:r>
          </w:p>
        </w:tc>
        <w:tc>
          <w:tcPr>
            <w:tcW w:w="1732" w:type="dxa"/>
            <w:tcBorders>
              <w:top w:val="single" w:color="auto" w:sz="4" w:space="0"/>
              <w:left w:val="single" w:color="auto" w:sz="4" w:space="0"/>
              <w:bottom w:val="single" w:color="auto" w:sz="4" w:space="0"/>
              <w:right w:val="single" w:color="auto" w:sz="4" w:space="0"/>
            </w:tcBorders>
            <w:noWrap/>
            <w:vAlign w:val="center"/>
          </w:tcPr>
          <w:p w14:paraId="6A56A3F8">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最高投标限价</w:t>
            </w:r>
          </w:p>
        </w:tc>
        <w:tc>
          <w:tcPr>
            <w:tcW w:w="7646" w:type="dxa"/>
            <w:tcBorders>
              <w:top w:val="single" w:color="auto" w:sz="4" w:space="0"/>
              <w:left w:val="single" w:color="auto" w:sz="4" w:space="0"/>
              <w:bottom w:val="single" w:color="auto" w:sz="4" w:space="0"/>
              <w:right w:val="single" w:color="auto" w:sz="4" w:space="0"/>
            </w:tcBorders>
            <w:noWrap/>
            <w:vAlign w:val="center"/>
          </w:tcPr>
          <w:p w14:paraId="1C376F8D">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本项目最高投标限价为人民币(大写)：</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壹仟捌佰捌拾肆万贰仟陆佰陆拾肆元贰角玖分(小写:¥18842664.29元)，其中：勘察费（含测绘费）：¥288000.00元、设计费（含施工图审查费）：¥552800.00元、建安工程费：¥18001864.29元。</w:t>
            </w:r>
          </w:p>
        </w:tc>
      </w:tr>
      <w:tr w14:paraId="5516B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466"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17FE1282">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17</w:t>
            </w:r>
          </w:p>
        </w:tc>
        <w:tc>
          <w:tcPr>
            <w:tcW w:w="1732" w:type="dxa"/>
            <w:tcBorders>
              <w:top w:val="single" w:color="auto" w:sz="4" w:space="0"/>
              <w:left w:val="single" w:color="auto" w:sz="4" w:space="0"/>
              <w:bottom w:val="single" w:color="auto" w:sz="4" w:space="0"/>
              <w:right w:val="single" w:color="auto" w:sz="4" w:space="0"/>
            </w:tcBorders>
            <w:noWrap/>
            <w:vAlign w:val="center"/>
          </w:tcPr>
          <w:p w14:paraId="2E41CA2A">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投标人资格要求</w:t>
            </w:r>
          </w:p>
        </w:tc>
        <w:tc>
          <w:tcPr>
            <w:tcW w:w="7646" w:type="dxa"/>
            <w:tcBorders>
              <w:top w:val="single" w:color="auto" w:sz="4" w:space="0"/>
              <w:left w:val="single" w:color="auto" w:sz="4" w:space="0"/>
              <w:bottom w:val="single" w:color="auto" w:sz="4" w:space="0"/>
              <w:right w:val="single" w:color="auto" w:sz="4" w:space="0"/>
            </w:tcBorders>
            <w:noWrap/>
            <w:vAlign w:val="center"/>
          </w:tcPr>
          <w:p w14:paraId="39FEFD3D">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1．本次招标接受联合体投标，联合体以一个投标人的身份共同投标。</w:t>
            </w:r>
          </w:p>
          <w:p w14:paraId="516B2DA3">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联合体成员数量不超过</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个。</w:t>
            </w:r>
          </w:p>
          <w:p w14:paraId="04101C3F">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联合体各方应按招标文件提供的格式签订联合体协议书，明确联合体牵头人和各方权利义务，并承诺就中标项目向招标人承担连带责任。《联合体协议书》作为投标文件的组成部分向招标人提交。</w:t>
            </w:r>
          </w:p>
          <w:p w14:paraId="380FEA8D">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1.3</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19465BC2">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1.4联合体各方不得再以自己名义单独或参加其他联合体在本招标项目中投标，否则各相关投标均无效。</w:t>
            </w:r>
          </w:p>
          <w:p w14:paraId="0A5B5613">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2.资质要求</w:t>
            </w:r>
          </w:p>
          <w:p w14:paraId="074F05AB">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2.1投标人须具备独立法人资格，按国家法律经营。</w:t>
            </w:r>
          </w:p>
          <w:p w14:paraId="75061612">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2.2投标人须持有行政主管部门颁发的企业资质证书。</w:t>
            </w:r>
          </w:p>
          <w:p w14:paraId="500CCA01">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2.2.1 投标人须具备以下资质：参加投标的投标人可以是单一独立法人或由不超过3家独立法人组成的联合体（必须注明其中一家为牵头人），单一独立法人必须至少同时具备以下①～③资质，组成联合体投标的，联合后必须至少具备以下①～③资质，联合体牵头人必须为①，由同一专业的单位组成的联合体，按照资质等级较低的单位确定资质等级：</w:t>
            </w:r>
          </w:p>
          <w:p w14:paraId="7367D9F5">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①施工资质：具备建设行政主管部门颁发的</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市政公用工程施工</w:t>
            </w: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总承包</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三</w:t>
            </w: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级以上（含</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三</w:t>
            </w: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级）资质，并获得安全生产许可证的独立法人。</w:t>
            </w:r>
          </w:p>
          <w:p w14:paraId="0D4CBE2B">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② 勘察资质：勘察企业必须具备行政主管部门颁发的以下资质之一：</w:t>
            </w:r>
          </w:p>
          <w:p w14:paraId="687031FD">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（1）具备工程勘察综合类甲级资质；</w:t>
            </w:r>
          </w:p>
          <w:p w14:paraId="739CF2B0">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（2）具备工程勘察专业（岩土工程）乙级以上（含乙级）资质；</w:t>
            </w:r>
          </w:p>
          <w:p w14:paraId="3A8648A8">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（3）具备工程勘察专业（岩土工程（岩土工程勘察））乙级以上（含乙级）资质。</w:t>
            </w:r>
          </w:p>
          <w:p w14:paraId="6ED49362">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注：勘察企业若不具备测量或测绘资质的，中标后必须在招标人的监督管理下委托具备相应资质及能力的单位来完成该部分工作，费用已包含在本次招标费用中。</w:t>
            </w:r>
          </w:p>
          <w:p w14:paraId="47F8AAD1">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③设计企业：必须具备建设行政主管部门颁发的以下资质之一：</w:t>
            </w:r>
          </w:p>
          <w:p w14:paraId="05B3046D">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工程设计综合甲级资质；</w:t>
            </w:r>
          </w:p>
          <w:p w14:paraId="63D6063A">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工程设计</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市政</w:t>
            </w: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行业</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乙</w:t>
            </w: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级以上（含</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乙</w:t>
            </w: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级）资质；</w:t>
            </w:r>
          </w:p>
          <w:p w14:paraId="6930203D">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工程设计</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市政</w:t>
            </w: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行业</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(燃气工程、轨道交通工程除外)乙</w:t>
            </w: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级以上（含</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乙</w:t>
            </w: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级）资质；</w:t>
            </w:r>
          </w:p>
          <w:p w14:paraId="5049413D">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4、工程设计市政行业道路工程专业乙级以上（含乙级）资质及工程设计市政行业排水工程专业乙级以上（含乙级）资质。</w:t>
            </w:r>
          </w:p>
          <w:p w14:paraId="2DF5BF53">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注：设计企业若不具备施工图审查资质的，中标后必须在招标人的监督管理下委托具备相应资质及能力的单位来完成该部分工作，费用已包含在本次招标费用中。</w:t>
            </w:r>
          </w:p>
          <w:p w14:paraId="5A14F54D">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根据有关文件精神，投标人的企业相关证书到期的，均按该证书的发证</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机构相关行业主管部门最新文件执行（如自动顺延或推迟办理延期业务的通知），投标人必须将相关文件附在该证书后面中，证明在开标日继续有效。</w:t>
            </w:r>
          </w:p>
          <w:p w14:paraId="462E03AE">
            <w:pPr>
              <w:pStyle w:val="41"/>
              <w:wordWrap w:val="0"/>
              <w:adjustRightInd w:val="0"/>
              <w:snapToGrid w:val="0"/>
              <w:spacing w:line="360" w:lineRule="auto"/>
              <w:ind w:firstLine="48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3．相关人员要求</w:t>
            </w:r>
          </w:p>
          <w:p w14:paraId="58C4132F">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拟派</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项目经理为</w:t>
            </w:r>
            <w:r>
              <w:rPr>
                <w:rFonts w:hint="eastAsia" w:asciiTheme="minorEastAsia" w:hAnsiTheme="minorEastAsia" w:eastAsiaTheme="minorEastAsia" w:cstheme="minorEastAsia"/>
                <w:snapToGrid w:val="0"/>
                <w:color w:val="000000" w:themeColor="text1"/>
                <w:kern w:val="0"/>
                <w:sz w:val="21"/>
                <w:szCs w:val="21"/>
                <w:highlight w:val="none"/>
                <w:u w:val="none"/>
                <w:lang w:eastAsia="zh-CN"/>
                <w14:textFill>
                  <w14:solidFill>
                    <w14:schemeClr w14:val="tx1"/>
                  </w14:solidFill>
                </w14:textFill>
              </w:rPr>
              <w:t>具有</w:t>
            </w:r>
            <w:r>
              <w:rPr>
                <w:rFonts w:hint="eastAsia" w:asciiTheme="minorEastAsia" w:hAnsiTheme="minorEastAsia" w:eastAsiaTheme="minorEastAsia" w:cstheme="minorEastAsia"/>
                <w:snapToGrid w:val="0"/>
                <w:color w:val="000000" w:themeColor="text1"/>
                <w:kern w:val="0"/>
                <w:sz w:val="21"/>
                <w:szCs w:val="21"/>
                <w:highlight w:val="none"/>
                <w:u w:val="single"/>
                <w:lang w:val="en-US" w:eastAsia="zh-CN"/>
                <w14:textFill>
                  <w14:solidFill>
                    <w14:schemeClr w14:val="tx1"/>
                  </w14:solidFill>
                </w14:textFill>
              </w:rPr>
              <w:t>市政公用工程</w:t>
            </w:r>
            <w:r>
              <w:rPr>
                <w:rFonts w:hint="eastAsia" w:asciiTheme="minorEastAsia" w:hAnsiTheme="minorEastAsia" w:eastAsiaTheme="minorEastAsia" w:cstheme="minorEastAsia"/>
                <w:snapToGrid w:val="0"/>
                <w:color w:val="000000" w:themeColor="text1"/>
                <w:kern w:val="0"/>
                <w:sz w:val="21"/>
                <w:szCs w:val="21"/>
                <w:highlight w:val="none"/>
                <w:u w:val="none"/>
                <w:lang w:eastAsia="zh-CN"/>
                <w14:textFill>
                  <w14:solidFill>
                    <w14:schemeClr w14:val="tx1"/>
                  </w14:solidFill>
                </w14:textFill>
              </w:rPr>
              <w:t>专业一级或二级注册建造师</w:t>
            </w:r>
            <w:r>
              <w:rPr>
                <w:rFonts w:hint="eastAsia" w:asciiTheme="minorEastAsia" w:hAnsiTheme="minorEastAsia" w:eastAsiaTheme="minorEastAsia" w:cstheme="minorEastAsia"/>
                <w:snapToGrid w:val="0"/>
                <w:color w:val="000000" w:themeColor="text1"/>
                <w:kern w:val="0"/>
                <w:sz w:val="21"/>
                <w:szCs w:val="21"/>
                <w:highlight w:val="none"/>
                <w:u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应持有住建部门印发的在使用有效期内的有效电子注册证书（根据广东省住房和城乡建设厅（粤建市函〔2023〕469号）文件精神，二级注册建造师可随注册企业在全国范围内执业）。同时均须具备有效安全生产考核合格证明（B证），</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且未担任其他在施（包括已中标未开工、已建成未竣工）</w:t>
            </w: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建设工程项目的项目经理。</w:t>
            </w:r>
          </w:p>
          <w:p w14:paraId="35412283">
            <w:pPr>
              <w:pStyle w:val="41"/>
              <w:wordWrap w:val="0"/>
              <w:adjustRightInd w:val="0"/>
              <w:snapToGrid w:val="0"/>
              <w:spacing w:line="36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3.2拟派项目技术负责人须具备</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市政工程</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 xml:space="preserve"> 相关</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专业</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级或以上技术职称。</w:t>
            </w:r>
          </w:p>
          <w:p w14:paraId="00747066">
            <w:pPr>
              <w:pStyle w:val="41"/>
              <w:wordWrap w:val="0"/>
              <w:adjustRightInd w:val="0"/>
              <w:snapToGrid w:val="0"/>
              <w:spacing w:line="36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3.3拟派专职安全生产管理人员须具备有效安全生产考核合格证明（C证，安全生产考核合格证书或广东省建筑施工企业管理人员安全生产考核系统考核合格信息打印页），且不少于</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人。</w:t>
            </w:r>
          </w:p>
          <w:p w14:paraId="0E0F0B75">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3.4</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拟委派担任本工程的设计负责人具备</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市政工程</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相关专业中级或以上职称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773ABE30">
            <w:pPr>
              <w:pStyle w:val="41"/>
              <w:wordWrap w:val="0"/>
              <w:adjustRightInd w:val="0"/>
              <w:snapToGrid w:val="0"/>
              <w:spacing w:line="360" w:lineRule="auto"/>
              <w:ind w:firstLine="420" w:firstLineChars="20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3.5投标人拟派勘察负责人须具有</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注册土木工程师（岩土）证书</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w:t>
            </w:r>
          </w:p>
          <w:p w14:paraId="0404D82E">
            <w:pPr>
              <w:wordWrap w:val="0"/>
              <w:adjustRightInd w:val="0"/>
              <w:snapToGrid w:val="0"/>
              <w:spacing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3.6</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投标人（包括组成联合体的所有成员单位）与其拟派往本项目管理机构的所有人员之间必须具备合法、唯一的劳动聘用关系。拟派人员中具备注册执业资格的，其注册单位须与投标人保持一致。</w:t>
            </w:r>
          </w:p>
          <w:p w14:paraId="15C9389E">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4．禁止投标条款：</w:t>
            </w:r>
          </w:p>
          <w:p w14:paraId="4DC39987">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4.1．投标人不得存在下列情形之一：</w:t>
            </w:r>
          </w:p>
          <w:p w14:paraId="55A1C159">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（1）为招标人不具有独立法人资格的附属机构（单位）；</w:t>
            </w:r>
          </w:p>
          <w:p w14:paraId="7E26A68A">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（2）为本招标项目前期准备提供咨询服务的；</w:t>
            </w:r>
          </w:p>
          <w:p w14:paraId="6C37D882">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（3）与本招标项目的其他投标人为同一个单位负责人；</w:t>
            </w:r>
          </w:p>
          <w:p w14:paraId="722D115F">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（4）与本招标项目的其他投标人存在控股、管理关系；</w:t>
            </w:r>
          </w:p>
          <w:p w14:paraId="788E6B4F">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（5）为本招标项目的监理人；</w:t>
            </w:r>
          </w:p>
          <w:p w14:paraId="77BAE21F">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（6）为本招标项目的代建人；</w:t>
            </w:r>
          </w:p>
          <w:p w14:paraId="73B25F38">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（7）为本招标项目的招标代理机构；</w:t>
            </w:r>
          </w:p>
          <w:p w14:paraId="4E96EDE3">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（8）与本招标项目的监理人或代建人或招标代理机构同为一个法定代表人；</w:t>
            </w:r>
          </w:p>
          <w:p w14:paraId="2B46BCDE">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（9）与本招标项目的监理人或代建人或招标代理机构存在控股或参股关系；</w:t>
            </w:r>
          </w:p>
          <w:p w14:paraId="4F229E42">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（10）与本招标项目的监理人或代建人或招标代理机构存在相互任职或工作关系；</w:t>
            </w:r>
          </w:p>
          <w:p w14:paraId="0B91057E">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（11）被依法暂停或者取消投标资格；</w:t>
            </w:r>
          </w:p>
          <w:p w14:paraId="499B7F3F">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（12）被责令停产停业、暂扣或者吊销许可证、暂扣或者吊销执照；</w:t>
            </w:r>
          </w:p>
          <w:p w14:paraId="2734AE16">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（13）进入清算程序，或被宣告破产，或其他丧失履约能力的情形；</w:t>
            </w:r>
          </w:p>
          <w:p w14:paraId="0F62766D">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（14）在最近三年内发生重大工程质量或安全问题（以相关行业主管部门的行政处罚决定或司法机关出具的有关法律文书为准）；</w:t>
            </w:r>
          </w:p>
          <w:p w14:paraId="35D1AB67">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（15）被“信用中国”网站（https://www.creditchina.gov.cn）发布的《法人和非法人组织公共信用信息报告》列入严重失信主体名单的。</w:t>
            </w:r>
          </w:p>
          <w:p w14:paraId="19789BA1">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4.2．招标人拒绝以下名单中的单位参加本次投标：</w:t>
            </w:r>
          </w:p>
          <w:tbl>
            <w:tblPr>
              <w:tblStyle w:val="21"/>
              <w:tblW w:w="7438"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3425"/>
              <w:gridCol w:w="3350"/>
            </w:tblGrid>
            <w:tr w14:paraId="63F9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663" w:type="dxa"/>
                  <w:noWrap/>
                  <w:vAlign w:val="center"/>
                </w:tcPr>
                <w:p w14:paraId="40AE4B0F">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序号</w:t>
                  </w:r>
                </w:p>
              </w:tc>
              <w:tc>
                <w:tcPr>
                  <w:tcW w:w="3425" w:type="dxa"/>
                  <w:noWrap/>
                  <w:vAlign w:val="center"/>
                </w:tcPr>
                <w:p w14:paraId="7A5A86FA">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单位名称</w:t>
                  </w:r>
                </w:p>
              </w:tc>
              <w:tc>
                <w:tcPr>
                  <w:tcW w:w="3350" w:type="dxa"/>
                  <w:noWrap/>
                  <w:vAlign w:val="center"/>
                </w:tcPr>
                <w:p w14:paraId="3A331D90">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拒绝原因</w:t>
                  </w:r>
                </w:p>
              </w:tc>
            </w:tr>
            <w:tr w14:paraId="6F27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663" w:type="dxa"/>
                  <w:noWrap/>
                  <w:vAlign w:val="center"/>
                </w:tcPr>
                <w:p w14:paraId="39F67673">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w:t>
                  </w:r>
                </w:p>
              </w:tc>
              <w:tc>
                <w:tcPr>
                  <w:tcW w:w="3425" w:type="dxa"/>
                  <w:noWrap/>
                  <w:vAlign w:val="center"/>
                </w:tcPr>
                <w:p w14:paraId="72E3912B">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仁化县融鑫文化旅游投资有限公司</w:t>
                  </w:r>
                </w:p>
              </w:tc>
              <w:tc>
                <w:tcPr>
                  <w:tcW w:w="3350" w:type="dxa"/>
                  <w:noWrap/>
                  <w:vAlign w:val="center"/>
                </w:tcPr>
                <w:p w14:paraId="12966D16">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为本招标项目的招标人</w:t>
                  </w:r>
                </w:p>
              </w:tc>
            </w:tr>
            <w:tr w14:paraId="4F67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663" w:type="dxa"/>
                  <w:noWrap/>
                  <w:vAlign w:val="center"/>
                </w:tcPr>
                <w:p w14:paraId="45FFDD65">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w:t>
                  </w:r>
                </w:p>
              </w:tc>
              <w:tc>
                <w:tcPr>
                  <w:tcW w:w="3425" w:type="dxa"/>
                  <w:noWrap/>
                  <w:vAlign w:val="center"/>
                </w:tcPr>
                <w:p w14:paraId="609AF14F">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文化广电旅游体育局</w:t>
                  </w:r>
                </w:p>
              </w:tc>
              <w:tc>
                <w:tcPr>
                  <w:tcW w:w="3350" w:type="dxa"/>
                  <w:noWrap/>
                  <w:vAlign w:val="center"/>
                </w:tcPr>
                <w:p w14:paraId="565A3941">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为本招标项目的业主单位</w:t>
                  </w:r>
                </w:p>
              </w:tc>
            </w:tr>
            <w:tr w14:paraId="4A01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663" w:type="dxa"/>
                  <w:noWrap/>
                  <w:vAlign w:val="center"/>
                </w:tcPr>
                <w:p w14:paraId="547AC684">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w:t>
                  </w:r>
                </w:p>
              </w:tc>
              <w:tc>
                <w:tcPr>
                  <w:tcW w:w="3425" w:type="dxa"/>
                  <w:noWrap/>
                  <w:vAlign w:val="center"/>
                </w:tcPr>
                <w:p w14:paraId="36A96723">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国昇设计有限责任公司</w:t>
                  </w:r>
                </w:p>
              </w:tc>
              <w:tc>
                <w:tcPr>
                  <w:tcW w:w="3350" w:type="dxa"/>
                  <w:noWrap/>
                  <w:vAlign w:val="center"/>
                </w:tcPr>
                <w:p w14:paraId="625838B3">
                  <w:pPr>
                    <w:wordWrap w:val="0"/>
                    <w:adjustRightInd w:val="0"/>
                    <w:snapToGrid w:val="0"/>
                    <w:spacing w:line="360" w:lineRule="auto"/>
                    <w:ind w:firstLine="210" w:firstLineChars="100"/>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为本项目的</w:t>
                  </w:r>
                  <w:r>
                    <w:rPr>
                      <w:rFonts w:hint="eastAsia" w:asciiTheme="minorEastAsia" w:hAnsiTheme="minorEastAsia" w:eastAsiaTheme="minorEastAsia" w:cstheme="minorEastAsia"/>
                      <w:color w:val="000000" w:themeColor="text1"/>
                      <w:sz w:val="21"/>
                      <w:szCs w:val="21"/>
                      <w:highlight w:val="none"/>
                      <w:u w:val="none"/>
                      <w:lang w:eastAsia="zh-CN"/>
                      <w14:textFill>
                        <w14:solidFill>
                          <w14:schemeClr w14:val="tx1"/>
                        </w14:solidFill>
                      </w14:textFill>
                    </w:rPr>
                    <w:t>概念性规划编制</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单位</w:t>
                  </w:r>
                </w:p>
              </w:tc>
            </w:tr>
            <w:tr w14:paraId="4F82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663" w:type="dxa"/>
                  <w:noWrap/>
                  <w:vAlign w:val="center"/>
                </w:tcPr>
                <w:p w14:paraId="76594481">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w:t>
                  </w:r>
                </w:p>
              </w:tc>
              <w:tc>
                <w:tcPr>
                  <w:tcW w:w="3425" w:type="dxa"/>
                  <w:noWrap/>
                  <w:vAlign w:val="center"/>
                </w:tcPr>
                <w:p w14:paraId="597DE9D3">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韶关市城监项目管理有限公司</w:t>
                  </w:r>
                </w:p>
              </w:tc>
              <w:tc>
                <w:tcPr>
                  <w:tcW w:w="3350" w:type="dxa"/>
                  <w:noWrap/>
                  <w:vAlign w:val="center"/>
                </w:tcPr>
                <w:p w14:paraId="61935A3A">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为本招标项目的招标代理机构</w:t>
                  </w:r>
                </w:p>
              </w:tc>
            </w:tr>
            <w:tr w14:paraId="1869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663" w:type="dxa"/>
                  <w:noWrap/>
                  <w:vAlign w:val="center"/>
                </w:tcPr>
                <w:p w14:paraId="6B6D41C6">
                  <w:pPr>
                    <w:wordWrap w:val="0"/>
                    <w:adjustRightInd w:val="0"/>
                    <w:snapToGrid w:val="0"/>
                    <w:spacing w:line="360" w:lineRule="auto"/>
                    <w:ind w:firstLine="210" w:firstLineChars="1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p>
              </w:tc>
              <w:tc>
                <w:tcPr>
                  <w:tcW w:w="3425" w:type="dxa"/>
                  <w:noWrap/>
                  <w:vAlign w:val="center"/>
                </w:tcPr>
                <w:p w14:paraId="69913B11">
                  <w:pPr>
                    <w:wordWrap w:val="0"/>
                    <w:adjustRightInd w:val="0"/>
                    <w:snapToGrid w:val="0"/>
                    <w:spacing w:line="36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中叙设计集团有限公司</w:t>
                  </w:r>
                </w:p>
              </w:tc>
              <w:tc>
                <w:tcPr>
                  <w:tcW w:w="3350" w:type="dxa"/>
                  <w:noWrap/>
                  <w:vAlign w:val="center"/>
                </w:tcPr>
                <w:p w14:paraId="2DFC6CAD">
                  <w:pPr>
                    <w:wordWrap w:val="0"/>
                    <w:adjustRightInd w:val="0"/>
                    <w:snapToGrid w:val="0"/>
                    <w:spacing w:line="360" w:lineRule="auto"/>
                    <w:ind w:firstLine="210" w:firstLineChars="100"/>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为本招标项目的</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概算编制单位</w:t>
                  </w:r>
                </w:p>
              </w:tc>
            </w:tr>
          </w:tbl>
          <w:p w14:paraId="5B40FCC1">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w:t>
            </w:r>
          </w:p>
        </w:tc>
      </w:tr>
      <w:tr w14:paraId="2629A8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179"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49A0FD23">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18</w:t>
            </w:r>
          </w:p>
        </w:tc>
        <w:tc>
          <w:tcPr>
            <w:tcW w:w="1732" w:type="dxa"/>
            <w:tcBorders>
              <w:top w:val="single" w:color="auto" w:sz="4" w:space="0"/>
              <w:left w:val="single" w:color="auto" w:sz="4" w:space="0"/>
              <w:bottom w:val="single" w:color="auto" w:sz="4" w:space="0"/>
              <w:right w:val="single" w:color="auto" w:sz="4" w:space="0"/>
            </w:tcBorders>
            <w:noWrap/>
            <w:vAlign w:val="center"/>
          </w:tcPr>
          <w:p w14:paraId="0B2E0E09">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投标保证</w:t>
            </w:r>
          </w:p>
        </w:tc>
        <w:tc>
          <w:tcPr>
            <w:tcW w:w="7646" w:type="dxa"/>
            <w:tcBorders>
              <w:top w:val="single" w:color="auto" w:sz="4" w:space="0"/>
              <w:left w:val="single" w:color="auto" w:sz="4" w:space="0"/>
              <w:bottom w:val="single" w:color="auto" w:sz="4" w:space="0"/>
              <w:right w:val="single" w:color="auto" w:sz="4" w:space="0"/>
            </w:tcBorders>
            <w:noWrap/>
            <w:vAlign w:val="center"/>
          </w:tcPr>
          <w:p w14:paraId="13ED4D28">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 xml:space="preserve">  1．投标人须缴纳金额为人民币</w:t>
            </w:r>
            <w:r>
              <w:rPr>
                <w:rFonts w:hint="eastAsia" w:asciiTheme="minorEastAsia" w:hAnsiTheme="minorEastAsia" w:eastAsiaTheme="minorEastAsia" w:cstheme="minorEastAsia"/>
                <w:b/>
                <w:bCs/>
                <w:color w:val="000000" w:themeColor="text1"/>
                <w:sz w:val="21"/>
                <w:szCs w:val="21"/>
                <w:highlight w:val="none"/>
                <w:u w:val="single"/>
                <w:lang w:val="en-US" w:eastAsia="zh-CN"/>
                <w14:textFill>
                  <w14:solidFill>
                    <w14:schemeClr w14:val="tx1"/>
                  </w14:solidFill>
                </w14:textFill>
              </w:rPr>
              <w:t>贰拾伍</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万元整</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的投标保证。联合体投标的，由联合体牵头人缴纳。</w:t>
            </w:r>
          </w:p>
          <w:p w14:paraId="62094DE9">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2．投标保证的形式包括投标保证金、投标保证担保、投标保证保险三种，由投标人自主选择。</w:t>
            </w:r>
          </w:p>
          <w:p w14:paraId="0CCE61D8">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见本章“重要事项时间地点一览表”）前，从其基本账户将投标保证金转账到指定的缴纳账号。逾期到账的、从非投标人基本账户转出的，其投标无效。</w:t>
            </w:r>
          </w:p>
          <w:p w14:paraId="174E2FB2">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采用投标保证担保的，投标人应提交有效的银行保函，银行保函的有效期不得短于投标有效期。投标人必须在投标保证担保截止时间（见本章“重要事项时间地点一览表”）前，使用工程建设交易系统完成网上办理电子保函。</w:t>
            </w:r>
          </w:p>
          <w:p w14:paraId="4518DC67">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采用投标保证保险的，投标人须在投标保证保险投保截止时间（见本章“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50175835">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40D289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1CDE1DF1">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19</w:t>
            </w:r>
          </w:p>
        </w:tc>
        <w:tc>
          <w:tcPr>
            <w:tcW w:w="1732" w:type="dxa"/>
            <w:tcBorders>
              <w:top w:val="single" w:color="auto" w:sz="4" w:space="0"/>
              <w:left w:val="single" w:color="auto" w:sz="4" w:space="0"/>
              <w:bottom w:val="single" w:color="auto" w:sz="4" w:space="0"/>
              <w:right w:val="single" w:color="auto" w:sz="4" w:space="0"/>
            </w:tcBorders>
            <w:noWrap/>
            <w:vAlign w:val="center"/>
          </w:tcPr>
          <w:p w14:paraId="4DBBFD3B">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投标有效期</w:t>
            </w:r>
          </w:p>
        </w:tc>
        <w:tc>
          <w:tcPr>
            <w:tcW w:w="7646" w:type="dxa"/>
            <w:tcBorders>
              <w:top w:val="single" w:color="auto" w:sz="4" w:space="0"/>
              <w:left w:val="single" w:color="auto" w:sz="4" w:space="0"/>
              <w:bottom w:val="single" w:color="auto" w:sz="4" w:space="0"/>
              <w:right w:val="single" w:color="auto" w:sz="4" w:space="0"/>
            </w:tcBorders>
            <w:noWrap/>
            <w:vAlign w:val="center"/>
          </w:tcPr>
          <w:p w14:paraId="5F3C3CCC">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本次招标的投标有效期为</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90</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个日历天。</w:t>
            </w:r>
          </w:p>
        </w:tc>
      </w:tr>
      <w:tr w14:paraId="742B93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4E13C134">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20</w:t>
            </w:r>
          </w:p>
        </w:tc>
        <w:tc>
          <w:tcPr>
            <w:tcW w:w="1732" w:type="dxa"/>
            <w:tcBorders>
              <w:top w:val="single" w:color="auto" w:sz="4" w:space="0"/>
              <w:left w:val="single" w:color="auto" w:sz="4" w:space="0"/>
              <w:bottom w:val="single" w:color="auto" w:sz="4" w:space="0"/>
              <w:right w:val="single" w:color="auto" w:sz="4" w:space="0"/>
            </w:tcBorders>
            <w:noWrap/>
            <w:vAlign w:val="center"/>
          </w:tcPr>
          <w:p w14:paraId="312D36D1">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投标文件组成</w:t>
            </w:r>
          </w:p>
        </w:tc>
        <w:tc>
          <w:tcPr>
            <w:tcW w:w="7646" w:type="dxa"/>
            <w:tcBorders>
              <w:top w:val="single" w:color="auto" w:sz="4" w:space="0"/>
              <w:left w:val="single" w:color="auto" w:sz="4" w:space="0"/>
              <w:bottom w:val="single" w:color="auto" w:sz="4" w:space="0"/>
              <w:right w:val="single" w:color="auto" w:sz="4" w:space="0"/>
            </w:tcBorders>
            <w:noWrap/>
            <w:vAlign w:val="center"/>
          </w:tcPr>
          <w:p w14:paraId="6E7F5634">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投标标书、</w:t>
            </w:r>
            <w:r>
              <w:rPr>
                <w:rFonts w:hint="eastAsia" w:asciiTheme="minorEastAsia" w:hAnsiTheme="minorEastAsia" w:eastAsiaTheme="minorEastAsia" w:cstheme="minorEastAsia"/>
                <w:snapToGrid w:val="0"/>
                <w:color w:val="000000" w:themeColor="text1"/>
                <w:spacing w:val="0"/>
                <w:kern w:val="0"/>
                <w:sz w:val="21"/>
                <w:szCs w:val="21"/>
                <w:highlight w:val="none"/>
                <w:lang w:val="en-US" w:eastAsia="zh-CN"/>
                <w14:textFill>
                  <w14:solidFill>
                    <w14:schemeClr w14:val="tx1"/>
                  </w14:solidFill>
                </w14:textFill>
              </w:rPr>
              <w:t>定标文件两</w:t>
            </w:r>
            <w:r>
              <w:rPr>
                <w:rFonts w:hint="eastAsia" w:asciiTheme="minorEastAsia" w:hAnsiTheme="minorEastAsia" w:eastAsiaTheme="minorEastAsia" w:cstheme="minorEastAsia"/>
                <w:snapToGrid w:val="0"/>
                <w:color w:val="000000" w:themeColor="text1"/>
                <w:spacing w:val="0"/>
                <w:kern w:val="0"/>
                <w:sz w:val="21"/>
                <w:szCs w:val="21"/>
                <w:highlight w:val="none"/>
                <w:lang w:eastAsia="zh-CN"/>
                <w14:textFill>
                  <w14:solidFill>
                    <w14:schemeClr w14:val="tx1"/>
                  </w14:solidFill>
                </w14:textFill>
              </w:rPr>
              <w:t>个分册</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tc>
      </w:tr>
      <w:tr w14:paraId="363343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52"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0AB94F57">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21</w:t>
            </w:r>
          </w:p>
        </w:tc>
        <w:tc>
          <w:tcPr>
            <w:tcW w:w="1732" w:type="dxa"/>
            <w:tcBorders>
              <w:top w:val="single" w:color="auto" w:sz="4" w:space="0"/>
              <w:left w:val="single" w:color="auto" w:sz="4" w:space="0"/>
              <w:bottom w:val="single" w:color="auto" w:sz="4" w:space="0"/>
              <w:right w:val="single" w:color="auto" w:sz="4" w:space="0"/>
            </w:tcBorders>
            <w:noWrap/>
            <w:vAlign w:val="center"/>
          </w:tcPr>
          <w:p w14:paraId="7F08709A">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评标委员会</w:t>
            </w:r>
          </w:p>
        </w:tc>
        <w:tc>
          <w:tcPr>
            <w:tcW w:w="7646" w:type="dxa"/>
            <w:tcBorders>
              <w:top w:val="single" w:color="auto" w:sz="4" w:space="0"/>
              <w:left w:val="single" w:color="auto" w:sz="4" w:space="0"/>
              <w:bottom w:val="single" w:color="auto" w:sz="4" w:space="0"/>
              <w:right w:val="single" w:color="auto" w:sz="4" w:space="0"/>
            </w:tcBorders>
            <w:noWrap/>
            <w:vAlign w:val="center"/>
          </w:tcPr>
          <w:p w14:paraId="418FF5C6">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评标委员会由5人组成，其中招标人代表0人，专家5人。专家从广东省综合评标评审专家库（韶关区域）中随机抽取，其中技术类专家3人，经济类专家2人。</w:t>
            </w:r>
          </w:p>
        </w:tc>
      </w:tr>
      <w:tr w14:paraId="07DCF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259A494C">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22</w:t>
            </w:r>
          </w:p>
        </w:tc>
        <w:tc>
          <w:tcPr>
            <w:tcW w:w="1732" w:type="dxa"/>
            <w:tcBorders>
              <w:top w:val="single" w:color="auto" w:sz="4" w:space="0"/>
              <w:left w:val="single" w:color="auto" w:sz="4" w:space="0"/>
              <w:bottom w:val="single" w:color="auto" w:sz="4" w:space="0"/>
              <w:right w:val="single" w:color="auto" w:sz="4" w:space="0"/>
            </w:tcBorders>
            <w:noWrap/>
            <w:vAlign w:val="center"/>
          </w:tcPr>
          <w:p w14:paraId="5C89E496">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评标方法</w:t>
            </w:r>
          </w:p>
        </w:tc>
        <w:tc>
          <w:tcPr>
            <w:tcW w:w="7646" w:type="dxa"/>
            <w:tcBorders>
              <w:top w:val="single" w:color="auto" w:sz="4" w:space="0"/>
              <w:left w:val="single" w:color="auto" w:sz="4" w:space="0"/>
              <w:bottom w:val="single" w:color="auto" w:sz="4" w:space="0"/>
              <w:right w:val="single" w:color="auto" w:sz="4" w:space="0"/>
            </w:tcBorders>
            <w:noWrap/>
            <w:vAlign w:val="center"/>
          </w:tcPr>
          <w:p w14:paraId="56B9C5FA">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综合评估法</w:t>
            </w:r>
          </w:p>
        </w:tc>
      </w:tr>
      <w:tr w14:paraId="7DAF86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5"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746B67B0">
            <w:pPr>
              <w:keepNext w:val="0"/>
              <w:keepLines w:val="0"/>
              <w:pageBreakBefore w:val="0"/>
              <w:wordWrap w:val="0"/>
              <w:overflowPunct/>
              <w:topLinePunct w:val="0"/>
              <w:bidi w:val="0"/>
              <w:spacing w:before="69" w:line="188" w:lineRule="auto"/>
              <w:ind w:left="209" w:leftChars="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t>23</w:t>
            </w:r>
          </w:p>
        </w:tc>
        <w:tc>
          <w:tcPr>
            <w:tcW w:w="1732" w:type="dxa"/>
            <w:tcBorders>
              <w:top w:val="single" w:color="auto" w:sz="4" w:space="0"/>
              <w:left w:val="single" w:color="auto" w:sz="4" w:space="0"/>
              <w:bottom w:val="single" w:color="auto" w:sz="4" w:space="0"/>
              <w:right w:val="single" w:color="auto" w:sz="4" w:space="0"/>
            </w:tcBorders>
            <w:noWrap/>
            <w:vAlign w:val="center"/>
          </w:tcPr>
          <w:p w14:paraId="74E36F1B">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定</w:t>
            </w:r>
            <w:r>
              <w:rPr>
                <w:rFonts w:hint="eastAsia" w:ascii="宋体" w:hAnsi="宋体" w:eastAsia="宋体" w:cs="宋体"/>
                <w:color w:val="000000" w:themeColor="text1"/>
                <w:sz w:val="21"/>
                <w:szCs w:val="21"/>
                <w:highlight w:val="none"/>
                <w14:textFill>
                  <w14:solidFill>
                    <w14:schemeClr w14:val="tx1"/>
                  </w14:solidFill>
                </w14:textFill>
              </w:rPr>
              <w:t>标委员会</w:t>
            </w:r>
          </w:p>
        </w:tc>
        <w:tc>
          <w:tcPr>
            <w:tcW w:w="7646" w:type="dxa"/>
            <w:tcBorders>
              <w:top w:val="single" w:color="auto" w:sz="4" w:space="0"/>
              <w:left w:val="single" w:color="auto" w:sz="4" w:space="0"/>
              <w:bottom w:val="single" w:color="auto" w:sz="4" w:space="0"/>
              <w:right w:val="single" w:color="auto" w:sz="4" w:space="0"/>
            </w:tcBorders>
            <w:noWrap/>
            <w:vAlign w:val="center"/>
          </w:tcPr>
          <w:p w14:paraId="18FD3583">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本</w:t>
            </w:r>
            <w:r>
              <w:rPr>
                <w:rFonts w:hint="eastAsia" w:ascii="宋体" w:hAnsi="宋体" w:eastAsia="宋体" w:cs="宋体"/>
                <w:color w:val="000000" w:themeColor="text1"/>
                <w:sz w:val="21"/>
                <w:szCs w:val="21"/>
                <w:highlight w:val="none"/>
                <w:u w:val="none"/>
                <w:lang w:eastAsia="zh-CN"/>
                <w14:textFill>
                  <w14:solidFill>
                    <w14:schemeClr w14:val="tx1"/>
                  </w14:solidFill>
                </w14:textFill>
              </w:rPr>
              <w:t>项目</w:t>
            </w:r>
            <w:r>
              <w:rPr>
                <w:rFonts w:hint="eastAsia" w:ascii="宋体" w:hAnsi="宋体" w:eastAsia="宋体" w:cs="宋体"/>
                <w:color w:val="000000" w:themeColor="text1"/>
                <w:sz w:val="21"/>
                <w:szCs w:val="21"/>
                <w:highlight w:val="none"/>
                <w:u w:val="none"/>
                <w14:textFill>
                  <w14:solidFill>
                    <w14:schemeClr w14:val="tx1"/>
                  </w14:solidFill>
                </w14:textFill>
              </w:rPr>
              <w:t>定标委员会</w:t>
            </w:r>
            <w:r>
              <w:rPr>
                <w:rFonts w:hint="eastAsia" w:ascii="宋体" w:hAnsi="宋体" w:eastAsia="宋体" w:cs="宋体"/>
                <w:color w:val="000000" w:themeColor="text1"/>
                <w:sz w:val="21"/>
                <w:szCs w:val="21"/>
                <w:highlight w:val="none"/>
                <w:u w:val="none"/>
                <w:lang w:eastAsia="zh-CN"/>
                <w14:textFill>
                  <w14:solidFill>
                    <w14:schemeClr w14:val="tx1"/>
                  </w14:solidFill>
                </w14:textFill>
              </w:rPr>
              <w:t>组成人</w:t>
            </w:r>
            <w:r>
              <w:rPr>
                <w:rFonts w:hint="eastAsia" w:ascii="宋体" w:hAnsi="宋体" w:eastAsia="宋体" w:cs="宋体"/>
                <w:color w:val="000000" w:themeColor="text1"/>
                <w:sz w:val="21"/>
                <w:szCs w:val="21"/>
                <w:highlight w:val="none"/>
                <w:u w:val="none"/>
                <w14:textFill>
                  <w14:solidFill>
                    <w14:schemeClr w14:val="tx1"/>
                  </w14:solidFill>
                </w14:textFill>
              </w:rPr>
              <w:t>员为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7 </w:t>
            </w:r>
            <w:r>
              <w:rPr>
                <w:rFonts w:hint="eastAsia" w:ascii="宋体" w:hAnsi="宋体" w:eastAsia="宋体" w:cs="宋体"/>
                <w:color w:val="000000" w:themeColor="text1"/>
                <w:sz w:val="21"/>
                <w:szCs w:val="21"/>
                <w:highlight w:val="none"/>
                <w14:textFill>
                  <w14:solidFill>
                    <w14:schemeClr w14:val="tx1"/>
                  </w14:solidFill>
                </w14:textFill>
              </w:rPr>
              <w:t>人</w:t>
            </w:r>
            <w:r>
              <w:rPr>
                <w:rFonts w:hint="eastAsia" w:ascii="宋体" w:hAnsi="宋体" w:eastAsia="宋体" w:cs="宋体"/>
                <w:color w:val="000000" w:themeColor="text1"/>
                <w:sz w:val="21"/>
                <w:szCs w:val="21"/>
                <w:highlight w:val="none"/>
                <w:u w:val="none"/>
                <w:lang w:eastAsia="zh-CN"/>
                <w14:textFill>
                  <w14:solidFill>
                    <w14:schemeClr w14:val="tx1"/>
                  </w14:solidFill>
                </w14:textFill>
              </w:rPr>
              <w:t>。</w:t>
            </w:r>
          </w:p>
        </w:tc>
      </w:tr>
      <w:tr w14:paraId="4FB279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2E2951AE">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24</w:t>
            </w:r>
          </w:p>
        </w:tc>
        <w:tc>
          <w:tcPr>
            <w:tcW w:w="1732" w:type="dxa"/>
            <w:tcBorders>
              <w:top w:val="single" w:color="auto" w:sz="4" w:space="0"/>
              <w:left w:val="single" w:color="auto" w:sz="4" w:space="0"/>
              <w:bottom w:val="single" w:color="auto" w:sz="4" w:space="0"/>
              <w:right w:val="single" w:color="auto" w:sz="4" w:space="0"/>
            </w:tcBorders>
            <w:noWrap/>
            <w:vAlign w:val="center"/>
          </w:tcPr>
          <w:p w14:paraId="2BE2C0C2">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定标办法</w:t>
            </w:r>
          </w:p>
        </w:tc>
        <w:tc>
          <w:tcPr>
            <w:tcW w:w="7646" w:type="dxa"/>
            <w:tcBorders>
              <w:top w:val="single" w:color="auto" w:sz="4" w:space="0"/>
              <w:left w:val="single" w:color="auto" w:sz="4" w:space="0"/>
              <w:bottom w:val="single" w:color="auto" w:sz="4" w:space="0"/>
              <w:right w:val="single" w:color="auto" w:sz="4" w:space="0"/>
            </w:tcBorders>
            <w:noWrap/>
            <w:vAlign w:val="center"/>
          </w:tcPr>
          <w:p w14:paraId="481A7CE8">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本项目采用</w:t>
            </w:r>
            <w:r>
              <w:rPr>
                <w:rFonts w:hint="eastAsia" w:ascii="宋体" w:hAnsi="宋体" w:eastAsia="宋体" w:cs="宋体"/>
                <w:b/>
                <w:bCs w:val="0"/>
                <w:snapToGrid w:val="0"/>
                <w:color w:val="000000" w:themeColor="text1"/>
                <w:kern w:val="0"/>
                <w:sz w:val="21"/>
                <w:szCs w:val="21"/>
                <w:highlight w:val="none"/>
                <w:lang w:val="en-US" w:eastAsia="zh-CN"/>
                <w14:textFill>
                  <w14:solidFill>
                    <w14:schemeClr w14:val="tx1"/>
                  </w14:solidFill>
                </w14:textFill>
              </w:rPr>
              <w:t>评定分离</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，应选定下列定标办法：</w:t>
            </w:r>
          </w:p>
          <w:p w14:paraId="55DA6F70">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☑票决数量法</w:t>
            </w:r>
          </w:p>
          <w:p w14:paraId="1715E158">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□票决计分法</w:t>
            </w:r>
          </w:p>
          <w:p w14:paraId="161B4C76">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□集体议事法</w:t>
            </w:r>
          </w:p>
          <w:p w14:paraId="619130D5">
            <w:pPr>
              <w:keepNext w:val="0"/>
              <w:keepLines w:val="0"/>
              <w:pageBreakBefore w:val="0"/>
              <w:widowControl w:val="0"/>
              <w:suppressLineNumbers w:val="0"/>
              <w:kinsoku/>
              <w:wordWrap/>
              <w:overflowPunct/>
              <w:topLinePunct w:val="0"/>
              <w:autoSpaceDE/>
              <w:autoSpaceDN/>
              <w:bidi w:val="0"/>
              <w:adjustRightInd/>
              <w:snapToGrid/>
              <w:spacing w:line="400" w:lineRule="exact"/>
              <w:ind w:left="120" w:leftChars="50" w:right="120" w:rightChars="50"/>
              <w:jc w:val="left"/>
              <w:textAlignment w:val="auto"/>
              <w:rPr>
                <w:rFonts w:hint="eastAsia" w:ascii="宋体" w:hAnsi="宋体" w:eastAsia="宋体" w:cs="宋体"/>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□其他方法：</w:t>
            </w:r>
          </w:p>
        </w:tc>
      </w:tr>
      <w:tr w14:paraId="215A14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396F543F">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default"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25</w:t>
            </w:r>
          </w:p>
        </w:tc>
        <w:tc>
          <w:tcPr>
            <w:tcW w:w="1732" w:type="dxa"/>
            <w:tcBorders>
              <w:top w:val="single" w:color="auto" w:sz="4" w:space="0"/>
              <w:left w:val="single" w:color="auto" w:sz="4" w:space="0"/>
              <w:bottom w:val="single" w:color="auto" w:sz="4" w:space="0"/>
              <w:right w:val="single" w:color="auto" w:sz="4" w:space="0"/>
            </w:tcBorders>
            <w:noWrap/>
            <w:vAlign w:val="center"/>
          </w:tcPr>
          <w:p w14:paraId="191A15D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投标文件编制</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及</w:t>
            </w:r>
            <w:r>
              <w:rPr>
                <w:rFonts w:hint="eastAsia" w:ascii="宋体" w:hAnsi="宋体" w:eastAsia="宋体" w:cs="宋体"/>
                <w:snapToGrid w:val="0"/>
                <w:color w:val="000000" w:themeColor="text1"/>
                <w:kern w:val="0"/>
                <w:sz w:val="21"/>
                <w:szCs w:val="21"/>
                <w:highlight w:val="none"/>
                <w14:textFill>
                  <w14:solidFill>
                    <w14:schemeClr w14:val="tx1"/>
                  </w14:solidFill>
                </w14:textFill>
              </w:rPr>
              <w:t>份数要求</w:t>
            </w:r>
          </w:p>
        </w:tc>
        <w:tc>
          <w:tcPr>
            <w:tcW w:w="7646" w:type="dxa"/>
            <w:tcBorders>
              <w:top w:val="single" w:color="auto" w:sz="4" w:space="0"/>
              <w:left w:val="single" w:color="auto" w:sz="4" w:space="0"/>
              <w:bottom w:val="single" w:color="auto" w:sz="4" w:space="0"/>
              <w:right w:val="single" w:color="auto" w:sz="4" w:space="0"/>
            </w:tcBorders>
            <w:noWrap/>
            <w:vAlign w:val="center"/>
          </w:tcPr>
          <w:p w14:paraId="4F82743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spacing w:val="0"/>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0"/>
                <w:kern w:val="0"/>
                <w:sz w:val="21"/>
                <w:szCs w:val="21"/>
                <w:highlight w:val="none"/>
                <w:lang w:val="en-US" w:eastAsia="zh-CN"/>
                <w14:textFill>
                  <w14:solidFill>
                    <w14:schemeClr w14:val="tx1"/>
                  </w14:solidFill>
                </w14:textFill>
              </w:rPr>
              <w:t>投标人须上传（递交）投标文件：</w:t>
            </w:r>
          </w:p>
          <w:p w14:paraId="11797BDD">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spacing w:val="0"/>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0"/>
                <w:kern w:val="0"/>
                <w:sz w:val="21"/>
                <w:szCs w:val="21"/>
                <w:highlight w:val="none"/>
                <w:lang w:val="en-US" w:eastAsia="zh-CN"/>
                <w14:textFill>
                  <w14:solidFill>
                    <w14:schemeClr w14:val="tx1"/>
                  </w14:solidFill>
                </w14:textFill>
              </w:rPr>
              <w:t>1、电子投标文件一套：</w:t>
            </w:r>
          </w:p>
          <w:p w14:paraId="0F991F32">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spacing w:val="0"/>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0"/>
                <w:kern w:val="0"/>
                <w:sz w:val="21"/>
                <w:szCs w:val="21"/>
                <w:highlight w:val="none"/>
                <w:lang w:val="en-US" w:eastAsia="zh-CN"/>
                <w14:textFill>
                  <w14:solidFill>
                    <w14:schemeClr w14:val="tx1"/>
                  </w14:solidFill>
                </w14:textFill>
              </w:rPr>
              <w:t>（1）投标标书1份；</w:t>
            </w:r>
          </w:p>
          <w:p w14:paraId="793CF74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spacing w:val="0"/>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0"/>
                <w:kern w:val="0"/>
                <w:sz w:val="21"/>
                <w:szCs w:val="21"/>
                <w:highlight w:val="none"/>
                <w:lang w:val="en-US" w:eastAsia="zh-CN"/>
                <w14:textFill>
                  <w14:solidFill>
                    <w14:schemeClr w14:val="tx1"/>
                  </w14:solidFill>
                </w14:textFill>
              </w:rPr>
              <w:t>（2）定标文件1份；</w:t>
            </w:r>
          </w:p>
          <w:p w14:paraId="2B1A0084">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spacing w:val="0"/>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0"/>
                <w:kern w:val="0"/>
                <w:sz w:val="21"/>
                <w:szCs w:val="21"/>
                <w:highlight w:val="none"/>
                <w:lang w:val="en-US" w:eastAsia="zh-CN"/>
                <w14:textFill>
                  <w14:solidFill>
                    <w14:schemeClr w14:val="tx1"/>
                  </w14:solidFill>
                </w14:textFill>
              </w:rPr>
              <w:t>2、对应评审要求的分项响应文件（如有）。</w:t>
            </w:r>
          </w:p>
          <w:p w14:paraId="0BBA9F9B">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spacing w:val="0"/>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0"/>
                <w:kern w:val="0"/>
                <w:sz w:val="21"/>
                <w:szCs w:val="21"/>
                <w:highlight w:val="none"/>
                <w:lang w:val="en-US" w:eastAsia="zh-CN"/>
                <w14:textFill>
                  <w14:solidFill>
                    <w14:schemeClr w14:val="tx1"/>
                  </w14:solidFill>
                </w14:textFill>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43539013">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spacing w:val="0"/>
                <w:kern w:val="0"/>
                <w:sz w:val="21"/>
                <w:szCs w:val="21"/>
                <w:highlight w:val="none"/>
                <w:lang w:val="en-US" w:eastAsia="zh-CN"/>
                <w14:textFill>
                  <w14:solidFill>
                    <w14:schemeClr w14:val="tx1"/>
                  </w14:solidFill>
                </w14:textFill>
              </w:rPr>
              <w:t>注：投标人被确定为中标人后，应从交易系统打印两套纸质投标文件（含签名盖章页），内容同电子投标文件，在签订本招标项目承包合同前提交给招标人。（除招标文件约定外，纸质标书须与电子标书一致，不一致的以电子标书为准）。</w:t>
            </w:r>
          </w:p>
        </w:tc>
      </w:tr>
      <w:tr w14:paraId="70281E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0149EE20">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w:t>
            </w:r>
          </w:p>
        </w:tc>
        <w:tc>
          <w:tcPr>
            <w:tcW w:w="1732" w:type="dxa"/>
            <w:tcBorders>
              <w:top w:val="single" w:color="auto" w:sz="4" w:space="0"/>
              <w:left w:val="single" w:color="auto" w:sz="4" w:space="0"/>
              <w:bottom w:val="single" w:color="auto" w:sz="4" w:space="0"/>
              <w:right w:val="single" w:color="auto" w:sz="4" w:space="0"/>
            </w:tcBorders>
            <w:noWrap/>
            <w:vAlign w:val="center"/>
          </w:tcPr>
          <w:p w14:paraId="792787B8">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安全文明施工</w:t>
            </w:r>
          </w:p>
        </w:tc>
        <w:tc>
          <w:tcPr>
            <w:tcW w:w="7646" w:type="dxa"/>
            <w:tcBorders>
              <w:top w:val="single" w:color="auto" w:sz="4" w:space="0"/>
              <w:left w:val="single" w:color="auto" w:sz="4" w:space="0"/>
              <w:bottom w:val="single" w:color="auto" w:sz="4" w:space="0"/>
              <w:right w:val="single" w:color="auto" w:sz="4" w:space="0"/>
            </w:tcBorders>
            <w:noWrap/>
            <w:vAlign w:val="center"/>
          </w:tcPr>
          <w:p w14:paraId="4C98B9C6">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达到国家、省、市有关标准</w:t>
            </w:r>
          </w:p>
        </w:tc>
      </w:tr>
      <w:tr w14:paraId="4FAE7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52"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096DD9EF">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7</w:t>
            </w:r>
          </w:p>
        </w:tc>
        <w:tc>
          <w:tcPr>
            <w:tcW w:w="1732" w:type="dxa"/>
            <w:tcBorders>
              <w:top w:val="single" w:color="auto" w:sz="4" w:space="0"/>
              <w:left w:val="single" w:color="auto" w:sz="4" w:space="0"/>
              <w:bottom w:val="single" w:color="auto" w:sz="4" w:space="0"/>
              <w:right w:val="single" w:color="auto" w:sz="4" w:space="0"/>
            </w:tcBorders>
            <w:noWrap/>
            <w:vAlign w:val="center"/>
          </w:tcPr>
          <w:p w14:paraId="5F408FC1">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房屋建筑工程</w:t>
            </w:r>
          </w:p>
          <w:p w14:paraId="2DEFDAEF">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绿色建筑标准</w:t>
            </w:r>
          </w:p>
        </w:tc>
        <w:tc>
          <w:tcPr>
            <w:tcW w:w="7646" w:type="dxa"/>
            <w:tcBorders>
              <w:top w:val="single" w:color="auto" w:sz="4" w:space="0"/>
              <w:left w:val="single" w:color="auto" w:sz="4" w:space="0"/>
              <w:bottom w:val="single" w:color="auto" w:sz="4" w:space="0"/>
              <w:right w:val="single" w:color="auto" w:sz="4" w:space="0"/>
            </w:tcBorders>
            <w:noWrap/>
            <w:vAlign w:val="center"/>
          </w:tcPr>
          <w:p w14:paraId="70EAB278">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本招标项目</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不</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纳入绿色建设实施范围</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w:t>
            </w:r>
          </w:p>
        </w:tc>
      </w:tr>
      <w:tr w14:paraId="4EB766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866"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58DB0188">
            <w:pPr>
              <w:wordWrap w:val="0"/>
              <w:adjustRightInd w:val="0"/>
              <w:snapToGrid w:val="0"/>
              <w:spacing w:line="360" w:lineRule="auto"/>
              <w:ind w:firstLine="210" w:firstLineChars="1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28</w:t>
            </w:r>
          </w:p>
        </w:tc>
        <w:tc>
          <w:tcPr>
            <w:tcW w:w="1732" w:type="dxa"/>
            <w:tcBorders>
              <w:top w:val="single" w:color="auto" w:sz="4" w:space="0"/>
              <w:left w:val="single" w:color="auto" w:sz="4" w:space="0"/>
              <w:bottom w:val="single" w:color="auto" w:sz="4" w:space="0"/>
              <w:right w:val="single" w:color="auto" w:sz="4" w:space="0"/>
            </w:tcBorders>
            <w:noWrap/>
            <w:vAlign w:val="center"/>
          </w:tcPr>
          <w:p w14:paraId="7387BCDE">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履约保证金</w:t>
            </w:r>
          </w:p>
        </w:tc>
        <w:tc>
          <w:tcPr>
            <w:tcW w:w="7646" w:type="dxa"/>
            <w:tcBorders>
              <w:top w:val="single" w:color="auto" w:sz="4" w:space="0"/>
              <w:left w:val="single" w:color="auto" w:sz="4" w:space="0"/>
              <w:bottom w:val="single" w:color="auto" w:sz="4" w:space="0"/>
              <w:right w:val="single" w:color="auto" w:sz="4" w:space="0"/>
            </w:tcBorders>
            <w:noWrap/>
            <w:vAlign w:val="center"/>
          </w:tcPr>
          <w:p w14:paraId="26F96C49">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履约保证金为中标价的5%（在领取中标通知书之日起5个工作日内、签订合同前缴纳，组成联合体时，由联合体牵头人缴纳）。</w:t>
            </w:r>
          </w:p>
          <w:p w14:paraId="6BC93424">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履约保证的形式包括履约保证金、履约保证金担保函两种，由中标人自主选择，保函有效期不得少于本工程总工期，如果采用银行转账方式则必须从中标人的法人开户银行的账号划出招标人指定的账户，并详细注明工程名称及用途。</w:t>
            </w:r>
          </w:p>
        </w:tc>
      </w:tr>
      <w:tr w14:paraId="29E5CC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6FAC644E">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9</w:t>
            </w:r>
          </w:p>
        </w:tc>
        <w:tc>
          <w:tcPr>
            <w:tcW w:w="1732" w:type="dxa"/>
            <w:tcBorders>
              <w:top w:val="single" w:color="auto" w:sz="4" w:space="0"/>
              <w:left w:val="single" w:color="auto" w:sz="4" w:space="0"/>
              <w:bottom w:val="single" w:color="auto" w:sz="4" w:space="0"/>
              <w:right w:val="single" w:color="auto" w:sz="4" w:space="0"/>
            </w:tcBorders>
            <w:noWrap/>
            <w:vAlign w:val="center"/>
          </w:tcPr>
          <w:p w14:paraId="3053B38A">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工程款支付</w:t>
            </w:r>
          </w:p>
        </w:tc>
        <w:tc>
          <w:tcPr>
            <w:tcW w:w="7646" w:type="dxa"/>
            <w:tcBorders>
              <w:top w:val="single" w:color="auto" w:sz="4" w:space="0"/>
              <w:left w:val="single" w:color="auto" w:sz="4" w:space="0"/>
              <w:bottom w:val="single" w:color="auto" w:sz="4" w:space="0"/>
              <w:right w:val="single" w:color="auto" w:sz="4" w:space="0"/>
            </w:tcBorders>
            <w:noWrap/>
            <w:vAlign w:val="center"/>
          </w:tcPr>
          <w:p w14:paraId="1E9EE519">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详见本招标文件“2-4、工程付款办法”</w:t>
            </w:r>
          </w:p>
        </w:tc>
      </w:tr>
      <w:tr w14:paraId="020A33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07F70250">
            <w:pPr>
              <w:wordWrap w:val="0"/>
              <w:adjustRightInd w:val="0"/>
              <w:snapToGrid w:val="0"/>
              <w:spacing w:line="360" w:lineRule="auto"/>
              <w:ind w:firstLine="210" w:firstLineChars="1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30</w:t>
            </w:r>
          </w:p>
        </w:tc>
        <w:tc>
          <w:tcPr>
            <w:tcW w:w="1732" w:type="dxa"/>
            <w:tcBorders>
              <w:top w:val="single" w:color="auto" w:sz="4" w:space="0"/>
              <w:left w:val="single" w:color="auto" w:sz="4" w:space="0"/>
              <w:bottom w:val="single" w:color="auto" w:sz="4" w:space="0"/>
              <w:right w:val="single" w:color="auto" w:sz="4" w:space="0"/>
            </w:tcBorders>
            <w:noWrap/>
            <w:vAlign w:val="center"/>
          </w:tcPr>
          <w:p w14:paraId="1B906B99">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工程质量保证金</w:t>
            </w:r>
          </w:p>
        </w:tc>
        <w:tc>
          <w:tcPr>
            <w:tcW w:w="7646" w:type="dxa"/>
            <w:tcBorders>
              <w:top w:val="single" w:color="auto" w:sz="4" w:space="0"/>
              <w:left w:val="single" w:color="auto" w:sz="4" w:space="0"/>
              <w:bottom w:val="single" w:color="auto" w:sz="4" w:space="0"/>
              <w:right w:val="single" w:color="auto" w:sz="4" w:space="0"/>
            </w:tcBorders>
            <w:noWrap/>
            <w:vAlign w:val="center"/>
          </w:tcPr>
          <w:p w14:paraId="4A30AB3E">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工程质量保证金总金额为结算价的3%，从工程竣工验收合格之日起计满2年。</w:t>
            </w:r>
          </w:p>
        </w:tc>
      </w:tr>
      <w:tr w14:paraId="6F4BD1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23" w:hRule="atLeast"/>
          <w:jc w:val="center"/>
        </w:trPr>
        <w:tc>
          <w:tcPr>
            <w:tcW w:w="820" w:type="dxa"/>
            <w:tcBorders>
              <w:top w:val="single" w:color="auto" w:sz="4" w:space="0"/>
              <w:left w:val="single" w:color="auto" w:sz="4" w:space="0"/>
              <w:bottom w:val="single" w:color="auto" w:sz="4" w:space="0"/>
              <w:right w:val="single" w:color="auto" w:sz="4" w:space="0"/>
            </w:tcBorders>
            <w:noWrap/>
            <w:vAlign w:val="center"/>
          </w:tcPr>
          <w:p w14:paraId="2CE6E3D7">
            <w:pPr>
              <w:wordWrap w:val="0"/>
              <w:adjustRightInd w:val="0"/>
              <w:snapToGrid w:val="0"/>
              <w:spacing w:line="360" w:lineRule="auto"/>
              <w:ind w:firstLine="210" w:firstLineChars="1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31</w:t>
            </w:r>
          </w:p>
        </w:tc>
        <w:tc>
          <w:tcPr>
            <w:tcW w:w="1732" w:type="dxa"/>
            <w:tcBorders>
              <w:top w:val="single" w:color="auto" w:sz="4" w:space="0"/>
              <w:left w:val="single" w:color="auto" w:sz="4" w:space="0"/>
              <w:bottom w:val="single" w:color="auto" w:sz="4" w:space="0"/>
              <w:right w:val="single" w:color="auto" w:sz="4" w:space="0"/>
            </w:tcBorders>
            <w:noWrap/>
            <w:vAlign w:val="center"/>
          </w:tcPr>
          <w:p w14:paraId="255329DD">
            <w:pPr>
              <w:wordWrap w:val="0"/>
              <w:adjustRightInd w:val="0"/>
              <w:snapToGrid w:val="0"/>
              <w:spacing w:line="360" w:lineRule="auto"/>
              <w:ind w:firstLine="210" w:firstLineChars="1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安全生产措施费</w:t>
            </w:r>
          </w:p>
        </w:tc>
        <w:tc>
          <w:tcPr>
            <w:tcW w:w="7646" w:type="dxa"/>
            <w:tcBorders>
              <w:top w:val="single" w:color="auto" w:sz="4" w:space="0"/>
              <w:left w:val="single" w:color="auto" w:sz="4" w:space="0"/>
              <w:bottom w:val="single" w:color="auto" w:sz="4" w:space="0"/>
              <w:right w:val="single" w:color="auto" w:sz="4" w:space="0"/>
            </w:tcBorders>
            <w:noWrap/>
            <w:vAlign w:val="center"/>
          </w:tcPr>
          <w:p w14:paraId="5310C6DB">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按《建设工程工程量清单计价标准》（GB/T50500-2024）、《广东省建设工程计价依据（2018）》《关于明确建筑工程安全防护、文明施工措施费用具体管理办法的通知》（韶市建【2015】26号）等最新规定执行。</w:t>
            </w:r>
          </w:p>
        </w:tc>
      </w:tr>
      <w:tr w14:paraId="00FA79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95" w:hRule="atLeast"/>
          <w:jc w:val="center"/>
        </w:trPr>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4E82F3">
            <w:pPr>
              <w:wordWrap w:val="0"/>
              <w:adjustRightInd w:val="0"/>
              <w:snapToGrid w:val="0"/>
              <w:spacing w:line="360" w:lineRule="auto"/>
              <w:ind w:firstLine="210" w:firstLineChars="1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32</w:t>
            </w:r>
          </w:p>
        </w:tc>
        <w:tc>
          <w:tcPr>
            <w:tcW w:w="1732" w:type="dxa"/>
            <w:tcBorders>
              <w:top w:val="single" w:color="auto" w:sz="4" w:space="0"/>
              <w:left w:val="single" w:color="auto" w:sz="4" w:space="0"/>
              <w:bottom w:val="single" w:color="auto" w:sz="4" w:space="0"/>
              <w:right w:val="single" w:color="auto" w:sz="4" w:space="0"/>
            </w:tcBorders>
            <w:noWrap/>
            <w:vAlign w:val="center"/>
          </w:tcPr>
          <w:p w14:paraId="1809C70D">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招标代理费</w:t>
            </w:r>
          </w:p>
        </w:tc>
        <w:tc>
          <w:tcPr>
            <w:tcW w:w="7646" w:type="dxa"/>
            <w:tcBorders>
              <w:top w:val="single" w:color="auto" w:sz="4" w:space="0"/>
              <w:left w:val="single" w:color="auto" w:sz="4" w:space="0"/>
              <w:bottom w:val="single" w:color="auto" w:sz="4" w:space="0"/>
              <w:right w:val="single" w:color="auto" w:sz="4" w:space="0"/>
            </w:tcBorders>
            <w:noWrap/>
            <w:vAlign w:val="center"/>
          </w:tcPr>
          <w:p w14:paraId="55D01561">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招标代理服务费以中标金额为计价基数，参照《招标代理服务收费管理暂行办法》计价格〔2002〕1980号、《关于降低部分建设项目收费标准规范收费行为等有关问题的通知》(发改价格[2011]534号)相关规定计算，并下浮20%作为招标代理服务费，该招标代理服务费由中标人支付。</w:t>
            </w:r>
          </w:p>
        </w:tc>
      </w:tr>
      <w:tr w14:paraId="38CD7D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95" w:hRule="atLeast"/>
          <w:jc w:val="center"/>
        </w:trPr>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C3FF2C">
            <w:pPr>
              <w:wordWrap w:val="0"/>
              <w:adjustRightInd w:val="0"/>
              <w:snapToGrid w:val="0"/>
              <w:spacing w:line="360" w:lineRule="auto"/>
              <w:ind w:firstLine="210" w:firstLineChars="1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33</w:t>
            </w:r>
          </w:p>
        </w:tc>
        <w:tc>
          <w:tcPr>
            <w:tcW w:w="17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EF5931">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招标人</w:t>
            </w:r>
          </w:p>
          <w:p w14:paraId="79889FB5">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联系方式</w:t>
            </w:r>
          </w:p>
        </w:tc>
        <w:tc>
          <w:tcPr>
            <w:tcW w:w="76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189F73">
            <w:pPr>
              <w:wordWrap w:val="0"/>
              <w:adjustRightInd w:val="0"/>
              <w:snapToGrid w:val="0"/>
              <w:spacing w:line="360" w:lineRule="auto"/>
              <w:ind w:firstLine="210" w:firstLineChars="100"/>
              <w:jc w:val="left"/>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单位名称：</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仁化县融鑫文化旅游投资有限公司</w:t>
            </w:r>
          </w:p>
          <w:p w14:paraId="63134BE0">
            <w:pPr>
              <w:wordWrap w:val="0"/>
              <w:adjustRightInd w:val="0"/>
              <w:snapToGrid w:val="0"/>
              <w:spacing w:line="360" w:lineRule="auto"/>
              <w:ind w:firstLine="210" w:firstLineChars="100"/>
              <w:jc w:val="left"/>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办公地址：广东省韶关市仁化县丹霞街道高坪新村98-11号</w:t>
            </w:r>
          </w:p>
          <w:p w14:paraId="4BAE6E62">
            <w:pPr>
              <w:wordWrap w:val="0"/>
              <w:adjustRightInd w:val="0"/>
              <w:snapToGrid w:val="0"/>
              <w:spacing w:line="360" w:lineRule="auto"/>
              <w:ind w:firstLine="210" w:firstLineChars="100"/>
              <w:jc w:val="left"/>
              <w:rPr>
                <w:rFonts w:hint="default"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联系人（部门）：</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谭先生</w:t>
            </w:r>
          </w:p>
          <w:p w14:paraId="04AD36B6">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14:textFill>
                  <w14:solidFill>
                    <w14:schemeClr w14:val="tx1"/>
                  </w14:solidFill>
                </w14:textFill>
              </w:rPr>
              <w:t>联系电话：</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18316023586</w:t>
            </w:r>
          </w:p>
        </w:tc>
      </w:tr>
      <w:tr w14:paraId="10ED65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95" w:hRule="atLeast"/>
          <w:jc w:val="center"/>
        </w:trPr>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52389B">
            <w:pPr>
              <w:wordWrap w:val="0"/>
              <w:adjustRightInd w:val="0"/>
              <w:snapToGrid w:val="0"/>
              <w:spacing w:line="360" w:lineRule="auto"/>
              <w:ind w:firstLine="210" w:firstLineChars="1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34</w:t>
            </w:r>
          </w:p>
        </w:tc>
        <w:tc>
          <w:tcPr>
            <w:tcW w:w="17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AF5432">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招标代理机构</w:t>
            </w:r>
          </w:p>
          <w:p w14:paraId="3E0AFF13">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联系方式</w:t>
            </w:r>
          </w:p>
        </w:tc>
        <w:tc>
          <w:tcPr>
            <w:tcW w:w="76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2260F2">
            <w:pPr>
              <w:wordWrap w:val="0"/>
              <w:adjustRightInd w:val="0"/>
              <w:snapToGrid w:val="0"/>
              <w:spacing w:line="360" w:lineRule="auto"/>
              <w:ind w:firstLine="210" w:firstLineChars="100"/>
              <w:jc w:val="left"/>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单位名称：韶关市城监项目管理有限公司</w:t>
            </w:r>
          </w:p>
          <w:p w14:paraId="21E6B29A">
            <w:pPr>
              <w:wordWrap w:val="0"/>
              <w:adjustRightInd w:val="0"/>
              <w:snapToGrid w:val="0"/>
              <w:spacing w:line="360" w:lineRule="auto"/>
              <w:ind w:firstLine="210" w:firstLineChars="100"/>
              <w:jc w:val="left"/>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办公地址：韶关市浈江区五里亭良村商贸城E栋6楼601</w:t>
            </w:r>
          </w:p>
          <w:p w14:paraId="374DAC29">
            <w:pPr>
              <w:wordWrap w:val="0"/>
              <w:adjustRightInd w:val="0"/>
              <w:snapToGrid w:val="0"/>
              <w:spacing w:line="360" w:lineRule="auto"/>
              <w:ind w:firstLine="210" w:firstLineChars="100"/>
              <w:jc w:val="left"/>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联系人：骆工</w:t>
            </w:r>
          </w:p>
          <w:p w14:paraId="70CF8137">
            <w:pPr>
              <w:wordWrap w:val="0"/>
              <w:adjustRightInd w:val="0"/>
              <w:snapToGrid w:val="0"/>
              <w:spacing w:line="360" w:lineRule="auto"/>
              <w:ind w:firstLine="210" w:firstLineChars="1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联系电话： 0751-8989684</w:t>
            </w:r>
          </w:p>
        </w:tc>
      </w:tr>
      <w:tr w14:paraId="1F4ECD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95" w:hRule="atLeast"/>
          <w:jc w:val="center"/>
        </w:trPr>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95BFB7">
            <w:pPr>
              <w:wordWrap w:val="0"/>
              <w:adjustRightInd w:val="0"/>
              <w:snapToGrid w:val="0"/>
              <w:spacing w:line="360" w:lineRule="auto"/>
              <w:ind w:firstLine="210" w:firstLineChars="1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35</w:t>
            </w:r>
          </w:p>
        </w:tc>
        <w:tc>
          <w:tcPr>
            <w:tcW w:w="17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744E19">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交易场所</w:t>
            </w:r>
          </w:p>
          <w:p w14:paraId="5FEA9B68">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联系方式</w:t>
            </w:r>
          </w:p>
        </w:tc>
        <w:tc>
          <w:tcPr>
            <w:tcW w:w="76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A4662C">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单位名称：韶关市公共资源交易中心仁化分中心</w:t>
            </w:r>
          </w:p>
          <w:p w14:paraId="5A6EFA00">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办公地址：仁化县丹霞大道228号1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楼韶关市公共资源交易中心仁化分中心</w:t>
            </w:r>
          </w:p>
          <w:p w14:paraId="1F7A3A3E">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联系人（部门）：吴工</w:t>
            </w:r>
          </w:p>
          <w:p w14:paraId="62A9CE52">
            <w:pPr>
              <w:wordWrap w:val="0"/>
              <w:adjustRightInd w:val="0"/>
              <w:snapToGrid w:val="0"/>
              <w:spacing w:line="360" w:lineRule="auto"/>
              <w:ind w:firstLine="210" w:firstLineChars="1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联系电话：0751—6354032</w:t>
            </w:r>
          </w:p>
        </w:tc>
      </w:tr>
      <w:tr w14:paraId="17AA8A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04" w:hRule="atLeast"/>
          <w:jc w:val="center"/>
        </w:trPr>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2D2BF8">
            <w:pPr>
              <w:wordWrap w:val="0"/>
              <w:adjustRightInd w:val="0"/>
              <w:snapToGrid w:val="0"/>
              <w:spacing w:line="360" w:lineRule="auto"/>
              <w:ind w:firstLine="210" w:firstLineChars="1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36</w:t>
            </w:r>
          </w:p>
        </w:tc>
        <w:tc>
          <w:tcPr>
            <w:tcW w:w="17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84ED49">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行政监督部门</w:t>
            </w:r>
          </w:p>
          <w:p w14:paraId="7CBC25B8">
            <w:pPr>
              <w:wordWrap w:val="0"/>
              <w:adjustRightInd w:val="0"/>
              <w:snapToGrid w:val="0"/>
              <w:spacing w:line="360" w:lineRule="auto"/>
              <w:ind w:firstLine="210" w:firstLineChars="10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联系方式</w:t>
            </w:r>
          </w:p>
        </w:tc>
        <w:tc>
          <w:tcPr>
            <w:tcW w:w="76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C72F54">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单位名称：仁化县住房和城乡建设管理局</w:t>
            </w:r>
          </w:p>
          <w:p w14:paraId="319F3FCA">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办公地址：仁化县丹霞大道228号仁化县行政服务中心6楼</w:t>
            </w:r>
          </w:p>
          <w:p w14:paraId="024CAFC9">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联系人（部门）：建筑业监督管理股</w:t>
            </w:r>
          </w:p>
          <w:p w14:paraId="25D0268F">
            <w:pPr>
              <w:wordWrap w:val="0"/>
              <w:adjustRightInd w:val="0"/>
              <w:snapToGrid w:val="0"/>
              <w:spacing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eastAsia="zh-CN"/>
                <w14:textFill>
                  <w14:solidFill>
                    <w14:schemeClr w14:val="tx1"/>
                  </w14:solidFill>
                </w14:textFill>
              </w:rPr>
              <w:t>联系电话：0751-6354573</w:t>
            </w:r>
          </w:p>
        </w:tc>
      </w:tr>
      <w:bookmarkEnd w:id="6"/>
    </w:tbl>
    <w:p w14:paraId="13A9FF01">
      <w:pPr>
        <w:pStyle w:val="4"/>
        <w:wordWrap w:val="0"/>
        <w:autoSpaceDE/>
        <w:autoSpaceDN/>
        <w:snapToGrid w:val="0"/>
        <w:spacing w:after="260" w:line="440" w:lineRule="exact"/>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7" w:name="_Toc122671103"/>
      <w:bookmarkStart w:id="8" w:name="_Toc122859103"/>
      <w:bookmarkStart w:id="9" w:name="_Toc122769943"/>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br w:type="page"/>
      </w:r>
      <w:bookmarkEnd w:id="7"/>
      <w:bookmarkEnd w:id="8"/>
      <w:bookmarkEnd w:id="9"/>
      <w:bookmarkStart w:id="10" w:name="_Toc28775"/>
      <w:bookmarkStart w:id="11" w:name="_Toc7105"/>
      <w:r>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t>第二节.重要事项时间地点一览表.</w:t>
      </w:r>
      <w:bookmarkEnd w:id="10"/>
      <w:bookmarkEnd w:id="11"/>
    </w:p>
    <w:tbl>
      <w:tblPr>
        <w:tblStyle w:val="21"/>
        <w:tblW w:w="1039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40"/>
        <w:gridCol w:w="1726"/>
        <w:gridCol w:w="8133"/>
      </w:tblGrid>
      <w:tr w14:paraId="281053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2" w:hRule="exact"/>
        </w:trPr>
        <w:tc>
          <w:tcPr>
            <w:tcW w:w="540" w:type="dxa"/>
            <w:tcBorders>
              <w:top w:val="single" w:color="080000" w:sz="4" w:space="0"/>
              <w:left w:val="single" w:color="080000" w:sz="4" w:space="0"/>
              <w:bottom w:val="single" w:color="080000" w:sz="4" w:space="0"/>
              <w:right w:val="single" w:color="080000" w:sz="4" w:space="0"/>
            </w:tcBorders>
            <w:noWrap w:val="0"/>
            <w:vAlign w:val="center"/>
          </w:tcPr>
          <w:p w14:paraId="593C325A">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1</w:t>
            </w:r>
          </w:p>
        </w:tc>
        <w:tc>
          <w:tcPr>
            <w:tcW w:w="1726" w:type="dxa"/>
            <w:tcBorders>
              <w:top w:val="single" w:color="080000" w:sz="4" w:space="0"/>
              <w:left w:val="single" w:color="080000" w:sz="4" w:space="0"/>
              <w:bottom w:val="single" w:color="080000" w:sz="4" w:space="0"/>
              <w:right w:val="single" w:color="080000" w:sz="4" w:space="0"/>
            </w:tcBorders>
            <w:noWrap w:val="0"/>
            <w:vAlign w:val="center"/>
          </w:tcPr>
          <w:p w14:paraId="244C667F">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招标公告</w:t>
            </w:r>
          </w:p>
          <w:p w14:paraId="06F52756">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发布时间 </w:t>
            </w:r>
          </w:p>
        </w:tc>
        <w:tc>
          <w:tcPr>
            <w:tcW w:w="8133" w:type="dxa"/>
            <w:tcBorders>
              <w:top w:val="single" w:color="080000" w:sz="4" w:space="0"/>
              <w:left w:val="single" w:color="080000" w:sz="4" w:space="0"/>
              <w:bottom w:val="single" w:color="080000" w:sz="4" w:space="0"/>
              <w:right w:val="single" w:color="080000" w:sz="4" w:space="0"/>
            </w:tcBorders>
            <w:noWrap w:val="0"/>
            <w:vAlign w:val="center"/>
          </w:tcPr>
          <w:p w14:paraId="18A82632">
            <w:pPr>
              <w:pStyle w:val="41"/>
              <w:wordWrap w:val="0"/>
              <w:adjustRightInd w:val="0"/>
              <w:snapToGrid w:val="0"/>
              <w:spacing w:line="400" w:lineRule="exact"/>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2026</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23</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20</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 00 </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p>
        </w:tc>
      </w:tr>
      <w:tr w14:paraId="608F5E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trPr>
        <w:tc>
          <w:tcPr>
            <w:tcW w:w="540" w:type="dxa"/>
            <w:tcBorders>
              <w:top w:val="single" w:color="080000" w:sz="4" w:space="0"/>
              <w:left w:val="single" w:color="080000" w:sz="4" w:space="0"/>
              <w:bottom w:val="single" w:color="080000" w:sz="4" w:space="0"/>
              <w:right w:val="single" w:color="080000" w:sz="4" w:space="0"/>
            </w:tcBorders>
            <w:noWrap w:val="0"/>
            <w:vAlign w:val="center"/>
          </w:tcPr>
          <w:p w14:paraId="35BB7FFD">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2</w:t>
            </w:r>
          </w:p>
        </w:tc>
        <w:tc>
          <w:tcPr>
            <w:tcW w:w="1726" w:type="dxa"/>
            <w:tcBorders>
              <w:top w:val="single" w:color="080000" w:sz="4" w:space="0"/>
              <w:left w:val="single" w:color="080000" w:sz="4" w:space="0"/>
              <w:bottom w:val="single" w:color="080000" w:sz="4" w:space="0"/>
              <w:right w:val="single" w:color="080000" w:sz="4" w:space="0"/>
            </w:tcBorders>
            <w:noWrap w:val="0"/>
            <w:vAlign w:val="center"/>
          </w:tcPr>
          <w:p w14:paraId="4BF1A24C">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获取招标文件截止时间 </w:t>
            </w:r>
          </w:p>
        </w:tc>
        <w:tc>
          <w:tcPr>
            <w:tcW w:w="8133" w:type="dxa"/>
            <w:tcBorders>
              <w:top w:val="single" w:color="080000" w:sz="4" w:space="0"/>
              <w:left w:val="single" w:color="080000" w:sz="4" w:space="0"/>
              <w:bottom w:val="single" w:color="080000" w:sz="4" w:space="0"/>
              <w:right w:val="single" w:color="080000" w:sz="4" w:space="0"/>
            </w:tcBorders>
            <w:noWrap w:val="0"/>
            <w:vAlign w:val="center"/>
          </w:tcPr>
          <w:p w14:paraId="513F1109">
            <w:pPr>
              <w:pStyle w:val="41"/>
              <w:wordWrap w:val="0"/>
              <w:adjustRightInd w:val="0"/>
              <w:snapToGrid w:val="0"/>
              <w:spacing w:line="400" w:lineRule="exact"/>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2026</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14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30</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p>
        </w:tc>
      </w:tr>
      <w:tr w14:paraId="01EB01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0" w:hRule="exact"/>
        </w:trPr>
        <w:tc>
          <w:tcPr>
            <w:tcW w:w="540" w:type="dxa"/>
            <w:tcBorders>
              <w:top w:val="single" w:color="080000" w:sz="4" w:space="0"/>
              <w:left w:val="single" w:color="080000" w:sz="4" w:space="0"/>
              <w:bottom w:val="single" w:color="080000" w:sz="4" w:space="0"/>
              <w:right w:val="single" w:color="080000" w:sz="4" w:space="0"/>
            </w:tcBorders>
            <w:noWrap w:val="0"/>
            <w:vAlign w:val="center"/>
          </w:tcPr>
          <w:p w14:paraId="0C816B26">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3</w:t>
            </w:r>
          </w:p>
        </w:tc>
        <w:tc>
          <w:tcPr>
            <w:tcW w:w="1726" w:type="dxa"/>
            <w:tcBorders>
              <w:top w:val="single" w:color="080000" w:sz="4" w:space="0"/>
              <w:left w:val="single" w:color="080000" w:sz="4" w:space="0"/>
              <w:bottom w:val="single" w:color="080000" w:sz="4" w:space="0"/>
              <w:right w:val="single" w:color="080000" w:sz="4" w:space="0"/>
            </w:tcBorders>
            <w:noWrap w:val="0"/>
            <w:vAlign w:val="center"/>
          </w:tcPr>
          <w:p w14:paraId="0F646321">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网上提问</w:t>
            </w:r>
          </w:p>
          <w:p w14:paraId="0E14C4C3">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截止时间 </w:t>
            </w:r>
          </w:p>
        </w:tc>
        <w:tc>
          <w:tcPr>
            <w:tcW w:w="8133" w:type="dxa"/>
            <w:tcBorders>
              <w:top w:val="single" w:color="080000" w:sz="4" w:space="0"/>
              <w:left w:val="single" w:color="080000" w:sz="4" w:space="0"/>
              <w:bottom w:val="single" w:color="080000" w:sz="4" w:space="0"/>
              <w:right w:val="single" w:color="080000" w:sz="4" w:space="0"/>
            </w:tcBorders>
            <w:noWrap w:val="0"/>
            <w:vAlign w:val="center"/>
          </w:tcPr>
          <w:p w14:paraId="65546C40">
            <w:pPr>
              <w:pStyle w:val="41"/>
              <w:wordWrap w:val="0"/>
              <w:adjustRightInd w:val="0"/>
              <w:snapToGrid w:val="0"/>
              <w:spacing w:line="400" w:lineRule="exact"/>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2026</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14:textFill>
                  <w14:solidFill>
                    <w14:schemeClr w14:val="tx1"/>
                  </w14:solidFill>
                </w14:textFill>
              </w:rPr>
              <w:t>16</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时</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14:textFill>
                  <w14:solidFill>
                    <w14:schemeClr w14:val="tx1"/>
                  </w14:solidFill>
                </w14:textFill>
              </w:rPr>
              <w:t>00</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分</w:t>
            </w:r>
          </w:p>
        </w:tc>
      </w:tr>
      <w:tr w14:paraId="16A3C8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0" w:hRule="exact"/>
        </w:trPr>
        <w:tc>
          <w:tcPr>
            <w:tcW w:w="540" w:type="dxa"/>
            <w:tcBorders>
              <w:top w:val="single" w:color="080000" w:sz="4" w:space="0"/>
              <w:left w:val="single" w:color="080000" w:sz="4" w:space="0"/>
              <w:bottom w:val="single" w:color="080000" w:sz="4" w:space="0"/>
              <w:right w:val="single" w:color="080000" w:sz="4" w:space="0"/>
            </w:tcBorders>
            <w:noWrap w:val="0"/>
            <w:vAlign w:val="center"/>
          </w:tcPr>
          <w:p w14:paraId="6AD420F7">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4</w:t>
            </w:r>
          </w:p>
        </w:tc>
        <w:tc>
          <w:tcPr>
            <w:tcW w:w="1726" w:type="dxa"/>
            <w:tcBorders>
              <w:top w:val="single" w:color="080000" w:sz="4" w:space="0"/>
              <w:left w:val="single" w:color="080000" w:sz="4" w:space="0"/>
              <w:bottom w:val="single" w:color="080000" w:sz="4" w:space="0"/>
              <w:right w:val="single" w:color="080000" w:sz="4" w:space="0"/>
            </w:tcBorders>
            <w:noWrap w:val="0"/>
            <w:vAlign w:val="center"/>
          </w:tcPr>
          <w:p w14:paraId="6A2B5994">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网上答疑</w:t>
            </w:r>
          </w:p>
          <w:p w14:paraId="1C7B813E">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时间</w:t>
            </w:r>
          </w:p>
        </w:tc>
        <w:tc>
          <w:tcPr>
            <w:tcW w:w="8133" w:type="dxa"/>
            <w:tcBorders>
              <w:top w:val="single" w:color="080000" w:sz="4" w:space="0"/>
              <w:left w:val="single" w:color="080000" w:sz="4" w:space="0"/>
              <w:bottom w:val="single" w:color="080000" w:sz="4" w:space="0"/>
              <w:right w:val="single" w:color="080000" w:sz="4" w:space="0"/>
            </w:tcBorders>
            <w:noWrap w:val="0"/>
            <w:vAlign w:val="center"/>
          </w:tcPr>
          <w:p w14:paraId="5A39D692">
            <w:pPr>
              <w:pStyle w:val="41"/>
              <w:wordWrap w:val="0"/>
              <w:adjustRightInd w:val="0"/>
              <w:snapToGrid w:val="0"/>
              <w:spacing w:line="400" w:lineRule="exact"/>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2026</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14:textFill>
                  <w14:solidFill>
                    <w14:schemeClr w14:val="tx1"/>
                  </w14:solidFill>
                </w14:textFill>
              </w:rPr>
              <w:t>16</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时</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14:textFill>
                  <w14:solidFill>
                    <w14:schemeClr w14:val="tx1"/>
                  </w14:solidFill>
                </w14:textFill>
              </w:rPr>
              <w:t>30</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分至</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 xml:space="preserve">2026 </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14:textFill>
                  <w14:solidFill>
                    <w14:schemeClr w14:val="tx1"/>
                  </w14:solidFill>
                </w14:textFill>
              </w:rPr>
              <w:t>16</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时</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14:textFill>
                  <w14:solidFill>
                    <w14:schemeClr w14:val="tx1"/>
                  </w14:solidFill>
                </w14:textFill>
              </w:rPr>
              <w:t>00</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分</w:t>
            </w:r>
          </w:p>
        </w:tc>
      </w:tr>
      <w:tr w14:paraId="1E97BF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4" w:hRule="exact"/>
        </w:trPr>
        <w:tc>
          <w:tcPr>
            <w:tcW w:w="540" w:type="dxa"/>
            <w:tcBorders>
              <w:top w:val="single" w:color="080000" w:sz="4" w:space="0"/>
              <w:left w:val="single" w:color="080000" w:sz="4" w:space="0"/>
              <w:bottom w:val="single" w:color="080000" w:sz="4" w:space="0"/>
              <w:right w:val="single" w:color="080000" w:sz="4" w:space="0"/>
            </w:tcBorders>
            <w:noWrap w:val="0"/>
            <w:vAlign w:val="center"/>
          </w:tcPr>
          <w:p w14:paraId="7E6CF477">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5</w:t>
            </w:r>
          </w:p>
        </w:tc>
        <w:tc>
          <w:tcPr>
            <w:tcW w:w="1726" w:type="dxa"/>
            <w:tcBorders>
              <w:top w:val="single" w:color="080000" w:sz="4" w:space="0"/>
              <w:left w:val="single" w:color="080000" w:sz="4" w:space="0"/>
              <w:bottom w:val="single" w:color="080000" w:sz="4" w:space="0"/>
              <w:right w:val="single" w:color="080000" w:sz="4" w:space="0"/>
            </w:tcBorders>
            <w:noWrap w:val="0"/>
            <w:vAlign w:val="center"/>
          </w:tcPr>
          <w:p w14:paraId="04AE71E6">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投标保证缴</w:t>
            </w:r>
          </w:p>
          <w:p w14:paraId="6E0B8FBD">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纳截止时间</w:t>
            </w:r>
          </w:p>
        </w:tc>
        <w:tc>
          <w:tcPr>
            <w:tcW w:w="8133" w:type="dxa"/>
            <w:tcBorders>
              <w:top w:val="single" w:color="080000" w:sz="4" w:space="0"/>
              <w:left w:val="single" w:color="080000" w:sz="4" w:space="0"/>
              <w:bottom w:val="single" w:color="080000" w:sz="4" w:space="0"/>
              <w:right w:val="single" w:color="080000" w:sz="4" w:space="0"/>
            </w:tcBorders>
            <w:noWrap w:val="0"/>
            <w:vAlign w:val="center"/>
          </w:tcPr>
          <w:p w14:paraId="771D8C7E">
            <w:pPr>
              <w:pStyle w:val="41"/>
              <w:wordWrap w:val="0"/>
              <w:adjustRightInd w:val="0"/>
              <w:snapToGrid w:val="0"/>
              <w:spacing w:line="400" w:lineRule="exact"/>
              <w:ind w:firstLine="220" w:firstLineChars="100"/>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投标保证金到账截止时间：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2026</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13</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30</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w:t>
            </w:r>
          </w:p>
          <w:p w14:paraId="08D15D8C">
            <w:pPr>
              <w:pStyle w:val="41"/>
              <w:wordWrap w:val="0"/>
              <w:adjustRightInd w:val="0"/>
              <w:snapToGrid w:val="0"/>
              <w:spacing w:line="400" w:lineRule="exact"/>
              <w:ind w:firstLine="220" w:firstLineChars="100"/>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投标保证担保上传截止时间：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2026</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13</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30</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w:t>
            </w:r>
          </w:p>
          <w:p w14:paraId="4913E1FC">
            <w:pPr>
              <w:pStyle w:val="19"/>
              <w:wordWrap w:val="0"/>
              <w:adjustRightInd w:val="0"/>
              <w:snapToGrid w:val="0"/>
              <w:spacing w:line="400" w:lineRule="exact"/>
              <w:ind w:firstLine="220" w:firstLineChars="100"/>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投标保证保险投保截止时间：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2026</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13</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30</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w:t>
            </w:r>
          </w:p>
        </w:tc>
      </w:tr>
      <w:tr w14:paraId="0FF99E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8" w:hRule="exact"/>
        </w:trPr>
        <w:tc>
          <w:tcPr>
            <w:tcW w:w="540" w:type="dxa"/>
            <w:tcBorders>
              <w:top w:val="single" w:color="080000" w:sz="4" w:space="0"/>
              <w:left w:val="single" w:color="080000" w:sz="4" w:space="0"/>
              <w:bottom w:val="single" w:color="080000" w:sz="4" w:space="0"/>
              <w:right w:val="single" w:color="080000" w:sz="4" w:space="0"/>
            </w:tcBorders>
            <w:noWrap w:val="0"/>
            <w:vAlign w:val="center"/>
          </w:tcPr>
          <w:p w14:paraId="38CE1411">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6</w:t>
            </w:r>
          </w:p>
        </w:tc>
        <w:tc>
          <w:tcPr>
            <w:tcW w:w="1726" w:type="dxa"/>
            <w:tcBorders>
              <w:top w:val="single" w:color="080000" w:sz="4" w:space="0"/>
              <w:left w:val="single" w:color="080000" w:sz="4" w:space="0"/>
              <w:bottom w:val="single" w:color="080000" w:sz="4" w:space="0"/>
              <w:right w:val="single" w:color="080000" w:sz="4" w:space="0"/>
            </w:tcBorders>
            <w:noWrap w:val="0"/>
            <w:vAlign w:val="center"/>
          </w:tcPr>
          <w:p w14:paraId="49B3B28D">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电子投标</w:t>
            </w:r>
          </w:p>
          <w:p w14:paraId="77A8CAAD">
            <w:pPr>
              <w:pStyle w:val="41"/>
              <w:wordWrap w:val="0"/>
              <w:adjustRightInd w:val="0"/>
              <w:snapToGrid w:val="0"/>
              <w:spacing w:line="360" w:lineRule="exact"/>
              <w:jc w:val="center"/>
              <w:rPr>
                <w:rFonts w:hint="eastAsia" w:asciiTheme="minorEastAsia" w:hAnsiTheme="minorEastAsia" w:eastAsiaTheme="minorEastAsia" w:cstheme="minorEastAsia"/>
                <w:strike/>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截止时间 </w:t>
            </w:r>
          </w:p>
        </w:tc>
        <w:tc>
          <w:tcPr>
            <w:tcW w:w="8133" w:type="dxa"/>
            <w:tcBorders>
              <w:top w:val="single" w:color="080000" w:sz="4" w:space="0"/>
              <w:left w:val="single" w:color="080000" w:sz="4" w:space="0"/>
              <w:bottom w:val="single" w:color="080000" w:sz="4" w:space="0"/>
              <w:right w:val="single" w:color="080000" w:sz="4" w:space="0"/>
            </w:tcBorders>
            <w:noWrap w:val="0"/>
            <w:vAlign w:val="center"/>
          </w:tcPr>
          <w:p w14:paraId="6876FBEA">
            <w:pPr>
              <w:pStyle w:val="19"/>
              <w:wordWrap w:val="0"/>
              <w:adjustRightInd w:val="0"/>
              <w:snapToGrid w:val="0"/>
              <w:spacing w:line="400" w:lineRule="exact"/>
              <w:ind w:firstLine="110" w:firstLineChars="50"/>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2026</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14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30</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p>
        </w:tc>
      </w:tr>
      <w:tr w14:paraId="1D7A94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93" w:hRule="exact"/>
        </w:trPr>
        <w:tc>
          <w:tcPr>
            <w:tcW w:w="540" w:type="dxa"/>
            <w:tcBorders>
              <w:top w:val="single" w:color="080000" w:sz="4" w:space="0"/>
              <w:left w:val="single" w:color="080000" w:sz="4" w:space="0"/>
              <w:bottom w:val="single" w:color="080000" w:sz="4" w:space="0"/>
              <w:right w:val="single" w:color="080000" w:sz="4" w:space="0"/>
            </w:tcBorders>
            <w:noWrap w:val="0"/>
            <w:vAlign w:val="center"/>
          </w:tcPr>
          <w:p w14:paraId="51C2D949">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7</w:t>
            </w:r>
          </w:p>
        </w:tc>
        <w:tc>
          <w:tcPr>
            <w:tcW w:w="1726" w:type="dxa"/>
            <w:tcBorders>
              <w:top w:val="single" w:color="080000" w:sz="4" w:space="0"/>
              <w:left w:val="single" w:color="080000" w:sz="4" w:space="0"/>
              <w:bottom w:val="single" w:color="080000" w:sz="4" w:space="0"/>
              <w:right w:val="single" w:color="080000" w:sz="4" w:space="0"/>
            </w:tcBorders>
            <w:noWrap w:val="0"/>
            <w:vAlign w:val="center"/>
          </w:tcPr>
          <w:p w14:paraId="48EDEAC3">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投标相关资料（如有）递交时间</w:t>
            </w:r>
          </w:p>
        </w:tc>
        <w:tc>
          <w:tcPr>
            <w:tcW w:w="8133" w:type="dxa"/>
            <w:tcBorders>
              <w:top w:val="single" w:color="080000" w:sz="4" w:space="0"/>
              <w:left w:val="single" w:color="080000" w:sz="4" w:space="0"/>
              <w:bottom w:val="single" w:color="080000" w:sz="4" w:space="0"/>
              <w:right w:val="single" w:color="080000" w:sz="4" w:space="0"/>
            </w:tcBorders>
            <w:noWrap w:val="0"/>
            <w:vAlign w:val="center"/>
          </w:tcPr>
          <w:p w14:paraId="5BB9E5B2">
            <w:pPr>
              <w:pStyle w:val="19"/>
              <w:wordWrap w:val="0"/>
              <w:adjustRightInd w:val="0"/>
              <w:snapToGrid w:val="0"/>
              <w:spacing w:line="400" w:lineRule="exact"/>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2026</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14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00</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至</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2026</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14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30</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p>
        </w:tc>
      </w:tr>
      <w:tr w14:paraId="67E0A7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77" w:hRule="exact"/>
        </w:trPr>
        <w:tc>
          <w:tcPr>
            <w:tcW w:w="540" w:type="dxa"/>
            <w:tcBorders>
              <w:top w:val="single" w:color="080000" w:sz="4" w:space="0"/>
              <w:left w:val="single" w:color="080000" w:sz="4" w:space="0"/>
              <w:bottom w:val="single" w:color="080000" w:sz="4" w:space="0"/>
              <w:right w:val="single" w:color="080000" w:sz="4" w:space="0"/>
            </w:tcBorders>
            <w:noWrap w:val="0"/>
            <w:vAlign w:val="center"/>
          </w:tcPr>
          <w:p w14:paraId="31923E05">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8</w:t>
            </w:r>
          </w:p>
        </w:tc>
        <w:tc>
          <w:tcPr>
            <w:tcW w:w="1726" w:type="dxa"/>
            <w:tcBorders>
              <w:top w:val="single" w:color="080000" w:sz="4" w:space="0"/>
              <w:left w:val="single" w:color="080000" w:sz="4" w:space="0"/>
              <w:bottom w:val="single" w:color="080000" w:sz="4" w:space="0"/>
              <w:right w:val="single" w:color="080000" w:sz="4" w:space="0"/>
            </w:tcBorders>
            <w:noWrap w:val="0"/>
            <w:vAlign w:val="center"/>
          </w:tcPr>
          <w:p w14:paraId="302BDFCA">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投标相关资料（如有）递交地点</w:t>
            </w:r>
          </w:p>
        </w:tc>
        <w:tc>
          <w:tcPr>
            <w:tcW w:w="8133" w:type="dxa"/>
            <w:tcBorders>
              <w:top w:val="single" w:color="080000" w:sz="4" w:space="0"/>
              <w:left w:val="single" w:color="080000" w:sz="4" w:space="0"/>
              <w:bottom w:val="single" w:color="080000" w:sz="4" w:space="0"/>
              <w:right w:val="single" w:color="080000" w:sz="4" w:space="0"/>
            </w:tcBorders>
            <w:noWrap w:val="0"/>
            <w:vAlign w:val="center"/>
          </w:tcPr>
          <w:p w14:paraId="7C8A753B">
            <w:pPr>
              <w:pStyle w:val="41"/>
              <w:keepNext w:val="0"/>
              <w:keepLines w:val="0"/>
              <w:pageBreakBefore w:val="0"/>
              <w:widowControl w:val="0"/>
              <w:kinsoku/>
              <w:wordWrap w:val="0"/>
              <w:overflowPunct/>
              <w:topLinePunct w:val="0"/>
              <w:autoSpaceDE/>
              <w:autoSpaceDN/>
              <w:bidi w:val="0"/>
              <w:adjustRightInd w:val="0"/>
              <w:snapToGrid w:val="0"/>
              <w:spacing w:line="360" w:lineRule="auto"/>
              <w:ind w:left="120" w:leftChars="50"/>
              <w:jc w:val="left"/>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u w:val="none"/>
                <w:lang w:val="en-US" w:eastAsia="zh-CN" w:bidi="ar-SA"/>
                <w14:textFill>
                  <w14:solidFill>
                    <w14:schemeClr w14:val="tx1"/>
                  </w14:solidFill>
                </w14:textFill>
              </w:rPr>
              <w:t>递交场所：韶关市公共资源交易中心仁化分中心</w:t>
            </w:r>
          </w:p>
          <w:p w14:paraId="0FED30E2">
            <w:pPr>
              <w:pStyle w:val="41"/>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地址</w:t>
            </w:r>
            <w:r>
              <w:rPr>
                <w:rFonts w:hint="eastAsia" w:ascii="宋体" w:hAnsi="宋体" w:eastAsia="宋体" w:cs="宋体"/>
                <w:b w:val="0"/>
                <w:bCs/>
                <w:color w:val="000000" w:themeColor="text1"/>
                <w:sz w:val="22"/>
                <w:szCs w:val="22"/>
                <w:highlight w:val="none"/>
                <w14:textFill>
                  <w14:solidFill>
                    <w14:schemeClr w14:val="tx1"/>
                  </w14:solidFill>
                </w14:textFill>
              </w:rPr>
              <w:t>：</w:t>
            </w:r>
            <w:r>
              <w:rPr>
                <w:rFonts w:hint="eastAsia" w:ascii="宋体" w:hAnsi="宋体" w:eastAsia="宋体" w:cs="宋体"/>
                <w:b w:val="0"/>
                <w:bCs/>
                <w:color w:val="000000" w:themeColor="text1"/>
                <w:sz w:val="22"/>
                <w:szCs w:val="22"/>
                <w:highlight w:val="none"/>
                <w:lang w:val="en-US" w:eastAsia="zh-CN"/>
                <w14:textFill>
                  <w14:solidFill>
                    <w14:schemeClr w14:val="tx1"/>
                  </w14:solidFill>
                </w14:textFill>
              </w:rPr>
              <w:t>仁化县丹霞大道228号11楼韶关市公共资源交易中心仁化分中心</w:t>
            </w:r>
            <w:r>
              <w:rPr>
                <w:rFonts w:hint="eastAsia" w:ascii="宋体" w:hAnsi="宋体" w:eastAsia="宋体" w:cs="宋体"/>
                <w:b w:val="0"/>
                <w:bCs/>
                <w:color w:val="000000" w:themeColor="text1"/>
                <w:sz w:val="22"/>
                <w:szCs w:val="22"/>
                <w:highlight w:val="none"/>
                <w14:textFill>
                  <w14:solidFill>
                    <w14:schemeClr w14:val="tx1"/>
                  </w14:solidFill>
                </w14:textFill>
              </w:rPr>
              <w:t>，具体房间号以当日现场通知为准。</w:t>
            </w:r>
          </w:p>
        </w:tc>
      </w:tr>
      <w:tr w14:paraId="15610B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30" w:hRule="exact"/>
        </w:trPr>
        <w:tc>
          <w:tcPr>
            <w:tcW w:w="540" w:type="dxa"/>
            <w:tcBorders>
              <w:top w:val="single" w:color="080000" w:sz="4" w:space="0"/>
              <w:left w:val="single" w:color="080000" w:sz="4" w:space="0"/>
              <w:bottom w:val="single" w:color="080000" w:sz="4" w:space="0"/>
              <w:right w:val="single" w:color="080000" w:sz="4" w:space="0"/>
            </w:tcBorders>
            <w:noWrap w:val="0"/>
            <w:vAlign w:val="center"/>
          </w:tcPr>
          <w:p w14:paraId="253A7F0F">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9</w:t>
            </w:r>
          </w:p>
        </w:tc>
        <w:tc>
          <w:tcPr>
            <w:tcW w:w="1726" w:type="dxa"/>
            <w:tcBorders>
              <w:top w:val="single" w:color="080000" w:sz="4" w:space="0"/>
              <w:left w:val="single" w:color="080000" w:sz="4" w:space="0"/>
              <w:bottom w:val="single" w:color="080000" w:sz="4" w:space="0"/>
              <w:right w:val="single" w:color="080000" w:sz="4" w:space="0"/>
            </w:tcBorders>
            <w:noWrap w:val="0"/>
            <w:vAlign w:val="center"/>
          </w:tcPr>
          <w:p w14:paraId="7CB64555">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开标时间 </w:t>
            </w:r>
          </w:p>
        </w:tc>
        <w:tc>
          <w:tcPr>
            <w:tcW w:w="8133" w:type="dxa"/>
            <w:tcBorders>
              <w:top w:val="single" w:color="080000" w:sz="4" w:space="0"/>
              <w:left w:val="single" w:color="080000" w:sz="4" w:space="0"/>
              <w:bottom w:val="single" w:color="080000" w:sz="4" w:space="0"/>
              <w:right w:val="single" w:color="080000" w:sz="4" w:space="0"/>
            </w:tcBorders>
            <w:noWrap w:val="0"/>
            <w:vAlign w:val="center"/>
          </w:tcPr>
          <w:p w14:paraId="6F72838B">
            <w:pPr>
              <w:pStyle w:val="19"/>
              <w:wordWrap w:val="0"/>
              <w:adjustRightInd w:val="0"/>
              <w:snapToGrid w:val="0"/>
              <w:spacing w:line="400" w:lineRule="exact"/>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2026</w:t>
            </w:r>
            <w:r>
              <w:rPr>
                <w:rFonts w:hint="eastAsia" w:asciiTheme="minorEastAsia" w:hAnsiTheme="minorEastAsia" w:eastAsiaTheme="minorEastAsia" w:cstheme="minorEastAsia"/>
                <w:i w:val="0"/>
                <w:iCs w:val="0"/>
                <w:color w:val="000000" w:themeColor="text1"/>
                <w:sz w:val="22"/>
                <w:szCs w:val="22"/>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14</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日</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时</w:t>
            </w:r>
            <w:r>
              <w:rPr>
                <w:rFonts w:hint="eastAsia" w:asciiTheme="minorEastAsia" w:hAnsiTheme="minorEastAsia" w:eastAsiaTheme="minorEastAsia" w:cstheme="minorEastAsia"/>
                <w:color w:val="000000" w:themeColor="text1"/>
                <w:sz w:val="22"/>
                <w:szCs w:val="22"/>
                <w:highlight w:val="none"/>
                <w:u w:val="single"/>
                <w:lang w:val="en-US" w:eastAsia="zh-CN"/>
                <w14:textFill>
                  <w14:solidFill>
                    <w14:schemeClr w14:val="tx1"/>
                  </w14:solidFill>
                </w14:textFill>
              </w:rPr>
              <w:t>30</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分</w:t>
            </w:r>
          </w:p>
        </w:tc>
      </w:tr>
      <w:tr w14:paraId="2D2F9D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7" w:hRule="exact"/>
        </w:trPr>
        <w:tc>
          <w:tcPr>
            <w:tcW w:w="540" w:type="dxa"/>
            <w:tcBorders>
              <w:top w:val="single" w:color="080000" w:sz="4" w:space="0"/>
              <w:left w:val="single" w:color="080000" w:sz="4" w:space="0"/>
              <w:bottom w:val="single" w:color="080000" w:sz="4" w:space="0"/>
              <w:right w:val="single" w:color="080000" w:sz="4" w:space="0"/>
            </w:tcBorders>
            <w:noWrap w:val="0"/>
            <w:vAlign w:val="center"/>
          </w:tcPr>
          <w:p w14:paraId="0D64A6D3">
            <w:pPr>
              <w:pStyle w:val="41"/>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10</w:t>
            </w:r>
          </w:p>
        </w:tc>
        <w:tc>
          <w:tcPr>
            <w:tcW w:w="1726" w:type="dxa"/>
            <w:tcBorders>
              <w:top w:val="single" w:color="080000" w:sz="4" w:space="0"/>
              <w:left w:val="single" w:color="080000" w:sz="4" w:space="0"/>
              <w:bottom w:val="single" w:color="080000" w:sz="4" w:space="0"/>
              <w:right w:val="single" w:color="080000" w:sz="4" w:space="0"/>
            </w:tcBorders>
            <w:noWrap w:val="0"/>
            <w:vAlign w:val="center"/>
          </w:tcPr>
          <w:p w14:paraId="2D4F8207">
            <w:pPr>
              <w:pStyle w:val="41"/>
              <w:wordWrap w:val="0"/>
              <w:adjustRightInd w:val="0"/>
              <w:snapToGrid w:val="0"/>
              <w:spacing w:line="360" w:lineRule="exact"/>
              <w:jc w:val="cente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 xml:space="preserve">开标地点 </w:t>
            </w:r>
          </w:p>
        </w:tc>
        <w:tc>
          <w:tcPr>
            <w:tcW w:w="8133" w:type="dxa"/>
            <w:tcBorders>
              <w:top w:val="single" w:color="080000" w:sz="4" w:space="0"/>
              <w:left w:val="single" w:color="080000" w:sz="4" w:space="0"/>
              <w:bottom w:val="single" w:color="080000" w:sz="4" w:space="0"/>
              <w:right w:val="single" w:color="080000" w:sz="4" w:space="0"/>
            </w:tcBorders>
            <w:noWrap w:val="0"/>
            <w:vAlign w:val="center"/>
          </w:tcPr>
          <w:p w14:paraId="596980D5">
            <w:pPr>
              <w:pStyle w:val="19"/>
              <w:keepNext w:val="0"/>
              <w:keepLines w:val="0"/>
              <w:pageBreakBefore w:val="0"/>
              <w:widowControl w:val="0"/>
              <w:kinsoku/>
              <w:wordWrap w:val="0"/>
              <w:overflowPunct/>
              <w:topLinePunct w:val="0"/>
              <w:autoSpaceDE/>
              <w:autoSpaceDN/>
              <w:bidi w:val="0"/>
              <w:adjustRightInd w:val="0"/>
              <w:snapToGrid w:val="0"/>
              <w:spacing w:line="360" w:lineRule="auto"/>
              <w:ind w:left="120" w:leftChars="50"/>
              <w:jc w:val="left"/>
              <w:textAlignment w:val="auto"/>
              <w:outlineLvl w:val="9"/>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2"/>
                <w:szCs w:val="22"/>
                <w:highlight w:val="none"/>
                <w:u w:val="none"/>
                <w:lang w:val="en-US" w:eastAsia="zh-CN" w:bidi="ar-SA"/>
                <w14:textFill>
                  <w14:solidFill>
                    <w14:schemeClr w14:val="tx1"/>
                  </w14:solidFill>
                </w14:textFill>
              </w:rPr>
              <w:t>开标场所：韶关市公共资源交易中心仁化分中心</w:t>
            </w:r>
          </w:p>
          <w:p w14:paraId="06EEFFE9">
            <w:pPr>
              <w:pStyle w:val="41"/>
              <w:wordWrap w:val="0"/>
              <w:adjustRightInd w:val="0"/>
              <w:snapToGrid w:val="0"/>
              <w:spacing w:line="360" w:lineRule="auto"/>
              <w:jc w:val="left"/>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地址</w:t>
            </w:r>
            <w:r>
              <w:rPr>
                <w:rFonts w:hint="eastAsia" w:ascii="宋体" w:hAnsi="宋体" w:eastAsia="宋体" w:cs="宋体"/>
                <w:b w:val="0"/>
                <w:bCs/>
                <w:color w:val="000000" w:themeColor="text1"/>
                <w:sz w:val="22"/>
                <w:szCs w:val="22"/>
                <w:highlight w:val="none"/>
                <w14:textFill>
                  <w14:solidFill>
                    <w14:schemeClr w14:val="tx1"/>
                  </w14:solidFill>
                </w14:textFill>
              </w:rPr>
              <w:t>：</w:t>
            </w:r>
            <w:r>
              <w:rPr>
                <w:rFonts w:hint="eastAsia" w:ascii="宋体" w:hAnsi="宋体" w:eastAsia="宋体" w:cs="宋体"/>
                <w:b w:val="0"/>
                <w:bCs/>
                <w:color w:val="000000" w:themeColor="text1"/>
                <w:sz w:val="22"/>
                <w:szCs w:val="22"/>
                <w:highlight w:val="none"/>
                <w:lang w:val="en-US" w:eastAsia="zh-CN"/>
                <w14:textFill>
                  <w14:solidFill>
                    <w14:schemeClr w14:val="tx1"/>
                  </w14:solidFill>
                </w14:textFill>
              </w:rPr>
              <w:t>仁化县丹霞大道228号11楼韶关市公共资源交易中心仁化分中心</w:t>
            </w:r>
            <w:r>
              <w:rPr>
                <w:rFonts w:hint="eastAsia" w:ascii="宋体" w:hAnsi="宋体" w:eastAsia="宋体" w:cs="宋体"/>
                <w:b w:val="0"/>
                <w:bCs/>
                <w:color w:val="000000" w:themeColor="text1"/>
                <w:sz w:val="22"/>
                <w:szCs w:val="22"/>
                <w:highlight w:val="none"/>
                <w14:textFill>
                  <w14:solidFill>
                    <w14:schemeClr w14:val="tx1"/>
                  </w14:solidFill>
                </w14:textFill>
              </w:rPr>
              <w:t>，具体房间号以当日现场通知为准。</w:t>
            </w:r>
          </w:p>
        </w:tc>
      </w:tr>
      <w:tr w14:paraId="73BCF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31" w:hRule="exact"/>
        </w:trPr>
        <w:tc>
          <w:tcPr>
            <w:tcW w:w="540" w:type="dxa"/>
            <w:tcBorders>
              <w:top w:val="single" w:color="080000" w:sz="4" w:space="0"/>
              <w:left w:val="single" w:color="080000" w:sz="4" w:space="0"/>
              <w:bottom w:val="single" w:color="080000" w:sz="4" w:space="0"/>
              <w:right w:val="single" w:color="080000" w:sz="4" w:space="0"/>
            </w:tcBorders>
            <w:noWrap w:val="0"/>
            <w:vAlign w:val="center"/>
          </w:tcPr>
          <w:p w14:paraId="3A39D641">
            <w:pPr>
              <w:pStyle w:val="41"/>
              <w:widowControl/>
              <w:snapToGrid w:val="0"/>
              <w:spacing w:line="360" w:lineRule="auto"/>
              <w:jc w:val="center"/>
              <w:rPr>
                <w:rFonts w:hint="eastAsia" w:asciiTheme="minorEastAsia" w:hAnsiTheme="minorEastAsia" w:eastAsiaTheme="minorEastAsia" w:cstheme="minorEastAsia"/>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14:textFill>
                  <w14:solidFill>
                    <w14:schemeClr w14:val="tx1"/>
                  </w14:solidFill>
                </w14:textFill>
              </w:rPr>
              <w:t>11</w:t>
            </w:r>
          </w:p>
        </w:tc>
        <w:tc>
          <w:tcPr>
            <w:tcW w:w="1726" w:type="dxa"/>
            <w:tcBorders>
              <w:top w:val="single" w:color="080000" w:sz="4" w:space="0"/>
              <w:left w:val="single" w:color="080000" w:sz="4" w:space="0"/>
              <w:bottom w:val="single" w:color="080000" w:sz="4" w:space="0"/>
              <w:right w:val="single" w:color="080000" w:sz="4" w:space="0"/>
            </w:tcBorders>
            <w:noWrap w:val="0"/>
            <w:vAlign w:val="center"/>
          </w:tcPr>
          <w:p w14:paraId="5F81C7FF">
            <w:pPr>
              <w:adjustRightInd w:val="0"/>
              <w:snapToGrid w:val="0"/>
              <w:spacing w:line="360" w:lineRule="auto"/>
              <w:jc w:val="cente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备注</w:t>
            </w:r>
          </w:p>
        </w:tc>
        <w:tc>
          <w:tcPr>
            <w:tcW w:w="8133" w:type="dxa"/>
            <w:tcBorders>
              <w:top w:val="single" w:color="080000" w:sz="4" w:space="0"/>
              <w:left w:val="single" w:color="080000" w:sz="4" w:space="0"/>
              <w:bottom w:val="single" w:color="080000" w:sz="4" w:space="0"/>
              <w:right w:val="single" w:color="080000" w:sz="4" w:space="0"/>
            </w:tcBorders>
            <w:noWrap w:val="0"/>
            <w:vAlign w:val="center"/>
          </w:tcPr>
          <w:p w14:paraId="1C9DE124">
            <w:pPr>
              <w:adjustRightInd w:val="0"/>
              <w:snapToGrid w:val="0"/>
              <w:spacing w:line="360" w:lineRule="auto"/>
              <w:ind w:firstLine="440" w:firstLineChars="200"/>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投标人应按有关要求办理数字证书（CA）和企业入库、获取招标文件、资料文件及招标答疑书等。若由于投标人自身原因未能及时取得上述资料的，由此发生的任何责任由投标人自行承担。</w:t>
            </w:r>
          </w:p>
        </w:tc>
      </w:tr>
    </w:tbl>
    <w:p w14:paraId="50A4BECE">
      <w:pPr>
        <w:pStyle w:val="4"/>
        <w:wordWrap w:val="0"/>
        <w:autoSpaceDE/>
        <w:autoSpaceDN/>
        <w:snapToGrid w:val="0"/>
        <w:spacing w:after="260" w:line="440" w:lineRule="exact"/>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br w:type="page"/>
      </w:r>
      <w:bookmarkStart w:id="12" w:name="_Hlt69669159"/>
      <w:bookmarkEnd w:id="12"/>
      <w:bookmarkStart w:id="13" w:name="_Toc16648"/>
      <w:bookmarkStart w:id="14" w:name="_Toc2685"/>
      <w:bookmarkStart w:id="15" w:name="_Hlt69698754"/>
      <w:bookmarkStart w:id="16" w:name="_Hlt69698705"/>
      <w:r>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t>第三节</w:t>
      </w:r>
      <w:bookmarkStart w:id="17" w:name="_Hlt87793819"/>
      <w:bookmarkEnd w:id="17"/>
      <w:r>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t xml:space="preserve"> 投标须知正文</w:t>
      </w:r>
      <w:bookmarkEnd w:id="13"/>
      <w:bookmarkEnd w:id="14"/>
    </w:p>
    <w:bookmarkEnd w:id="15"/>
    <w:bookmarkEnd w:id="16"/>
    <w:p w14:paraId="64B54B44">
      <w:pPr>
        <w:pStyle w:val="7"/>
        <w:spacing w:line="400" w:lineRule="exact"/>
        <w:rPr>
          <w:rFonts w:hint="eastAsia" w:asciiTheme="minorEastAsia" w:hAnsiTheme="minorEastAsia" w:eastAsiaTheme="minorEastAsia" w:cstheme="minorEastAsia"/>
          <w:color w:val="000000" w:themeColor="text1"/>
          <w:sz w:val="24"/>
          <w:szCs w:val="28"/>
          <w:highlight w:val="none"/>
          <w:u w:val="single"/>
          <w14:textFill>
            <w14:solidFill>
              <w14:schemeClr w14:val="tx1"/>
            </w14:solidFill>
          </w14:textFill>
        </w:rPr>
      </w:pPr>
    </w:p>
    <w:p w14:paraId="6FFF52ED">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18" w:name="_Hlt119991399"/>
      <w:bookmarkEnd w:id="18"/>
      <w:bookmarkStart w:id="19" w:name="_Hlt87948285"/>
      <w:bookmarkEnd w:id="19"/>
      <w:bookmarkStart w:id="20" w:name="_Hlt109358474"/>
      <w:bookmarkEnd w:id="20"/>
      <w:bookmarkStart w:id="21" w:name="_Hlt74474735"/>
      <w:bookmarkEnd w:id="21"/>
      <w:bookmarkStart w:id="22" w:name="_Hlt78795222"/>
      <w:bookmarkEnd w:id="22"/>
      <w:bookmarkStart w:id="23" w:name="_Toc31976"/>
      <w:bookmarkStart w:id="24" w:name="_Toc4081"/>
      <w:bookmarkStart w:id="25" w:name="_Toc574"/>
      <w:bookmarkStart w:id="26" w:name="_Toc30732"/>
      <w:bookmarkStart w:id="27" w:name="_Toc25252"/>
      <w:bookmarkStart w:id="28" w:name="_Toc23054"/>
      <w:bookmarkStart w:id="29" w:name="_Toc18453"/>
      <w:bookmarkStart w:id="30" w:name="_Toc24563"/>
      <w:r>
        <w:rPr>
          <w:rFonts w:hint="eastAsia" w:asciiTheme="minorEastAsia" w:hAnsiTheme="minorEastAsia" w:eastAsiaTheme="minorEastAsia" w:cstheme="minorEastAsia"/>
          <w:snapToGrid w:val="0"/>
          <w:color w:val="000000" w:themeColor="text1"/>
          <w:kern w:val="0"/>
          <w:highlight w:val="none"/>
          <w:u w:val="single"/>
          <w:lang w:val="en-US" w:eastAsia="zh-CN"/>
          <w14:textFill>
            <w14:solidFill>
              <w14:schemeClr w14:val="tx1"/>
            </w14:solidFill>
          </w14:textFill>
        </w:rPr>
        <w:t>广东省仁化县全域旅游基础设施建设项目（二期）—丹霞青湖塘村新农村经济带</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经</w:t>
      </w:r>
      <w:r>
        <w:rPr>
          <w:rFonts w:hint="eastAsia" w:asciiTheme="minorEastAsia" w:hAnsiTheme="minorEastAsia" w:eastAsiaTheme="minorEastAsia" w:cstheme="minorEastAsia"/>
          <w:snapToGrid w:val="0"/>
          <w:color w:val="000000" w:themeColor="text1"/>
          <w:kern w:val="0"/>
          <w:highlight w:val="none"/>
          <w:u w:val="single"/>
          <w:lang w:eastAsia="zh-CN"/>
          <w14:textFill>
            <w14:solidFill>
              <w14:schemeClr w14:val="tx1"/>
            </w14:solidFill>
          </w14:textFill>
        </w:rPr>
        <w:t>仁化县发展改革和政务数据局</w:t>
      </w:r>
      <w:r>
        <w:rPr>
          <w:rFonts w:hint="eastAsia" w:asciiTheme="minorEastAsia" w:hAnsiTheme="minorEastAsia" w:eastAsiaTheme="minorEastAsia" w:cstheme="minorEastAsia"/>
          <w:snapToGrid w:val="0"/>
          <w:color w:val="000000" w:themeColor="text1"/>
          <w:kern w:val="0"/>
          <w:szCs w:val="24"/>
          <w:highlight w:val="none"/>
          <w:u w:val="none"/>
          <w14:textFill>
            <w14:solidFill>
              <w14:schemeClr w14:val="tx1"/>
            </w14:solidFill>
          </w14:textFill>
        </w:rPr>
        <w:t>以</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仁化县发展改革和</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政务数据</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局</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关于</w:t>
      </w:r>
      <w:r>
        <w:rPr>
          <w:rFonts w:hint="eastAsia" w:asciiTheme="minorEastAsia" w:hAnsiTheme="minorEastAsia" w:eastAsiaTheme="minorEastAsia" w:cstheme="minorEastAsia"/>
          <w:snapToGrid w:val="0"/>
          <w:color w:val="000000" w:themeColor="text1"/>
          <w:kern w:val="0"/>
          <w:highlight w:val="none"/>
          <w:u w:val="single"/>
          <w:lang w:val="en-US" w:eastAsia="zh-CN"/>
          <w14:textFill>
            <w14:solidFill>
              <w14:schemeClr w14:val="tx1"/>
            </w14:solidFill>
          </w14:textFill>
        </w:rPr>
        <w:t>广东省仁化县全域旅游基础设施建设项目（二期）项目可行性研究报告的批复</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仁发改和政数投审〔2025〕76号</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、《仁化县发展改革和</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政务数据</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局</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关于广东省仁化县全域旅游基础设施建设项目（二期）—丹霞青湖塘村新农村经济带初步设计概算的批复</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仁发改和政数投审〔2026〕24号</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）、《仁化县发展改革和政务数据局关于广东省仁化县全域旅游基础设施建设项目</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（二期）—丹霞青湖塘村新农村经济带</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项目变更的复函》（</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仁发改和政数投审〔2026〕33号</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批准建设，项目代码为</w:t>
      </w:r>
      <w:r>
        <w:rPr>
          <w:rFonts w:hint="eastAsia" w:asciiTheme="minorEastAsia" w:hAnsiTheme="minorEastAsia" w:eastAsiaTheme="minorEastAsia" w:cstheme="minorEastAsia"/>
          <w:color w:val="000000" w:themeColor="text1"/>
          <w:szCs w:val="24"/>
          <w:highlight w:val="none"/>
          <w:u w:val="single"/>
          <w:lang w:eastAsia="zh-CN"/>
          <w14:textFill>
            <w14:solidFill>
              <w14:schemeClr w14:val="tx1"/>
            </w14:solidFill>
          </w14:textFill>
        </w:rPr>
        <w:t>250</w:t>
      </w:r>
      <w:r>
        <w:rPr>
          <w:rFonts w:hint="eastAsia" w:asciiTheme="minorEastAsia" w:hAnsiTheme="minorEastAsia" w:eastAsiaTheme="minorEastAsia" w:cstheme="minorEastAsia"/>
          <w:color w:val="000000" w:themeColor="text1"/>
          <w:szCs w:val="24"/>
          <w:highlight w:val="none"/>
          <w:u w:val="singl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Cs w:val="24"/>
          <w:highlight w:val="none"/>
          <w:u w:val="single"/>
          <w:lang w:eastAsia="zh-CN"/>
          <w14:textFill>
            <w14:solidFill>
              <w14:schemeClr w14:val="tx1"/>
            </w14:solidFill>
          </w14:textFill>
        </w:rPr>
        <w:t>-440224-04-01-</w:t>
      </w:r>
      <w:r>
        <w:rPr>
          <w:rFonts w:hint="eastAsia" w:asciiTheme="minorEastAsia" w:hAnsiTheme="minorEastAsia" w:eastAsiaTheme="minorEastAsia" w:cstheme="minorEastAsia"/>
          <w:color w:val="000000" w:themeColor="text1"/>
          <w:szCs w:val="24"/>
          <w:highlight w:val="none"/>
          <w:u w:val="single"/>
          <w:lang w:val="en-US" w:eastAsia="zh-CN"/>
          <w14:textFill>
            <w14:solidFill>
              <w14:schemeClr w14:val="tx1"/>
            </w14:solidFill>
          </w14:textFill>
        </w:rPr>
        <w:t>996668</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项目</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业主为</w:t>
      </w:r>
      <w:r>
        <w:rPr>
          <w:rFonts w:hint="eastAsia" w:asciiTheme="minorEastAsia" w:hAnsiTheme="minorEastAsia" w:eastAsiaTheme="minorEastAsia" w:cstheme="minorEastAsia"/>
          <w:snapToGrid w:val="0"/>
          <w:color w:val="000000" w:themeColor="text1"/>
          <w:kern w:val="0"/>
          <w:szCs w:val="24"/>
          <w:highlight w:val="none"/>
          <w:u w:val="single"/>
          <w:lang w:eastAsia="zh-CN"/>
          <w14:textFill>
            <w14:solidFill>
              <w14:schemeClr w14:val="tx1"/>
            </w14:solidFill>
          </w14:textFill>
        </w:rPr>
        <w:t>仁化县</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文化广电旅游体育局</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，建设资金来自</w:t>
      </w:r>
      <w:r>
        <w:rPr>
          <w:rFonts w:hint="eastAsia" w:hAnsi="宋体" w:eastAsia="宋体" w:cs="宋体"/>
          <w:snapToGrid w:val="0"/>
          <w:color w:val="000000" w:themeColor="text1"/>
          <w:kern w:val="0"/>
          <w:sz w:val="24"/>
          <w:highlight w:val="none"/>
          <w:u w:val="single"/>
          <w:lang w:eastAsia="zh-CN"/>
          <w14:textFill>
            <w14:solidFill>
              <w14:schemeClr w14:val="tx1"/>
            </w14:solidFill>
          </w14:textFill>
        </w:rPr>
        <w:t>上级资金和县级财政资金安排解决</w:t>
      </w:r>
      <w:r>
        <w:rPr>
          <w:rFonts w:hint="eastAsia" w:ascii="宋体" w:hAnsi="宋体" w:eastAsia="宋体" w:cs="宋体"/>
          <w:snapToGrid w:val="0"/>
          <w:color w:val="000000" w:themeColor="text1"/>
          <w:kern w:val="0"/>
          <w:sz w:val="24"/>
          <w:highlight w:val="none"/>
          <w:u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，出资比例</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100%</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，招标人为</w:t>
      </w:r>
      <w:r>
        <w:rPr>
          <w:rFonts w:hint="eastAsia" w:asciiTheme="minorEastAsia" w:hAnsiTheme="minorEastAsia" w:eastAsiaTheme="minorEastAsia" w:cstheme="minorEastAsia"/>
          <w:snapToGrid w:val="0"/>
          <w:color w:val="000000" w:themeColor="text1"/>
          <w:kern w:val="0"/>
          <w:highlight w:val="none"/>
          <w:u w:val="single"/>
          <w:lang w:eastAsia="zh-CN"/>
          <w14:textFill>
            <w14:solidFill>
              <w14:schemeClr w14:val="tx1"/>
            </w14:solidFill>
          </w14:textFill>
        </w:rPr>
        <w:t>仁化县融鑫文化旅游投资有限公司</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，招标代理机构为</w:t>
      </w:r>
      <w:r>
        <w:rPr>
          <w:rFonts w:hint="eastAsia" w:asciiTheme="minorEastAsia" w:hAnsiTheme="minorEastAsia" w:eastAsiaTheme="minorEastAsia" w:cstheme="minorEastAsia"/>
          <w:color w:val="000000" w:themeColor="text1"/>
          <w:kern w:val="0"/>
          <w:highlight w:val="none"/>
          <w:u w:val="single"/>
          <w:lang w:eastAsia="zh-CN"/>
          <w14:textFill>
            <w14:solidFill>
              <w14:schemeClr w14:val="tx1"/>
            </w14:solidFill>
          </w14:textFill>
        </w:rPr>
        <w:t>韶关市城监项目管理有限公司</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。项目已具备招标条件，现对该项目的</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工程</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勘察设计、施工总承包</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进行公开招标。</w:t>
      </w:r>
    </w:p>
    <w:p w14:paraId="6197F2E1">
      <w:pPr>
        <w:pStyle w:val="40"/>
        <w:keepNext/>
        <w:keepLines/>
        <w:ind w:firstLine="480"/>
        <w:jc w:val="both"/>
        <w:rPr>
          <w:rFonts w:hint="eastAsia" w:asciiTheme="minorEastAsia" w:hAnsiTheme="minorEastAsia" w:eastAsiaTheme="minorEastAsia" w:cstheme="minorEastAsia"/>
          <w:b/>
          <w:bCs/>
          <w:snapToGrid w:val="0"/>
          <w:color w:val="000000" w:themeColor="text1"/>
          <w:highlight w:val="none"/>
          <w14:textFill>
            <w14:solidFill>
              <w14:schemeClr w14:val="tx1"/>
            </w14:solidFill>
          </w14:textFill>
        </w:rPr>
      </w:pPr>
      <w:bookmarkStart w:id="31" w:name="_Toc26102"/>
      <w:bookmarkStart w:id="32" w:name="_Toc18737"/>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 工程概况综合说明</w:t>
      </w:r>
      <w:bookmarkEnd w:id="23"/>
      <w:bookmarkEnd w:id="24"/>
      <w:bookmarkEnd w:id="25"/>
      <w:bookmarkEnd w:id="26"/>
      <w:bookmarkEnd w:id="27"/>
      <w:bookmarkEnd w:id="28"/>
      <w:bookmarkEnd w:id="29"/>
      <w:bookmarkEnd w:id="30"/>
      <w:bookmarkEnd w:id="31"/>
      <w:bookmarkEnd w:id="32"/>
    </w:p>
    <w:p w14:paraId="20A82846">
      <w:pPr>
        <w:pStyle w:val="41"/>
        <w:wordWrap w:val="0"/>
        <w:adjustRightInd w:val="0"/>
        <w:snapToGrid w:val="0"/>
        <w:spacing w:line="360" w:lineRule="auto"/>
        <w:ind w:firstLine="480"/>
        <w:jc w:val="left"/>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工程概况</w:t>
      </w:r>
    </w:p>
    <w:p w14:paraId="2A22D848">
      <w:pPr>
        <w:pStyle w:val="41"/>
        <w:wordWrap w:val="0"/>
        <w:adjustRightInd w:val="0"/>
        <w:snapToGrid w:val="0"/>
        <w:spacing w:line="360" w:lineRule="auto"/>
        <w:ind w:firstLine="480"/>
        <w:jc w:val="left"/>
        <w:rPr>
          <w:rFonts w:hint="eastAsia" w:asciiTheme="minorEastAsia" w:hAnsiTheme="minorEastAsia" w:eastAsiaTheme="minorEastAsia" w:cstheme="minorEastAsia"/>
          <w:color w:val="000000" w:themeColor="text1"/>
          <w:sz w:val="24"/>
          <w:szCs w:val="18"/>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1.1.1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建设地点：</w:t>
      </w:r>
      <w:r>
        <w:rPr>
          <w:rFonts w:hint="eastAsia" w:asciiTheme="minorEastAsia" w:hAnsiTheme="minorEastAsia" w:eastAsiaTheme="minorEastAsia" w:cstheme="minorEastAsia"/>
          <w:color w:val="000000" w:themeColor="text1"/>
          <w:kern w:val="2"/>
          <w:sz w:val="24"/>
          <w:szCs w:val="24"/>
          <w:highlight w:val="none"/>
          <w:u w:val="single"/>
          <w:lang w:val="en-US" w:eastAsia="zh-CN" w:bidi="ar-SA"/>
          <w14:textFill>
            <w14:solidFill>
              <w14:schemeClr w14:val="tx1"/>
            </w14:solidFill>
          </w14:textFill>
        </w:rPr>
        <w:t>仁化县丹霞街道。</w:t>
      </w:r>
    </w:p>
    <w:p w14:paraId="5CA903A7">
      <w:pPr>
        <w:pStyle w:val="38"/>
        <w:ind w:firstLine="482" w:firstLineChars="200"/>
        <w:rPr>
          <w:rFonts w:hint="eastAsia" w:asciiTheme="minorEastAsia" w:hAnsiTheme="minorEastAsia" w:eastAsiaTheme="minorEastAsia" w:cstheme="minorEastAsia"/>
          <w:color w:val="000000" w:themeColor="text1"/>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highlight w:val="none"/>
          <w:lang w:val="en-US" w:eastAsia="zh-CN" w:bidi="ar-SA"/>
          <w14:textFill>
            <w14:solidFill>
              <w14:schemeClr w14:val="tx1"/>
            </w14:solidFill>
          </w14:textFill>
        </w:rPr>
        <w:t>1.1.2</w:t>
      </w:r>
      <w:r>
        <w:rPr>
          <w:rFonts w:hint="eastAsia" w:asciiTheme="minorEastAsia" w:hAnsiTheme="minorEastAsia" w:eastAsiaTheme="minorEastAsia" w:cstheme="minorEastAsia"/>
          <w:color w:val="000000" w:themeColor="text1"/>
          <w:szCs w:val="24"/>
          <w:highlight w:val="none"/>
          <w:u w:val="none"/>
          <w14:textFill>
            <w14:solidFill>
              <w14:schemeClr w14:val="tx1"/>
            </w14:solidFill>
          </w14:textFill>
        </w:rPr>
        <w:t xml:space="preserve"> 建设内容和规模：</w:t>
      </w:r>
      <w:r>
        <w:rPr>
          <w:rFonts w:hint="eastAsia" w:asciiTheme="minorEastAsia" w:hAnsiTheme="minorEastAsia" w:eastAsiaTheme="minorEastAsia" w:cstheme="minorEastAsia"/>
          <w:color w:val="000000" w:themeColor="text1"/>
          <w:szCs w:val="24"/>
          <w:highlight w:val="none"/>
          <w:u w:val="single"/>
          <w:lang w:val="en-US" w:eastAsia="zh-CN"/>
          <w14:textFill>
            <w14:solidFill>
              <w14:schemeClr w14:val="tx1"/>
            </w14:solidFill>
          </w14:textFill>
        </w:rPr>
        <w:t>主要是道路部分新建约1公里沥青道路、1500米人行道；新建混凝土挡土墙、交通标线等；给水部分新做约1000米DN150内衬塑复合钢管、预留约900米DN150温泉用聚氨酯地埋热水保温管、雨污水部分敷设约1000米DN600的HDPE双壁波纹管及500×800砖砌水渠、敷设约400米φ2000钢筋混凝土涵管、50米φ1000钢筋混凝土涵管；电力部分预埋约7300米管道、通信部分预埋约6300米管道等。</w:t>
      </w:r>
    </w:p>
    <w:p w14:paraId="2A89E065">
      <w:pPr>
        <w:pStyle w:val="38"/>
        <w:ind w:firstLine="482" w:firstLineChars="200"/>
        <w:rPr>
          <w:rFonts w:hint="eastAsia" w:asciiTheme="minorEastAsia" w:hAnsiTheme="minorEastAsia" w:eastAsiaTheme="minorEastAsia" w:cstheme="minorEastAsia"/>
          <w:color w:val="000000" w:themeColor="text1"/>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highlight w:val="none"/>
          <w:lang w:val="en-US" w:eastAsia="zh-CN" w:bidi="ar-SA"/>
          <w14:textFill>
            <w14:solidFill>
              <w14:schemeClr w14:val="tx1"/>
            </w14:solidFill>
          </w14:textFill>
        </w:rPr>
        <w:t>1.1.3</w:t>
      </w:r>
      <w:r>
        <w:rPr>
          <w:rFonts w:hint="eastAsia" w:asciiTheme="minorEastAsia" w:hAnsiTheme="minorEastAsia" w:eastAsiaTheme="minorEastAsia" w:cstheme="minorEastAsia"/>
          <w:b/>
          <w:bCs/>
          <w:color w:val="000000" w:themeColor="text1"/>
          <w:kern w:val="2"/>
          <w:sz w:val="24"/>
          <w:szCs w:val="24"/>
          <w:highlight w:val="none"/>
          <w:u w:val="none"/>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u w:val="none"/>
          <w14:textFill>
            <w14:solidFill>
              <w14:schemeClr w14:val="tx1"/>
            </w14:solidFill>
          </w14:textFill>
        </w:rPr>
        <w:t>项目总投资：</w:t>
      </w:r>
      <w:bookmarkStart w:id="33" w:name="_Toc20999"/>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项目概算总投资1993.34万元，其中工程费用1800.19万元，工程建设其他费用173.42万元，预备费用19.73万元。</w:t>
      </w:r>
    </w:p>
    <w:p w14:paraId="37F8AD91">
      <w:pPr>
        <w:widowControl/>
        <w:spacing w:line="360" w:lineRule="auto"/>
        <w:ind w:left="511" w:leftChars="213"/>
        <w:rPr>
          <w:rFonts w:hint="eastAsia" w:asciiTheme="minorEastAsia" w:hAnsiTheme="minorEastAsia" w:eastAsiaTheme="minorEastAsia" w:cstheme="minorEastAsia"/>
          <w:snapToGrid w:val="0"/>
          <w:color w:val="000000" w:themeColor="text1"/>
          <w:kern w:val="0"/>
          <w:highlight w:val="none"/>
          <w:u w:val="singl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highlight w:val="none"/>
          <w14:textFill>
            <w14:solidFill>
              <w14:schemeClr w14:val="tx1"/>
            </w14:solidFill>
          </w14:textFill>
        </w:rPr>
        <w:t>1.2</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 xml:space="preserve"> 标段划分：</w:t>
      </w:r>
      <w:bookmarkEnd w:id="33"/>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本招标项目不划分标段。</w:t>
      </w:r>
    </w:p>
    <w:p w14:paraId="3302462C">
      <w:pPr>
        <w:pStyle w:val="38"/>
        <w:tabs>
          <w:tab w:val="left" w:pos="7020"/>
        </w:tabs>
        <w:ind w:firstLine="482"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1.3</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监理单位：</w:t>
      </w:r>
      <w:r>
        <w:rPr>
          <w:rFonts w:hint="eastAsia" w:asciiTheme="minorEastAsia" w:hAnsiTheme="minorEastAsia" w:eastAsiaTheme="minorEastAsia" w:cstheme="minorEastAsia"/>
          <w:color w:val="000000" w:themeColor="text1"/>
          <w:szCs w:val="18"/>
          <w:highlight w:val="none"/>
          <w:u w:val="single"/>
          <w14:textFill>
            <w14:solidFill>
              <w14:schemeClr w14:val="tx1"/>
            </w14:solidFill>
          </w14:textFill>
        </w:rPr>
        <w:t>待定</w:t>
      </w:r>
      <w:r>
        <w:rPr>
          <w:rFonts w:hint="eastAsia" w:asciiTheme="minorEastAsia" w:hAnsiTheme="minorEastAsia" w:eastAsiaTheme="minorEastAsia" w:cstheme="minorEastAsia"/>
          <w:color w:val="000000" w:themeColor="text1"/>
          <w:szCs w:val="18"/>
          <w:highlight w:val="none"/>
          <w14:textFill>
            <w14:solidFill>
              <w14:schemeClr w14:val="tx1"/>
            </w14:solidFill>
          </w14:textFill>
        </w:rPr>
        <w:t>。</w:t>
      </w:r>
    </w:p>
    <w:p w14:paraId="7530DDF6">
      <w:pPr>
        <w:pStyle w:val="38"/>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1.4</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投标费用：</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投标人应承担所有准备和参加投标的相关费用，不论投标结果如何，招标人均无义务和责任承担这些费用</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bookmarkStart w:id="34" w:name="_Toc106184808"/>
    </w:p>
    <w:p w14:paraId="3EB48DDC">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35" w:name="_Toc7700"/>
      <w:bookmarkStart w:id="36" w:name="_Toc17359"/>
      <w:bookmarkStart w:id="37" w:name="_Toc22550"/>
      <w:bookmarkStart w:id="38" w:name="_Toc32400"/>
      <w:bookmarkStart w:id="39" w:name="_Toc12190"/>
      <w:bookmarkStart w:id="40" w:name="_Toc14958"/>
      <w:bookmarkStart w:id="41" w:name="_Toc19213"/>
      <w:bookmarkStart w:id="42" w:name="_Toc6635"/>
      <w:bookmarkStart w:id="43" w:name="_Toc18851"/>
      <w:bookmarkStart w:id="44" w:name="_Toc121"/>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2 、招标范围</w:t>
      </w:r>
      <w:bookmarkEnd w:id="34"/>
      <w:bookmarkEnd w:id="35"/>
      <w:bookmarkEnd w:id="36"/>
      <w:bookmarkEnd w:id="37"/>
      <w:bookmarkEnd w:id="38"/>
      <w:bookmarkEnd w:id="39"/>
      <w:bookmarkEnd w:id="40"/>
      <w:bookmarkEnd w:id="41"/>
      <w:bookmarkEnd w:id="42"/>
      <w:bookmarkEnd w:id="43"/>
      <w:bookmarkEnd w:id="44"/>
    </w:p>
    <w:p w14:paraId="5E8B1601">
      <w:pPr>
        <w:pStyle w:val="38"/>
        <w:ind w:firstLine="241" w:firstLineChars="1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bookmarkStart w:id="45" w:name="_Hlt91408212"/>
      <w:bookmarkEnd w:id="45"/>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2.1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招标范围：</w:t>
      </w:r>
      <w:bookmarkStart w:id="46" w:name="_Toc7799"/>
      <w:bookmarkStart w:id="47" w:name="_Toc13988"/>
      <w:bookmarkStart w:id="48" w:name="_Toc4645"/>
      <w:bookmarkStart w:id="49" w:name="_Toc2217"/>
      <w:bookmarkStart w:id="50" w:name="_Toc26845"/>
      <w:bookmarkStart w:id="51" w:name="_Toc27886"/>
      <w:bookmarkStart w:id="52" w:name="_Toc708"/>
      <w:bookmarkStart w:id="53" w:name="_Toc1366"/>
      <w:bookmarkStart w:id="54" w:name="_Toc2350"/>
      <w:bookmarkStart w:id="55" w:name="_Toc32739"/>
      <w:bookmarkStart w:id="56" w:name="_Toc21803"/>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本工程所涉及的内容包括但不限于以下（1）</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p>
    <w:bookmarkEnd w:id="46"/>
    <w:bookmarkEnd w:id="47"/>
    <w:bookmarkEnd w:id="48"/>
    <w:p w14:paraId="57DACB43">
      <w:pPr>
        <w:pStyle w:val="38"/>
        <w:ind w:firstLine="240" w:firstLineChars="100"/>
        <w:jc w:val="left"/>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1）勘察部分：初步勘察、详细勘察（包括岩土工程勘察、地形测量等）。</w:t>
      </w:r>
    </w:p>
    <w:p w14:paraId="703F1815">
      <w:pPr>
        <w:pStyle w:val="38"/>
        <w:ind w:firstLine="240" w:firstLineChars="100"/>
        <w:jc w:val="left"/>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设计部分：</w:t>
      </w:r>
      <w:r>
        <w:rPr>
          <w:rFonts w:hint="eastAsia" w:asciiTheme="minorEastAsia" w:hAnsiTheme="minorEastAsia" w:eastAsiaTheme="minorEastAsia" w:cstheme="minorEastAsia"/>
          <w:snapToGrid w:val="0"/>
          <w:color w:val="000000" w:themeColor="text1"/>
          <w:kern w:val="0"/>
          <w:sz w:val="24"/>
          <w:szCs w:val="24"/>
          <w:highlight w:val="none"/>
          <w:lang w:val="zh-CN" w:eastAsia="zh-CN"/>
          <w14:textFill>
            <w14:solidFill>
              <w14:schemeClr w14:val="tx1"/>
            </w14:solidFill>
          </w14:textFill>
        </w:rPr>
        <w:t>确保项目顺利实施的报建、报批、施工等所需的所有建安工程等设计文件。包括但不限于：初步设计及概算、施工图设计</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、提供项目所需相关检测项的明细表和危险性较大的分部分项工程清单及保障安全相关说明、</w:t>
      </w:r>
      <w:r>
        <w:rPr>
          <w:rFonts w:hint="eastAsia" w:asciiTheme="minorEastAsia" w:hAnsiTheme="minorEastAsia" w:eastAsiaTheme="minorEastAsia" w:cstheme="minorEastAsia"/>
          <w:snapToGrid w:val="0"/>
          <w:color w:val="000000" w:themeColor="text1"/>
          <w:kern w:val="0"/>
          <w:sz w:val="24"/>
          <w:szCs w:val="24"/>
          <w:highlight w:val="none"/>
          <w:lang w:val="zh-CN" w:eastAsia="zh-CN"/>
          <w14:textFill>
            <w14:solidFill>
              <w14:schemeClr w14:val="tx1"/>
            </w14:solidFill>
          </w14:textFill>
        </w:rPr>
        <w:t>工地现场服务、验收过程中的设计指导及配合阶段验收及档案整理、协助施工单位编制竣工图及后续设计服务工作</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p>
    <w:p w14:paraId="0C806472">
      <w:pPr>
        <w:pStyle w:val="38"/>
        <w:ind w:firstLine="241" w:firstLineChars="100"/>
        <w:jc w:val="left"/>
        <w:rPr>
          <w:rFonts w:hint="eastAsia" w:asciiTheme="minorEastAsia" w:hAnsiTheme="minorEastAsia" w:eastAsiaTheme="minorEastAsia" w:cstheme="minorEastAsia"/>
          <w:b/>
          <w:bCs/>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lang w:eastAsia="zh-CN"/>
          <w14:textFill>
            <w14:solidFill>
              <w14:schemeClr w14:val="tx1"/>
            </w14:solidFill>
          </w14:textFill>
        </w:rPr>
        <w:t>注：设计文件深度要求必须满足住房和城乡建设部《市政公用工程设计文件编制深度规定（2013版）》和《建筑工程设计文件编制深度规定（2016版）》的要求，各专业还应该满足各专业工程设计文件编制深度规范或规定的要求。</w:t>
      </w:r>
    </w:p>
    <w:p w14:paraId="5A9B7D91">
      <w:pPr>
        <w:pStyle w:val="38"/>
        <w:ind w:firstLine="240" w:firstLineChars="100"/>
        <w:jc w:val="left"/>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）施工部分：设计文件及工程量清单范围内的所有工程及配套工程、设施等的施工</w:t>
      </w:r>
      <w:r>
        <w:rPr>
          <w:rFonts w:hint="eastAsia" w:asciiTheme="minorEastAsia" w:hAnsiTheme="minorEastAsia" w:eastAsiaTheme="minorEastAsia" w:cstheme="minorEastAsia"/>
          <w:snapToGrid w:val="0"/>
          <w:color w:val="000000" w:themeColor="text1"/>
          <w:kern w:val="0"/>
          <w:sz w:val="24"/>
          <w:szCs w:val="24"/>
          <w:highlight w:val="none"/>
          <w:lang w:val="zh-CN" w:eastAsia="zh-CN"/>
          <w14:textFill>
            <w14:solidFill>
              <w14:schemeClr w14:val="tx1"/>
            </w14:solidFill>
          </w14:textFill>
        </w:rPr>
        <w:t>（含竣工验收资料编制整理、备案等），完成并配合发包人结算、负责工程缺陷保修以及发包人要求由施工单位完成的其他工作（发包人另行委托其他单位负责实施的工作内容除外，但需提供一系列协调及配合服务）等</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p>
    <w:p w14:paraId="4C6ED494">
      <w:pPr>
        <w:pStyle w:val="38"/>
        <w:keepNext/>
        <w:keepLines/>
        <w:ind w:firstLineChars="200"/>
        <w:jc w:val="both"/>
        <w:rPr>
          <w:rFonts w:hint="eastAsia" w:asciiTheme="minorEastAsia" w:hAnsiTheme="minorEastAsia" w:eastAsiaTheme="minorEastAsia" w:cstheme="minorEastAsia"/>
          <w:b w:val="0"/>
          <w:snapToGrid w:val="0"/>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 w:val="0"/>
          <w:snapToGrid w:val="0"/>
          <w:color w:val="000000" w:themeColor="text1"/>
          <w:kern w:val="2"/>
          <w:highlight w:val="none"/>
          <w14:textFill>
            <w14:solidFill>
              <w14:schemeClr w14:val="tx1"/>
            </w14:solidFill>
          </w14:textFill>
        </w:rPr>
        <w:t>3</w:t>
      </w:r>
      <w:bookmarkStart w:id="57" w:name="_Hlt66187826"/>
      <w:bookmarkEnd w:id="57"/>
      <w:r>
        <w:rPr>
          <w:rFonts w:hint="eastAsia" w:asciiTheme="minorEastAsia" w:hAnsiTheme="minorEastAsia" w:eastAsiaTheme="minorEastAsia" w:cstheme="minorEastAsia"/>
          <w:b w:val="0"/>
          <w:snapToGrid w:val="0"/>
          <w:color w:val="000000" w:themeColor="text1"/>
          <w:kern w:val="2"/>
          <w:highlight w:val="none"/>
          <w14:textFill>
            <w14:solidFill>
              <w14:schemeClr w14:val="tx1"/>
            </w14:solidFill>
          </w14:textFill>
        </w:rPr>
        <w:t>、工期</w:t>
      </w:r>
      <w:bookmarkEnd w:id="49"/>
      <w:bookmarkEnd w:id="50"/>
      <w:bookmarkEnd w:id="51"/>
      <w:bookmarkEnd w:id="52"/>
      <w:bookmarkEnd w:id="53"/>
      <w:bookmarkEnd w:id="54"/>
      <w:bookmarkEnd w:id="55"/>
      <w:bookmarkEnd w:id="56"/>
    </w:p>
    <w:p w14:paraId="1D49252B">
      <w:pPr>
        <w:pStyle w:val="38"/>
        <w:ind w:firstLine="480" w:firstLineChars="200"/>
        <w:rPr>
          <w:rFonts w:hint="eastAsia" w:asciiTheme="minorEastAsia" w:hAnsiTheme="minorEastAsia" w:eastAsiaTheme="minorEastAsia" w:cstheme="minorEastAsia"/>
          <w:snapToGrid w:val="0"/>
          <w:color w:val="000000" w:themeColor="text1"/>
          <w:szCs w:val="20"/>
          <w:highlight w:val="none"/>
          <w14:textFill>
            <w14:solidFill>
              <w14:schemeClr w14:val="tx1"/>
            </w14:solidFill>
          </w14:textFill>
        </w:rPr>
      </w:pPr>
      <w:r>
        <w:rPr>
          <w:rFonts w:hint="eastAsia" w:asciiTheme="minorEastAsia" w:hAnsiTheme="minorEastAsia" w:eastAsiaTheme="minorEastAsia" w:cstheme="minorEastAsia"/>
          <w:b w:val="0"/>
          <w:bCs w:val="0"/>
          <w:snapToGrid w:val="0"/>
          <w:color w:val="000000" w:themeColor="text1"/>
          <w:highlight w:val="none"/>
          <w14:textFill>
            <w14:solidFill>
              <w14:schemeClr w14:val="tx1"/>
            </w14:solidFill>
          </w14:textFill>
        </w:rPr>
        <w:t>3.1</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本项目勘察设计、施工总工期</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 xml:space="preserve"> 180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日历天，其中：</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勘察</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设计工期为</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60</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日历天</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施工工期为</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 xml:space="preserve"> 120</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日历天。</w:t>
      </w:r>
      <w:r>
        <w:rPr>
          <w:rFonts w:hint="eastAsia" w:asciiTheme="minorEastAsia" w:hAnsiTheme="minorEastAsia" w:eastAsiaTheme="minorEastAsia" w:cstheme="minorEastAsia"/>
          <w:snapToGrid w:val="0"/>
          <w:color w:val="000000" w:themeColor="text1"/>
          <w:kern w:val="2"/>
          <w:highlight w:val="none"/>
          <w14:textFill>
            <w14:solidFill>
              <w14:schemeClr w14:val="tx1"/>
            </w14:solidFill>
          </w14:textFill>
        </w:rPr>
        <w:t>中标人必须在所要求的工期内</w:t>
      </w:r>
      <w:r>
        <w:rPr>
          <w:rFonts w:hint="eastAsia" w:asciiTheme="minorEastAsia" w:hAnsiTheme="minorEastAsia" w:eastAsiaTheme="minorEastAsia" w:cstheme="minorEastAsia"/>
          <w:snapToGrid w:val="0"/>
          <w:color w:val="000000" w:themeColor="text1"/>
          <w:kern w:val="2"/>
          <w:highlight w:val="none"/>
          <w:lang w:eastAsia="zh-CN"/>
          <w14:textFill>
            <w14:solidFill>
              <w14:schemeClr w14:val="tx1"/>
            </w14:solidFill>
          </w14:textFill>
        </w:rPr>
        <w:t>完成招标范围内的全部内容</w:t>
      </w:r>
      <w:r>
        <w:rPr>
          <w:rFonts w:hint="eastAsia" w:asciiTheme="minorEastAsia" w:hAnsiTheme="minorEastAsia" w:eastAsiaTheme="minorEastAsia" w:cstheme="minorEastAsia"/>
          <w:snapToGrid w:val="0"/>
          <w:color w:val="000000" w:themeColor="text1"/>
          <w:kern w:val="2"/>
          <w:highlight w:val="none"/>
          <w14:textFill>
            <w14:solidFill>
              <w14:schemeClr w14:val="tx1"/>
            </w14:solidFill>
          </w14:textFill>
        </w:rPr>
        <w:t>。</w:t>
      </w:r>
    </w:p>
    <w:p w14:paraId="7069292E">
      <w:pPr>
        <w:pStyle w:val="38"/>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val="0"/>
          <w:bCs w:val="0"/>
          <w:snapToGrid w:val="0"/>
          <w:color w:val="000000" w:themeColor="text1"/>
          <w:highlight w:val="none"/>
          <w14:textFill>
            <w14:solidFill>
              <w14:schemeClr w14:val="tx1"/>
            </w14:solidFill>
          </w14:textFill>
        </w:rPr>
        <w:t>3.2</w:t>
      </w:r>
      <w:r>
        <w:rPr>
          <w:rFonts w:hint="eastAsia" w:asciiTheme="minorEastAsia" w:hAnsiTheme="minorEastAsia" w:eastAsiaTheme="minorEastAsia" w:cstheme="minorEastAsia"/>
          <w:color w:val="000000" w:themeColor="text1"/>
          <w:highlight w:val="none"/>
          <w14:textFill>
            <w14:solidFill>
              <w14:schemeClr w14:val="tx1"/>
            </w14:solidFill>
          </w14:textFill>
        </w:rPr>
        <w:t>因中标人原因，没有按期完成设计任务、工程没有按期竣工时，中标人须在逾期第壹天起每天分别按设计、施工合同价款的1.5</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‰向</w:t>
      </w:r>
      <w:r>
        <w:rPr>
          <w:rFonts w:hint="eastAsia" w:asciiTheme="minorEastAsia" w:hAnsiTheme="minorEastAsia" w:eastAsiaTheme="minorEastAsia" w:cstheme="minorEastAsia"/>
          <w:color w:val="000000" w:themeColor="text1"/>
          <w:highlight w:val="none"/>
          <w14:textFill>
            <w14:solidFill>
              <w14:schemeClr w14:val="tx1"/>
            </w14:solidFill>
          </w14:textFill>
        </w:rPr>
        <w:t>招标人缴纳逾期违约金，分别累计最高不超过设计、施工合同价款的10%向招标人缴纳逾期违约金。</w:t>
      </w:r>
    </w:p>
    <w:p w14:paraId="4BCB15A2">
      <w:pPr>
        <w:pStyle w:val="38"/>
        <w:ind w:firstLine="482" w:firstLineChars="200"/>
        <w:rPr>
          <w:rFonts w:hint="eastAsia" w:asciiTheme="minorEastAsia" w:hAnsiTheme="minorEastAsia" w:eastAsiaTheme="minorEastAsia" w:cstheme="minorEastAsia"/>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b/>
          <w:color w:val="000000" w:themeColor="text1"/>
          <w:kern w:val="44"/>
          <w:highlight w:val="none"/>
          <w14:textFill>
            <w14:solidFill>
              <w14:schemeClr w14:val="tx1"/>
            </w14:solidFill>
          </w14:textFill>
        </w:rPr>
        <w:t>3.3</w:t>
      </w:r>
      <w:r>
        <w:rPr>
          <w:rFonts w:hint="eastAsia" w:asciiTheme="minorEastAsia" w:hAnsiTheme="minorEastAsia" w:eastAsiaTheme="minorEastAsia" w:cstheme="minorEastAsia"/>
          <w:color w:val="000000" w:themeColor="text1"/>
          <w:highlight w:val="none"/>
          <w14:textFill>
            <w14:solidFill>
              <w14:schemeClr w14:val="tx1"/>
            </w14:solidFill>
          </w14:textFill>
        </w:rPr>
        <w:t>设计工期自</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中标通知书发出之日</w:t>
      </w:r>
      <w:r>
        <w:rPr>
          <w:rFonts w:hint="eastAsia" w:asciiTheme="minorEastAsia" w:hAnsiTheme="minorEastAsia" w:eastAsiaTheme="minorEastAsia" w:cstheme="minorEastAsia"/>
          <w:color w:val="000000" w:themeColor="text1"/>
          <w:highlight w:val="none"/>
          <w14:textFill>
            <w14:solidFill>
              <w14:schemeClr w14:val="tx1"/>
            </w14:solidFill>
          </w14:textFill>
        </w:rPr>
        <w:t>起计算，至提交符合招标人及审图机构要求的施工图设计文件以及符合要求的施工图预算之日止（每一步设计工作，必须以招标人及有关部门审核批准后方可实施）</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p>
    <w:p w14:paraId="5689BC32">
      <w:pPr>
        <w:pStyle w:val="38"/>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3</w:t>
      </w:r>
      <w:r>
        <w:rPr>
          <w:rFonts w:hint="eastAsia" w:asciiTheme="minorEastAsia" w:hAnsiTheme="minorEastAsia" w:eastAsiaTheme="minorEastAsia" w:cstheme="minorEastAsia"/>
          <w:b/>
          <w:bCs/>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b/>
          <w:bCs/>
          <w:color w:val="000000" w:themeColor="text1"/>
          <w:highlight w:val="none"/>
          <w14:textFill>
            <w14:solidFill>
              <w14:schemeClr w14:val="tx1"/>
            </w14:solidFill>
          </w14:textFill>
        </w:rPr>
        <w:t>4</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 xml:space="preserve"> 施工工期从开工令签发之日起计，至竣工验收之日止。</w:t>
      </w:r>
      <w:bookmarkStart w:id="58" w:name="_Toc11872"/>
    </w:p>
    <w:p w14:paraId="1FEB7EBD">
      <w:pPr>
        <w:pStyle w:val="40"/>
        <w:keepNext/>
        <w:keepLines/>
        <w:ind w:firstLine="482" w:firstLineChars="200"/>
        <w:jc w:val="both"/>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pPr>
      <w:bookmarkStart w:id="59" w:name="_Toc13379"/>
      <w:bookmarkStart w:id="60" w:name="_Toc24539"/>
      <w:bookmarkStart w:id="61" w:name="_Toc3312"/>
      <w:bookmarkStart w:id="62" w:name="_Toc12162"/>
      <w:bookmarkStart w:id="63" w:name="_Toc2499"/>
      <w:bookmarkStart w:id="64" w:name="_Toc8255"/>
      <w:bookmarkStart w:id="65" w:name="_Toc1889"/>
      <w:bookmarkStart w:id="66" w:name="_Toc30034"/>
      <w:bookmarkStart w:id="67" w:name="_Toc19644"/>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4 、投标人资质及条件要求</w:t>
      </w:r>
      <w:bookmarkEnd w:id="58"/>
      <w:bookmarkEnd w:id="59"/>
      <w:bookmarkEnd w:id="60"/>
      <w:bookmarkEnd w:id="61"/>
      <w:bookmarkEnd w:id="62"/>
      <w:bookmarkEnd w:id="63"/>
      <w:bookmarkEnd w:id="64"/>
      <w:bookmarkEnd w:id="65"/>
      <w:bookmarkEnd w:id="66"/>
      <w:bookmarkEnd w:id="67"/>
      <w:bookmarkStart w:id="68" w:name="_Hlt74496495"/>
      <w:bookmarkEnd w:id="68"/>
    </w:p>
    <w:p w14:paraId="73D49CEE">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4.1</w:t>
      </w:r>
      <w:r>
        <w:rPr>
          <w:rFonts w:hint="eastAsia" w:asciiTheme="minorEastAsia" w:hAnsiTheme="minorEastAsia" w:eastAsiaTheme="minorEastAsia" w:cstheme="minorEastAsia"/>
          <w:color w:val="000000" w:themeColor="text1"/>
          <w:kern w:val="0"/>
          <w:sz w:val="24"/>
          <w:highlight w:val="none"/>
          <w:lang w:eastAsia="zh-CN"/>
          <w14:textFill>
            <w14:solidFill>
              <w14:schemeClr w14:val="tx1"/>
            </w14:solidFill>
          </w14:textFill>
        </w:rPr>
        <w:t>本次招标接受联合体投标，联合体以一个投标人的身份共同投标。</w:t>
      </w:r>
    </w:p>
    <w:p w14:paraId="27F00CF8">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4.1.1</w:t>
      </w: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联合体成员数量不超过</w:t>
      </w:r>
      <w:r>
        <w:rPr>
          <w:rFonts w:hint="eastAsia" w:asciiTheme="minorEastAsia" w:hAnsiTheme="minorEastAsia" w:eastAsiaTheme="minorEastAsia" w:cstheme="minorEastAsia"/>
          <w:color w:val="000000" w:themeColor="text1"/>
          <w:kern w:val="0"/>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个。</w:t>
      </w:r>
    </w:p>
    <w:p w14:paraId="1226EA21">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4.1.2</w:t>
      </w:r>
      <w:r>
        <w:rPr>
          <w:rFonts w:hint="eastAsia" w:asciiTheme="minorEastAsia" w:hAnsiTheme="minorEastAsia" w:eastAsiaTheme="minorEastAsia" w:cstheme="minorEastAsia"/>
          <w:color w:val="000000" w:themeColor="text1"/>
          <w:kern w:val="0"/>
          <w:sz w:val="24"/>
          <w:highlight w:val="none"/>
          <w:lang w:eastAsia="zh-CN"/>
          <w14:textFill>
            <w14:solidFill>
              <w14:schemeClr w14:val="tx1"/>
            </w14:solidFill>
          </w14:textFill>
        </w:rPr>
        <w:t>联合体各方应按招标文件提供的格式签订联合体协议书，明确联合体牵头人和各方权利义务，并承诺就中标项目向招标人承担连带责任。《联合体协议书》作为投标文件的组成部分向招标人提交。</w:t>
      </w:r>
    </w:p>
    <w:p w14:paraId="2F046095">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4.1.3</w:t>
      </w:r>
      <w:r>
        <w:rPr>
          <w:rFonts w:hint="eastAsia" w:asciiTheme="minorEastAsia" w:hAnsiTheme="minorEastAsia" w:eastAsiaTheme="minorEastAsia" w:cstheme="minorEastAsia"/>
          <w:color w:val="000000" w:themeColor="text1"/>
          <w:kern w:val="0"/>
          <w:sz w:val="24"/>
          <w:highlight w:val="none"/>
          <w:lang w:eastAsia="zh-CN"/>
          <w14:textFill>
            <w14:solidFill>
              <w14:schemeClr w14:val="tx1"/>
            </w14:solidFill>
          </w14:textFill>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483020D0">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4.1.4</w:t>
      </w:r>
      <w:r>
        <w:rPr>
          <w:rFonts w:hint="eastAsia" w:asciiTheme="minorEastAsia" w:hAnsiTheme="minorEastAsia" w:eastAsiaTheme="minorEastAsia" w:cstheme="minorEastAsia"/>
          <w:color w:val="000000" w:themeColor="text1"/>
          <w:kern w:val="0"/>
          <w:sz w:val="24"/>
          <w:highlight w:val="none"/>
          <w:lang w:eastAsia="zh-CN"/>
          <w14:textFill>
            <w14:solidFill>
              <w14:schemeClr w14:val="tx1"/>
            </w14:solidFill>
          </w14:textFill>
        </w:rPr>
        <w:t>联合体各方不得再以自己名义单独或参加其他联合体在本招标项目中投标，否则各相关投标均无效。</w:t>
      </w:r>
    </w:p>
    <w:p w14:paraId="1F7E3C0F">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4.2</w:t>
      </w: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资质要求</w:t>
      </w:r>
    </w:p>
    <w:p w14:paraId="5D0EAD91">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4.2.1</w:t>
      </w:r>
      <w:r>
        <w:rPr>
          <w:rFonts w:hint="eastAsia" w:asciiTheme="minorEastAsia" w:hAnsiTheme="minorEastAsia" w:eastAsiaTheme="minorEastAsia" w:cstheme="minorEastAsia"/>
          <w:color w:val="000000" w:themeColor="text1"/>
          <w:kern w:val="0"/>
          <w:sz w:val="24"/>
          <w:highlight w:val="none"/>
          <w:lang w:eastAsia="zh-CN"/>
          <w14:textFill>
            <w14:solidFill>
              <w14:schemeClr w14:val="tx1"/>
            </w14:solidFill>
          </w14:textFill>
        </w:rPr>
        <w:t>投标人须具备独立法人资格，按国家法律经营。</w:t>
      </w:r>
    </w:p>
    <w:p w14:paraId="205647D5">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4.2.2</w:t>
      </w:r>
      <w:r>
        <w:rPr>
          <w:rFonts w:hint="eastAsia" w:asciiTheme="minorEastAsia" w:hAnsiTheme="minorEastAsia" w:eastAsiaTheme="minorEastAsia" w:cstheme="minorEastAsia"/>
          <w:color w:val="000000" w:themeColor="text1"/>
          <w:kern w:val="0"/>
          <w:sz w:val="24"/>
          <w:highlight w:val="none"/>
          <w:lang w:eastAsia="zh-CN"/>
          <w14:textFill>
            <w14:solidFill>
              <w14:schemeClr w14:val="tx1"/>
            </w14:solidFill>
          </w14:textFill>
        </w:rPr>
        <w:t>投标人须持有行政主管部门颁发的企业资质证书。</w:t>
      </w:r>
    </w:p>
    <w:p w14:paraId="36F8CD9E">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4.2.3</w:t>
      </w:r>
      <w:r>
        <w:rPr>
          <w:rFonts w:hint="eastAsia" w:ascii="宋体" w:hAnsi="宋体" w:eastAsia="宋体" w:cs="宋体"/>
          <w:color w:val="000000" w:themeColor="text1"/>
          <w:sz w:val="24"/>
          <w:szCs w:val="24"/>
          <w:highlight w:val="none"/>
          <w:lang w:val="zh-CN"/>
          <w14:textFill>
            <w14:solidFill>
              <w14:schemeClr w14:val="tx1"/>
            </w14:solidFill>
          </w14:textFill>
        </w:rPr>
        <w:t>投标人须具备以下资质：参加投标的投标人可以是单一独立法人或由不超过3家独立法人组成的联合体（必须注明其中一家为牵头人），单一独立法人必须至少同时具备以下①～③资质，组成联合体投标的，联合后必须至少具备以下①～③资质，联合体牵头人必须为①，由同一专业的单位组成的联合体，按照资质等级较低的单位确定资质等级：</w:t>
      </w:r>
    </w:p>
    <w:p w14:paraId="606D32C8">
      <w:pPr>
        <w:pStyle w:val="41"/>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zh-CN"/>
          <w14:textFill>
            <w14:solidFill>
              <w14:schemeClr w14:val="tx1"/>
            </w14:solidFill>
          </w14:textFill>
        </w:rPr>
        <w:t>①施工资质：具备建设行政主管部门颁发的</w:t>
      </w:r>
      <w:r>
        <w:rPr>
          <w:rFonts w:hint="eastAsia" w:asciiTheme="minorEastAsia" w:hAnsiTheme="minorEastAsia" w:eastAsiaTheme="minorEastAsia" w:cstheme="minorEastAsia"/>
          <w:color w:val="000000" w:themeColor="text1"/>
          <w:sz w:val="24"/>
          <w:szCs w:val="24"/>
          <w:highlight w:val="none"/>
          <w:lang w:val="zh-CN" w:eastAsia="zh-CN"/>
          <w14:textFill>
            <w14:solidFill>
              <w14:schemeClr w14:val="tx1"/>
            </w14:solidFill>
          </w14:textFill>
        </w:rPr>
        <w:t>市政公用工程施工</w:t>
      </w:r>
      <w:r>
        <w:rPr>
          <w:rFonts w:hint="eastAsia" w:asciiTheme="minorEastAsia" w:hAnsiTheme="minorEastAsia" w:eastAsiaTheme="minorEastAsia" w:cstheme="minorEastAsia"/>
          <w:color w:val="000000" w:themeColor="text1"/>
          <w:sz w:val="24"/>
          <w:szCs w:val="24"/>
          <w:highlight w:val="none"/>
          <w:lang w:val="zh-CN"/>
          <w14:textFill>
            <w14:solidFill>
              <w14:schemeClr w14:val="tx1"/>
            </w14:solidFill>
          </w14:textFill>
        </w:rPr>
        <w:t>总承包</w:t>
      </w:r>
      <w:r>
        <w:rPr>
          <w:rFonts w:hint="eastAsia" w:asciiTheme="minorEastAsia" w:hAnsiTheme="minorEastAsia" w:eastAsiaTheme="minorEastAsia" w:cstheme="minorEastAsia"/>
          <w:color w:val="000000" w:themeColor="text1"/>
          <w:sz w:val="24"/>
          <w:szCs w:val="24"/>
          <w:highlight w:val="none"/>
          <w:lang w:val="zh-CN" w:eastAsia="zh-CN"/>
          <w14:textFill>
            <w14:solidFill>
              <w14:schemeClr w14:val="tx1"/>
            </w14:solidFill>
          </w14:textFill>
        </w:rPr>
        <w:t>三</w:t>
      </w:r>
      <w:r>
        <w:rPr>
          <w:rFonts w:hint="eastAsia" w:asciiTheme="minorEastAsia" w:hAnsiTheme="minorEastAsia" w:eastAsiaTheme="minorEastAsia" w:cstheme="minorEastAsia"/>
          <w:color w:val="000000" w:themeColor="text1"/>
          <w:sz w:val="24"/>
          <w:szCs w:val="24"/>
          <w:highlight w:val="none"/>
          <w:lang w:val="zh-CN"/>
          <w14:textFill>
            <w14:solidFill>
              <w14:schemeClr w14:val="tx1"/>
            </w14:solidFill>
          </w14:textFill>
        </w:rPr>
        <w:t>级以上（含</w:t>
      </w:r>
      <w:r>
        <w:rPr>
          <w:rFonts w:hint="eastAsia" w:asciiTheme="minorEastAsia" w:hAnsiTheme="minorEastAsia" w:eastAsiaTheme="minorEastAsia" w:cstheme="minorEastAsia"/>
          <w:color w:val="000000" w:themeColor="text1"/>
          <w:sz w:val="24"/>
          <w:szCs w:val="24"/>
          <w:highlight w:val="none"/>
          <w:lang w:val="zh-CN" w:eastAsia="zh-CN"/>
          <w14:textFill>
            <w14:solidFill>
              <w14:schemeClr w14:val="tx1"/>
            </w14:solidFill>
          </w14:textFill>
        </w:rPr>
        <w:t>三</w:t>
      </w:r>
      <w:r>
        <w:rPr>
          <w:rFonts w:hint="eastAsia" w:asciiTheme="minorEastAsia" w:hAnsiTheme="minorEastAsia" w:eastAsiaTheme="minorEastAsia" w:cstheme="minorEastAsia"/>
          <w:color w:val="000000" w:themeColor="text1"/>
          <w:sz w:val="24"/>
          <w:szCs w:val="24"/>
          <w:highlight w:val="none"/>
          <w:lang w:val="zh-CN"/>
          <w14:textFill>
            <w14:solidFill>
              <w14:schemeClr w14:val="tx1"/>
            </w14:solidFill>
          </w14:textFill>
        </w:rPr>
        <w:t>级）资质，并获得安全生产许可证的独立法人。</w:t>
      </w:r>
    </w:p>
    <w:p w14:paraId="463EBBFF">
      <w:pPr>
        <w:pStyle w:val="41"/>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② 勘察资质：勘察企业必须具备行政主管部门颁发的以下资质之一：</w:t>
      </w:r>
    </w:p>
    <w:p w14:paraId="076E9C1E">
      <w:pPr>
        <w:pStyle w:val="41"/>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（1）具备工程勘察综合类甲级资质；</w:t>
      </w:r>
    </w:p>
    <w:p w14:paraId="146705EA">
      <w:pPr>
        <w:pStyle w:val="41"/>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（2）具备工程勘察专业（岩土工程）乙级以上（含乙级）资质；</w:t>
      </w:r>
    </w:p>
    <w:p w14:paraId="051699A3">
      <w:pPr>
        <w:pStyle w:val="41"/>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（3）具备工程勘察专业（岩土工程（岩土工程勘察））乙级以上（含乙级）资质。</w:t>
      </w:r>
    </w:p>
    <w:p w14:paraId="1A791F00">
      <w:pPr>
        <w:pStyle w:val="41"/>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注：勘察企业若不具备</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测量或测绘</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资质的，中标后必须在招标人的监督管理下委托具备相应资质及能力的单位来完成该部分工作，费用已包含在本次招标费用中。</w:t>
      </w:r>
    </w:p>
    <w:p w14:paraId="726FD639">
      <w:pPr>
        <w:pStyle w:val="41"/>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③设计企业：必须具备建设行政主管部门颁发的以下资质之一：</w:t>
      </w:r>
    </w:p>
    <w:p w14:paraId="1A1B7AB0">
      <w:pPr>
        <w:pStyle w:val="41"/>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1、工程设计综合甲级资质；</w:t>
      </w:r>
    </w:p>
    <w:p w14:paraId="5B6E4F85">
      <w:pPr>
        <w:pStyle w:val="41"/>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2、工程设计市政行业乙级以上（含乙级）资质；</w:t>
      </w:r>
    </w:p>
    <w:p w14:paraId="5362B1E2">
      <w:pPr>
        <w:pStyle w:val="41"/>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3、工程设计市政行业(燃气工程、轨道交通工程除外)乙级以上（含乙级）资质；</w:t>
      </w:r>
    </w:p>
    <w:p w14:paraId="4F1B14CE">
      <w:pPr>
        <w:pStyle w:val="41"/>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4、工程设计市政行业道路工程专业乙级以上（含乙级）资质及工程设计市政行业排水工程专业乙级以上（含乙级）资质。</w:t>
      </w:r>
    </w:p>
    <w:p w14:paraId="5F2523EB">
      <w:pPr>
        <w:pStyle w:val="41"/>
        <w:wordWrap w:val="0"/>
        <w:adjustRightInd w:val="0"/>
        <w:snapToGrid w:val="0"/>
        <w:spacing w:line="360"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注：设计企业若不具备施工图审查资质的，中标后必须在招标人的监督管理下委托具备相应资质及能力的单位来完成该部分工作，费用已包含在本次招标费用中。</w:t>
      </w:r>
    </w:p>
    <w:p w14:paraId="08657618">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strike/>
          <w:color w:val="000000" w:themeColor="text1"/>
          <w:sz w:val="24"/>
          <w:highlight w:val="none"/>
          <w:lang w:val="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zh-CN"/>
          <w14:textFill>
            <w14:solidFill>
              <w14:schemeClr w14:val="tx1"/>
            </w14:solidFill>
          </w14:textFill>
        </w:rPr>
        <w:t>4.2.4</w:t>
      </w:r>
      <w:r>
        <w:rPr>
          <w:rFonts w:hint="eastAsia" w:asciiTheme="minorEastAsia" w:hAnsiTheme="minorEastAsia" w:eastAsiaTheme="minorEastAsia" w:cstheme="minorEastAsia"/>
          <w:color w:val="000000" w:themeColor="text1"/>
          <w:sz w:val="24"/>
          <w:szCs w:val="24"/>
          <w:highlight w:val="none"/>
          <w:lang w:val="zh-CN"/>
          <w14:textFill>
            <w14:solidFill>
              <w14:schemeClr w14:val="tx1"/>
            </w14:solidFill>
          </w14:textFill>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2E64BD9C">
      <w:pPr>
        <w:pStyle w:val="41"/>
        <w:wordWrap w:val="0"/>
        <w:adjustRightInd w:val="0"/>
        <w:snapToGrid w:val="0"/>
        <w:spacing w:line="360" w:lineRule="auto"/>
        <w:ind w:firstLine="480"/>
        <w:jc w:val="left"/>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4.3</w:t>
      </w: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相关人员要求</w:t>
      </w:r>
    </w:p>
    <w:p w14:paraId="5C455CF6">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highlight w:val="none"/>
          <w14:textFill>
            <w14:solidFill>
              <w14:schemeClr w14:val="tx1"/>
            </w14:solidFill>
          </w14:textFill>
        </w:rPr>
        <w:t>4.3.1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拟派</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项目经理为具有</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市政公用工程</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专业一级或二级注册建造师</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应持有住建部门印发的在使用有效期内的有效电子注册证书（根据广东省住房和城乡建设厅（粤建市函〔2023〕469号）文件精神，二级注册建造师可随注册企业在全国范围内执业）。同时均须具备有效安全生产考核合格证明（B证），</w:t>
      </w:r>
      <w: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t>且未担任其他在施（包括已中标未开工、已建成未竣工）</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建设工程项目的项目经理。</w:t>
      </w:r>
    </w:p>
    <w:p w14:paraId="043D2440">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4.</w:t>
      </w: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3.2</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拟派项目技术负责人须具备</w:t>
      </w:r>
      <w:r>
        <w:rPr>
          <w:rFonts w:hint="eastAsia" w:asciiTheme="minorEastAsia" w:hAnsiTheme="minorEastAsia" w:eastAsiaTheme="minorEastAsia" w:cstheme="minorEastAsia"/>
          <w:snapToGrid w:val="0"/>
          <w:color w:val="000000" w:themeColor="text1"/>
          <w:kern w:val="0"/>
          <w:sz w:val="24"/>
          <w:szCs w:val="24"/>
          <w:highlight w:val="none"/>
          <w:u w:val="single"/>
          <w:lang w:val="en-US" w:eastAsia="zh-CN"/>
          <w14:textFill>
            <w14:solidFill>
              <w14:schemeClr w14:val="tx1"/>
            </w14:solidFill>
          </w14:textFill>
        </w:rPr>
        <w:t xml:space="preserve"> 市政工程 </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相关</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专业</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中</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级或以上技术职称。</w:t>
      </w:r>
    </w:p>
    <w:p w14:paraId="7D6591F8">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4.3.3</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拟派专职安全生产管理人员须具备有效安全生产考核合格证明（C证，安全生产考核合格证书或广东省建筑施工企业管理人员安全生产考核系统考核合格信息打印页），且不少于</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人。</w:t>
      </w:r>
    </w:p>
    <w:p w14:paraId="3D7F8AA5">
      <w:pPr>
        <w:pStyle w:val="41"/>
        <w:wordWrap w:val="0"/>
        <w:adjustRightInd w:val="0"/>
        <w:snapToGrid w:val="0"/>
        <w:spacing w:line="360" w:lineRule="auto"/>
        <w:ind w:firstLine="482" w:firstLineChars="200"/>
        <w:jc w:val="left"/>
        <w:rPr>
          <w:rFonts w:hint="eastAsia" w:asciiTheme="minorEastAsia" w:hAnsiTheme="minorEastAsia" w:eastAsiaTheme="minorEastAsia" w:cstheme="minorEastAsia"/>
          <w:i w:val="0"/>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highlight w:val="none"/>
          <w14:textFill>
            <w14:solidFill>
              <w14:schemeClr w14:val="tx1"/>
            </w14:solidFill>
          </w14:textFill>
        </w:rPr>
        <w:t>4.3.4</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拟委派担任本工程的设计负责人具备</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市政工程</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相关专业中级或以上职称</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p>
    <w:p w14:paraId="0ED524E8">
      <w:pPr>
        <w:pStyle w:val="41"/>
        <w:wordWrap w:val="0"/>
        <w:adjustRightInd w:val="0"/>
        <w:snapToGrid w:val="0"/>
        <w:spacing w:line="360" w:lineRule="auto"/>
        <w:ind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4.3.5</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投标人拟派勘察负责人须具有</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注册土木工程师（岩土）证书</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p>
    <w:p w14:paraId="3E224F93">
      <w:pPr>
        <w:pStyle w:val="41"/>
        <w:wordWrap w:val="0"/>
        <w:adjustRightInd w:val="0"/>
        <w:snapToGrid w:val="0"/>
        <w:spacing w:line="360" w:lineRule="auto"/>
        <w:ind w:firstLineChars="200"/>
        <w:jc w:val="lef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lang w:val="en-US" w:eastAsia="zh-CN"/>
          <w14:textFill>
            <w14:solidFill>
              <w14:schemeClr w14:val="tx1"/>
            </w14:solidFill>
          </w14:textFill>
        </w:rPr>
        <w:t>4.3.6</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投标人（包括组成联合体的所有成员单位）与其拟派往本项目管理机构的所有人员之间必须具备合法、唯一的劳动聘用关系。拟派人员中具备注册执业资格的，其注册单位须与投标人保持一致。</w:t>
      </w:r>
    </w:p>
    <w:p w14:paraId="47DA48DA">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4"/>
          <w:highlight w:val="none"/>
          <w14:textFill>
            <w14:solidFill>
              <w14:schemeClr w14:val="tx1"/>
            </w14:solidFill>
          </w14:textFill>
        </w:rPr>
        <w:t>4.4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禁止投标条款：</w:t>
      </w:r>
    </w:p>
    <w:p w14:paraId="4A4EB074">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4"/>
          <w:highlight w:val="none"/>
          <w14:textFill>
            <w14:solidFill>
              <w14:schemeClr w14:val="tx1"/>
            </w14:solidFill>
          </w14:textFill>
        </w:rPr>
        <w:t>4.4.1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投标人不得存在下列情形之一：</w:t>
      </w:r>
    </w:p>
    <w:p w14:paraId="341CEF95">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（1）为招标人不具有独立法人资格的附属机构（单位）；</w:t>
      </w:r>
    </w:p>
    <w:p w14:paraId="2F57983F">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（2）为本招标项目前期准备提供咨询服务的；</w:t>
      </w:r>
    </w:p>
    <w:p w14:paraId="14ED850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（3）与本招标项目的其他投标人为同一个单位负责人；</w:t>
      </w:r>
    </w:p>
    <w:p w14:paraId="6C95BED7">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（4）与本招标项目的其他投标人存在控股、管理关系；</w:t>
      </w:r>
    </w:p>
    <w:p w14:paraId="0685659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（5）为本招标项目的监理人；</w:t>
      </w:r>
    </w:p>
    <w:p w14:paraId="32668DBA">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（6）为本招标项目的代建人；</w:t>
      </w:r>
    </w:p>
    <w:p w14:paraId="5379C25A">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（7）为本招标项目的招标代理机构；</w:t>
      </w:r>
    </w:p>
    <w:p w14:paraId="378B6A89">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（8）与本招标项目的监理人或代建人或招标代理机构同为一个法定代表人；</w:t>
      </w:r>
    </w:p>
    <w:p w14:paraId="5785F3DF">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（9）与本招标项目的监理人或代建人或招标代理机构存在控股或参股关系；</w:t>
      </w:r>
    </w:p>
    <w:p w14:paraId="77D4103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（10）与本招标项目的监理人或代建人或招标代理机构存在相互任职或工作关系；</w:t>
      </w:r>
    </w:p>
    <w:p w14:paraId="6B9211DA">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（11）被依法暂停或者取消投标资格；</w:t>
      </w:r>
    </w:p>
    <w:p w14:paraId="0A15FE9A">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（12）被责令停产停业、暂扣或者吊销许可证、暂扣或者吊销执照；</w:t>
      </w:r>
    </w:p>
    <w:p w14:paraId="34619AFF">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（13）进入清算程序，或被宣告破产，或其他丧失履约能力的情形；</w:t>
      </w:r>
    </w:p>
    <w:p w14:paraId="159358F7">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（14）在最近三年内发生重大工程质量或安全问题（以相关行业主管部门的行政处罚决定或司法机关出具的有关法律文书为准）；</w:t>
      </w:r>
    </w:p>
    <w:p w14:paraId="602733D1">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（15）被“信用中国”网站（https://www.creditchina.gov.cn）发布的《法人和非法人组织公共信用信息报告》列入严重失信主体名单的。</w:t>
      </w:r>
    </w:p>
    <w:p w14:paraId="2B413508">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4.4.2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招标人拒绝以下名单中的单位参加本次投标：</w:t>
      </w:r>
    </w:p>
    <w:tbl>
      <w:tblPr>
        <w:tblStyle w:val="21"/>
        <w:tblW w:w="10619"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4422"/>
        <w:gridCol w:w="5325"/>
      </w:tblGrid>
      <w:tr w14:paraId="3BBE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872" w:type="dxa"/>
            <w:noWrap/>
            <w:vAlign w:val="center"/>
          </w:tcPr>
          <w:p w14:paraId="27C006A1">
            <w:pPr>
              <w:wordWrap w:val="0"/>
              <w:adjustRightInd w:val="0"/>
              <w:snapToGrid w:val="0"/>
              <w:spacing w:line="360" w:lineRule="auto"/>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序号</w:t>
            </w:r>
          </w:p>
        </w:tc>
        <w:tc>
          <w:tcPr>
            <w:tcW w:w="4422" w:type="dxa"/>
            <w:noWrap/>
            <w:vAlign w:val="center"/>
          </w:tcPr>
          <w:p w14:paraId="1D357B38">
            <w:pPr>
              <w:wordWrap w:val="0"/>
              <w:adjustRightInd w:val="0"/>
              <w:snapToGrid w:val="0"/>
              <w:spacing w:line="360" w:lineRule="auto"/>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单位名称</w:t>
            </w:r>
          </w:p>
        </w:tc>
        <w:tc>
          <w:tcPr>
            <w:tcW w:w="5325" w:type="dxa"/>
            <w:noWrap/>
            <w:vAlign w:val="center"/>
          </w:tcPr>
          <w:p w14:paraId="102F25AC">
            <w:pPr>
              <w:wordWrap w:val="0"/>
              <w:adjustRightInd w:val="0"/>
              <w:snapToGrid w:val="0"/>
              <w:spacing w:line="360" w:lineRule="auto"/>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拒绝原因</w:t>
            </w:r>
          </w:p>
        </w:tc>
      </w:tr>
      <w:tr w14:paraId="281C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872" w:type="dxa"/>
            <w:noWrap/>
            <w:vAlign w:val="center"/>
          </w:tcPr>
          <w:p w14:paraId="5C0B97D5">
            <w:pPr>
              <w:wordWrap w:val="0"/>
              <w:adjustRightInd w:val="0"/>
              <w:snapToGrid w:val="0"/>
              <w:spacing w:line="360" w:lineRule="auto"/>
              <w:ind w:firstLine="240" w:firstLineChars="100"/>
              <w:jc w:val="both"/>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1</w:t>
            </w:r>
          </w:p>
        </w:tc>
        <w:tc>
          <w:tcPr>
            <w:tcW w:w="4422" w:type="dxa"/>
            <w:noWrap/>
            <w:vAlign w:val="center"/>
          </w:tcPr>
          <w:p w14:paraId="6C723C57">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仁化县融鑫文化旅游投资有限公司</w:t>
            </w:r>
          </w:p>
        </w:tc>
        <w:tc>
          <w:tcPr>
            <w:tcW w:w="5325" w:type="dxa"/>
            <w:noWrap/>
            <w:vAlign w:val="center"/>
          </w:tcPr>
          <w:p w14:paraId="637B1763">
            <w:pPr>
              <w:wordWrap w:val="0"/>
              <w:adjustRightInd w:val="0"/>
              <w:snapToGrid w:val="0"/>
              <w:spacing w:line="360" w:lineRule="auto"/>
              <w:ind w:firstLine="240" w:firstLineChars="100"/>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为本招标项目的招标人</w:t>
            </w:r>
          </w:p>
        </w:tc>
      </w:tr>
      <w:tr w14:paraId="5CB0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72" w:type="dxa"/>
            <w:noWrap/>
            <w:vAlign w:val="center"/>
          </w:tcPr>
          <w:p w14:paraId="034641EE">
            <w:pPr>
              <w:wordWrap w:val="0"/>
              <w:adjustRightInd w:val="0"/>
              <w:snapToGrid w:val="0"/>
              <w:spacing w:line="360" w:lineRule="auto"/>
              <w:ind w:firstLine="240" w:firstLineChars="100"/>
              <w:jc w:val="both"/>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2</w:t>
            </w:r>
          </w:p>
        </w:tc>
        <w:tc>
          <w:tcPr>
            <w:tcW w:w="4422" w:type="dxa"/>
            <w:noWrap/>
            <w:vAlign w:val="center"/>
          </w:tcPr>
          <w:p w14:paraId="4F97ADEE">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文化广电旅游体育局</w:t>
            </w:r>
          </w:p>
        </w:tc>
        <w:tc>
          <w:tcPr>
            <w:tcW w:w="5325" w:type="dxa"/>
            <w:noWrap/>
            <w:vAlign w:val="center"/>
          </w:tcPr>
          <w:p w14:paraId="616118EF">
            <w:pPr>
              <w:wordWrap w:val="0"/>
              <w:adjustRightInd w:val="0"/>
              <w:snapToGrid w:val="0"/>
              <w:spacing w:line="360" w:lineRule="auto"/>
              <w:ind w:firstLine="240" w:firstLineChars="100"/>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为本招标项目的业主单位</w:t>
            </w:r>
          </w:p>
        </w:tc>
      </w:tr>
      <w:tr w14:paraId="15BE3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72" w:type="dxa"/>
            <w:noWrap/>
            <w:vAlign w:val="center"/>
          </w:tcPr>
          <w:p w14:paraId="42C8DAC7">
            <w:pPr>
              <w:wordWrap w:val="0"/>
              <w:adjustRightInd w:val="0"/>
              <w:snapToGrid w:val="0"/>
              <w:spacing w:line="360" w:lineRule="auto"/>
              <w:ind w:firstLine="240" w:firstLineChars="100"/>
              <w:jc w:val="both"/>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3</w:t>
            </w:r>
          </w:p>
        </w:tc>
        <w:tc>
          <w:tcPr>
            <w:tcW w:w="4422" w:type="dxa"/>
            <w:noWrap/>
            <w:vAlign w:val="center"/>
          </w:tcPr>
          <w:p w14:paraId="641E28D8">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国昇设计有限责任公司</w:t>
            </w:r>
          </w:p>
        </w:tc>
        <w:tc>
          <w:tcPr>
            <w:tcW w:w="5325" w:type="dxa"/>
            <w:noWrap/>
            <w:vAlign w:val="center"/>
          </w:tcPr>
          <w:p w14:paraId="303D99DA">
            <w:pPr>
              <w:wordWrap w:val="0"/>
              <w:adjustRightInd w:val="0"/>
              <w:snapToGrid w:val="0"/>
              <w:spacing w:line="360" w:lineRule="auto"/>
              <w:ind w:firstLine="240" w:firstLineChars="100"/>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为本项目的</w:t>
            </w:r>
            <w:r>
              <w:rPr>
                <w:rFonts w:hint="eastAsia" w:asciiTheme="minorEastAsia" w:hAnsiTheme="minorEastAsia" w:eastAsiaTheme="minorEastAsia" w:cstheme="minorEastAsia"/>
                <w:color w:val="000000" w:themeColor="text1"/>
                <w:sz w:val="24"/>
                <w:szCs w:val="24"/>
                <w:highlight w:val="none"/>
                <w:u w:val="none"/>
                <w:lang w:eastAsia="zh-CN"/>
                <w14:textFill>
                  <w14:solidFill>
                    <w14:schemeClr w14:val="tx1"/>
                  </w14:solidFill>
                </w14:textFill>
              </w:rPr>
              <w:t>概念性规划编制</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单位</w:t>
            </w:r>
          </w:p>
        </w:tc>
      </w:tr>
      <w:tr w14:paraId="71ED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872" w:type="dxa"/>
            <w:noWrap/>
            <w:vAlign w:val="center"/>
          </w:tcPr>
          <w:p w14:paraId="05BEB00A">
            <w:pPr>
              <w:wordWrap w:val="0"/>
              <w:adjustRightInd w:val="0"/>
              <w:snapToGrid w:val="0"/>
              <w:spacing w:line="360" w:lineRule="auto"/>
              <w:ind w:firstLine="240" w:firstLineChars="100"/>
              <w:jc w:val="both"/>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4</w:t>
            </w:r>
          </w:p>
        </w:tc>
        <w:tc>
          <w:tcPr>
            <w:tcW w:w="4422" w:type="dxa"/>
            <w:noWrap/>
            <w:vAlign w:val="center"/>
          </w:tcPr>
          <w:p w14:paraId="21C7CEC0">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韶关市城监项目管理有限公司</w:t>
            </w:r>
          </w:p>
        </w:tc>
        <w:tc>
          <w:tcPr>
            <w:tcW w:w="5325" w:type="dxa"/>
            <w:noWrap/>
            <w:vAlign w:val="center"/>
          </w:tcPr>
          <w:p w14:paraId="73F05BA5">
            <w:pPr>
              <w:wordWrap w:val="0"/>
              <w:adjustRightInd w:val="0"/>
              <w:snapToGrid w:val="0"/>
              <w:spacing w:line="360" w:lineRule="auto"/>
              <w:ind w:firstLine="240" w:firstLineChars="100"/>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为本招标项目的招标代理机构</w:t>
            </w:r>
          </w:p>
        </w:tc>
      </w:tr>
      <w:tr w14:paraId="1578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872" w:type="dxa"/>
            <w:noWrap/>
            <w:vAlign w:val="center"/>
          </w:tcPr>
          <w:p w14:paraId="113242DC">
            <w:pPr>
              <w:wordWrap w:val="0"/>
              <w:adjustRightInd w:val="0"/>
              <w:snapToGrid w:val="0"/>
              <w:spacing w:line="360" w:lineRule="auto"/>
              <w:ind w:firstLine="240" w:firstLineChars="100"/>
              <w:jc w:val="both"/>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p>
        </w:tc>
        <w:tc>
          <w:tcPr>
            <w:tcW w:w="4422" w:type="dxa"/>
            <w:noWrap/>
            <w:vAlign w:val="center"/>
          </w:tcPr>
          <w:p w14:paraId="2C2A3BD4">
            <w:pPr>
              <w:wordWrap w:val="0"/>
              <w:adjustRightInd w:val="0"/>
              <w:snapToGrid w:val="0"/>
              <w:spacing w:line="360" w:lineRule="auto"/>
              <w:jc w:val="center"/>
              <w:rPr>
                <w:rFonts w:hint="eastAsia" w:asciiTheme="minorEastAsia" w:hAnsiTheme="minorEastAsia" w:eastAsiaTheme="minorEastAsia" w:cstheme="minorEastAsia"/>
                <w:snapToGrid w:val="0"/>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中叙设计集团有限公司</w:t>
            </w:r>
          </w:p>
        </w:tc>
        <w:tc>
          <w:tcPr>
            <w:tcW w:w="5325" w:type="dxa"/>
            <w:noWrap/>
            <w:vAlign w:val="center"/>
          </w:tcPr>
          <w:p w14:paraId="091BA187">
            <w:pPr>
              <w:wordWrap w:val="0"/>
              <w:adjustRightInd w:val="0"/>
              <w:snapToGrid w:val="0"/>
              <w:spacing w:line="360" w:lineRule="auto"/>
              <w:ind w:firstLine="240" w:firstLineChars="100"/>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为本招标项目的</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概算编制单位</w:t>
            </w:r>
          </w:p>
        </w:tc>
      </w:tr>
    </w:tbl>
    <w:p w14:paraId="22E3F83E">
      <w:pPr>
        <w:wordWrap w:val="0"/>
        <w:adjustRightInd w:val="0"/>
        <w:snapToGrid w:val="0"/>
        <w:spacing w:line="360" w:lineRule="auto"/>
        <w:ind w:firstLine="482" w:firstLineChars="20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4.5</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w:t>
      </w:r>
    </w:p>
    <w:p w14:paraId="034A7CEB">
      <w:pPr>
        <w:pStyle w:val="40"/>
        <w:keepNext/>
        <w:keepLines/>
        <w:ind w:firstLine="482" w:firstLineChars="20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69" w:name="_Toc6204"/>
      <w:bookmarkStart w:id="70" w:name="_Toc18979"/>
      <w:bookmarkStart w:id="71" w:name="_Toc18273"/>
      <w:bookmarkStart w:id="72" w:name="_Toc2707"/>
      <w:bookmarkStart w:id="73" w:name="_Toc20378"/>
      <w:bookmarkStart w:id="74" w:name="_Toc17645"/>
      <w:bookmarkStart w:id="75" w:name="_Toc24391"/>
      <w:bookmarkStart w:id="76" w:name="_Toc3588"/>
      <w:bookmarkStart w:id="77" w:name="_Toc3094"/>
      <w:bookmarkStart w:id="78" w:name="_Toc8294"/>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5 、工程招标内容及要求</w:t>
      </w:r>
      <w:bookmarkEnd w:id="69"/>
      <w:bookmarkEnd w:id="70"/>
      <w:bookmarkEnd w:id="71"/>
      <w:bookmarkEnd w:id="72"/>
      <w:bookmarkEnd w:id="73"/>
      <w:bookmarkEnd w:id="74"/>
      <w:bookmarkEnd w:id="75"/>
      <w:bookmarkEnd w:id="76"/>
      <w:bookmarkEnd w:id="77"/>
      <w:bookmarkEnd w:id="78"/>
    </w:p>
    <w:p w14:paraId="4DDE3DE2">
      <w:pPr>
        <w:pStyle w:val="38"/>
        <w:numPr>
          <w:ilvl w:val="0"/>
          <w:numId w:val="0"/>
        </w:numPr>
        <w:spacing w:line="360" w:lineRule="auto"/>
        <w:ind w:firstLine="480" w:firstLineChars="200"/>
        <w:rPr>
          <w:rFonts w:hint="eastAsia" w:ascii="宋体" w:hAnsi="宋体" w:eastAsia="宋体" w:cs="Calibri"/>
          <w:bCs/>
          <w:color w:val="000000" w:themeColor="text1"/>
          <w:sz w:val="24"/>
          <w:szCs w:val="24"/>
          <w:highlight w:val="none"/>
          <w:u w:val="none"/>
          <w14:textFill>
            <w14:solidFill>
              <w14:schemeClr w14:val="tx1"/>
            </w14:solidFill>
          </w14:textFill>
        </w:rPr>
      </w:pPr>
      <w:r>
        <w:rPr>
          <w:rFonts w:hint="eastAsia" w:ascii="宋体" w:hAnsi="宋体" w:eastAsia="宋体" w:cs="Calibri"/>
          <w:bCs/>
          <w:color w:val="000000" w:themeColor="text1"/>
          <w:sz w:val="24"/>
          <w:szCs w:val="24"/>
          <w:highlight w:val="none"/>
          <w:u w:val="none"/>
          <w:lang w:val="en-US" w:eastAsia="zh-CN"/>
          <w14:textFill>
            <w14:solidFill>
              <w14:schemeClr w14:val="tx1"/>
            </w14:solidFill>
          </w14:textFill>
        </w:rPr>
        <w:t>5.1</w:t>
      </w:r>
      <w:r>
        <w:rPr>
          <w:rFonts w:hint="eastAsia" w:ascii="宋体" w:hAnsi="宋体" w:eastAsia="宋体" w:cs="Calibri"/>
          <w:bCs/>
          <w:color w:val="000000" w:themeColor="text1"/>
          <w:sz w:val="24"/>
          <w:szCs w:val="24"/>
          <w:highlight w:val="none"/>
          <w:u w:val="none"/>
          <w:lang w:val="zh-CN"/>
          <w14:textFill>
            <w14:solidFill>
              <w14:schemeClr w14:val="tx1"/>
            </w14:solidFill>
          </w14:textFill>
        </w:rPr>
        <w:t>本工程所涉及的内容包括但不限于以下（1）～（</w:t>
      </w:r>
      <w:r>
        <w:rPr>
          <w:rFonts w:hint="eastAsia" w:ascii="宋体" w:hAnsi="宋体" w:eastAsia="宋体" w:cs="Calibri"/>
          <w:bCs/>
          <w:color w:val="000000" w:themeColor="text1"/>
          <w:sz w:val="24"/>
          <w:szCs w:val="24"/>
          <w:highlight w:val="none"/>
          <w:u w:val="none"/>
          <w:lang w:val="en-US" w:eastAsia="zh-CN"/>
          <w14:textFill>
            <w14:solidFill>
              <w14:schemeClr w14:val="tx1"/>
            </w14:solidFill>
          </w14:textFill>
        </w:rPr>
        <w:t>3</w:t>
      </w:r>
      <w:r>
        <w:rPr>
          <w:rFonts w:hint="eastAsia" w:ascii="宋体" w:hAnsi="宋体" w:eastAsia="宋体" w:cs="Calibri"/>
          <w:bCs/>
          <w:color w:val="000000" w:themeColor="text1"/>
          <w:sz w:val="24"/>
          <w:szCs w:val="24"/>
          <w:highlight w:val="none"/>
          <w:u w:val="none"/>
          <w:lang w:val="zh-CN"/>
          <w14:textFill>
            <w14:solidFill>
              <w14:schemeClr w14:val="tx1"/>
            </w14:solidFill>
          </w14:textFill>
        </w:rPr>
        <w:t>）：</w:t>
      </w:r>
    </w:p>
    <w:p w14:paraId="6A5F6DE1">
      <w:pPr>
        <w:pStyle w:val="38"/>
        <w:numPr>
          <w:ilvl w:val="0"/>
          <w:numId w:val="0"/>
        </w:numPr>
        <w:spacing w:line="360" w:lineRule="auto"/>
        <w:ind w:firstLine="480" w:firstLineChars="200"/>
        <w:rPr>
          <w:rFonts w:hint="eastAsia" w:hAnsi="宋体" w:cs="Calibri"/>
          <w:bCs/>
          <w:color w:val="000000" w:themeColor="text1"/>
          <w:sz w:val="24"/>
          <w:szCs w:val="24"/>
          <w:highlight w:val="none"/>
          <w:u w:val="none"/>
          <w14:textFill>
            <w14:solidFill>
              <w14:schemeClr w14:val="tx1"/>
            </w14:solidFill>
          </w14:textFill>
        </w:rPr>
      </w:pPr>
      <w:r>
        <w:rPr>
          <w:rFonts w:hint="eastAsia" w:hAnsi="宋体" w:cs="Calibri"/>
          <w:bCs/>
          <w:color w:val="000000" w:themeColor="text1"/>
          <w:sz w:val="24"/>
          <w:szCs w:val="24"/>
          <w:highlight w:val="none"/>
          <w:u w:val="none"/>
          <w14:textFill>
            <w14:solidFill>
              <w14:schemeClr w14:val="tx1"/>
            </w14:solidFill>
          </w14:textFill>
        </w:rPr>
        <w:t>（1）</w:t>
      </w:r>
      <w:r>
        <w:rPr>
          <w:rFonts w:hint="eastAsia" w:hAnsi="宋体" w:cs="Calibri"/>
          <w:bCs/>
          <w:color w:val="000000" w:themeColor="text1"/>
          <w:sz w:val="24"/>
          <w:szCs w:val="24"/>
          <w:highlight w:val="none"/>
          <w:u w:val="none"/>
          <w:lang w:val="en-US" w:eastAsia="zh-CN"/>
          <w14:textFill>
            <w14:solidFill>
              <w14:schemeClr w14:val="tx1"/>
            </w14:solidFill>
          </w14:textFill>
        </w:rPr>
        <w:t>勘察部分：初步勘察、详细勘察（包括岩土工程勘察、地形测量等）</w:t>
      </w:r>
      <w:r>
        <w:rPr>
          <w:rFonts w:hint="eastAsia" w:hAnsi="宋体" w:cs="Calibri"/>
          <w:bCs/>
          <w:color w:val="000000" w:themeColor="text1"/>
          <w:sz w:val="24"/>
          <w:szCs w:val="24"/>
          <w:highlight w:val="none"/>
          <w:u w:val="none"/>
          <w14:textFill>
            <w14:solidFill>
              <w14:schemeClr w14:val="tx1"/>
            </w14:solidFill>
          </w14:textFill>
        </w:rPr>
        <w:t>。</w:t>
      </w:r>
    </w:p>
    <w:p w14:paraId="4E4E7587">
      <w:pPr>
        <w:pStyle w:val="38"/>
        <w:numPr>
          <w:ilvl w:val="0"/>
          <w:numId w:val="0"/>
        </w:numPr>
        <w:spacing w:line="360" w:lineRule="auto"/>
        <w:ind w:firstLine="480" w:firstLineChars="200"/>
        <w:rPr>
          <w:rFonts w:hint="eastAsia" w:hAnsi="宋体" w:cs="Calibri"/>
          <w:bCs/>
          <w:color w:val="000000" w:themeColor="text1"/>
          <w:sz w:val="24"/>
          <w:szCs w:val="24"/>
          <w:highlight w:val="none"/>
          <w:u w:val="none"/>
          <w14:textFill>
            <w14:solidFill>
              <w14:schemeClr w14:val="tx1"/>
            </w14:solidFill>
          </w14:textFill>
        </w:rPr>
      </w:pPr>
      <w:r>
        <w:rPr>
          <w:rFonts w:hint="eastAsia" w:hAnsi="宋体" w:cs="Calibri"/>
          <w:bCs/>
          <w:color w:val="000000" w:themeColor="text1"/>
          <w:sz w:val="24"/>
          <w:szCs w:val="24"/>
          <w:highlight w:val="none"/>
          <w:u w:val="none"/>
          <w14:textFill>
            <w14:solidFill>
              <w14:schemeClr w14:val="tx1"/>
            </w14:solidFill>
          </w14:textFill>
        </w:rPr>
        <w:t>（</w:t>
      </w:r>
      <w:r>
        <w:rPr>
          <w:rFonts w:hint="eastAsia" w:hAnsi="宋体" w:cs="Calibri"/>
          <w:bCs/>
          <w:color w:val="000000" w:themeColor="text1"/>
          <w:sz w:val="24"/>
          <w:szCs w:val="24"/>
          <w:highlight w:val="none"/>
          <w:u w:val="none"/>
          <w:lang w:val="en-US" w:eastAsia="zh-CN"/>
          <w14:textFill>
            <w14:solidFill>
              <w14:schemeClr w14:val="tx1"/>
            </w14:solidFill>
          </w14:textFill>
        </w:rPr>
        <w:t>2</w:t>
      </w:r>
      <w:r>
        <w:rPr>
          <w:rFonts w:hint="eastAsia" w:hAnsi="宋体" w:cs="Calibri"/>
          <w:bCs/>
          <w:color w:val="000000" w:themeColor="text1"/>
          <w:sz w:val="24"/>
          <w:szCs w:val="24"/>
          <w:highlight w:val="none"/>
          <w:u w:val="none"/>
          <w14:textFill>
            <w14:solidFill>
              <w14:schemeClr w14:val="tx1"/>
            </w14:solidFill>
          </w14:textFill>
        </w:rPr>
        <w:t>）</w:t>
      </w:r>
      <w:r>
        <w:rPr>
          <w:rFonts w:hint="eastAsia" w:hAnsi="宋体" w:cs="Calibri"/>
          <w:bCs/>
          <w:color w:val="000000" w:themeColor="text1"/>
          <w:sz w:val="24"/>
          <w:szCs w:val="24"/>
          <w:highlight w:val="none"/>
          <w:u w:val="none"/>
          <w:lang w:eastAsia="zh-CN"/>
          <w14:textFill>
            <w14:solidFill>
              <w14:schemeClr w14:val="tx1"/>
            </w14:solidFill>
          </w14:textFill>
        </w:rPr>
        <w:t>设计部分：</w:t>
      </w:r>
      <w:r>
        <w:rPr>
          <w:rFonts w:hint="eastAsia" w:hAnsi="宋体" w:cs="Calibri"/>
          <w:bCs/>
          <w:color w:val="000000" w:themeColor="text1"/>
          <w:sz w:val="24"/>
          <w:szCs w:val="24"/>
          <w:highlight w:val="none"/>
          <w:u w:val="none"/>
          <w:lang w:val="zh-CN" w:eastAsia="zh-CN"/>
          <w14:textFill>
            <w14:solidFill>
              <w14:schemeClr w14:val="tx1"/>
            </w14:solidFill>
          </w14:textFill>
        </w:rPr>
        <w:t>确保项目顺利实施的报建、报批、施工等所需的所有建安工程等设计文件。包括但不限于：初步设计及概算、施工图设计</w:t>
      </w:r>
      <w:r>
        <w:rPr>
          <w:rFonts w:hint="eastAsia" w:hAnsi="宋体" w:cs="Calibri"/>
          <w:bCs/>
          <w:color w:val="000000" w:themeColor="text1"/>
          <w:sz w:val="24"/>
          <w:szCs w:val="24"/>
          <w:highlight w:val="none"/>
          <w:u w:val="none"/>
          <w:lang w:eastAsia="zh-CN"/>
          <w14:textFill>
            <w14:solidFill>
              <w14:schemeClr w14:val="tx1"/>
            </w14:solidFill>
          </w14:textFill>
        </w:rPr>
        <w:t>、提供项目所需相关检测项的明细表和危险性较大的分部分项工程清单及保障安全相关说明、</w:t>
      </w:r>
      <w:r>
        <w:rPr>
          <w:rFonts w:hint="eastAsia" w:hAnsi="宋体" w:cs="Calibri"/>
          <w:bCs/>
          <w:color w:val="000000" w:themeColor="text1"/>
          <w:sz w:val="24"/>
          <w:szCs w:val="24"/>
          <w:highlight w:val="none"/>
          <w:u w:val="none"/>
          <w:lang w:val="zh-CN" w:eastAsia="zh-CN"/>
          <w14:textFill>
            <w14:solidFill>
              <w14:schemeClr w14:val="tx1"/>
            </w14:solidFill>
          </w14:textFill>
        </w:rPr>
        <w:t>工地现场服务、验收过程中的设计指导及配合阶段验收及档案整理、协助施工单位编制竣工图及后续设计服务工作</w:t>
      </w:r>
      <w:r>
        <w:rPr>
          <w:rFonts w:hint="eastAsia" w:hAnsi="宋体" w:cs="Calibri"/>
          <w:bCs/>
          <w:color w:val="000000" w:themeColor="text1"/>
          <w:sz w:val="24"/>
          <w:szCs w:val="24"/>
          <w:highlight w:val="none"/>
          <w:u w:val="none"/>
          <w:lang w:eastAsia="zh-CN"/>
          <w14:textFill>
            <w14:solidFill>
              <w14:schemeClr w14:val="tx1"/>
            </w14:solidFill>
          </w14:textFill>
        </w:rPr>
        <w:t>。</w:t>
      </w:r>
    </w:p>
    <w:p w14:paraId="4F3E1C6F">
      <w:pPr>
        <w:pStyle w:val="38"/>
        <w:numPr>
          <w:ilvl w:val="0"/>
          <w:numId w:val="0"/>
        </w:numPr>
        <w:spacing w:line="360" w:lineRule="auto"/>
        <w:ind w:firstLine="480" w:firstLineChars="200"/>
        <w:rPr>
          <w:rFonts w:hint="eastAsia" w:hAnsi="宋体" w:cs="Calibri"/>
          <w:bCs/>
          <w:color w:val="000000" w:themeColor="text1"/>
          <w:sz w:val="24"/>
          <w:szCs w:val="24"/>
          <w:highlight w:val="none"/>
          <w:u w:val="none"/>
          <w:lang w:val="zh-CN"/>
          <w14:textFill>
            <w14:solidFill>
              <w14:schemeClr w14:val="tx1"/>
            </w14:solidFill>
          </w14:textFill>
        </w:rPr>
      </w:pPr>
      <w:r>
        <w:rPr>
          <w:rFonts w:hint="eastAsia" w:hAnsi="宋体" w:cs="Calibri"/>
          <w:bCs/>
          <w:color w:val="000000" w:themeColor="text1"/>
          <w:sz w:val="24"/>
          <w:szCs w:val="24"/>
          <w:highlight w:val="none"/>
          <w:u w:val="none"/>
          <w:lang w:val="zh-CN"/>
          <w14:textFill>
            <w14:solidFill>
              <w14:schemeClr w14:val="tx1"/>
            </w14:solidFill>
          </w14:textFill>
        </w:rPr>
        <w:t>（</w:t>
      </w:r>
      <w:r>
        <w:rPr>
          <w:rFonts w:hint="eastAsia" w:hAnsi="宋体" w:cs="Calibri"/>
          <w:bCs/>
          <w:color w:val="000000" w:themeColor="text1"/>
          <w:sz w:val="24"/>
          <w:szCs w:val="24"/>
          <w:highlight w:val="none"/>
          <w:u w:val="none"/>
          <w:lang w:val="en-US" w:eastAsia="zh-CN"/>
          <w14:textFill>
            <w14:solidFill>
              <w14:schemeClr w14:val="tx1"/>
            </w14:solidFill>
          </w14:textFill>
        </w:rPr>
        <w:t>3</w:t>
      </w:r>
      <w:r>
        <w:rPr>
          <w:rFonts w:hint="eastAsia" w:hAnsi="宋体" w:cs="Calibri"/>
          <w:bCs/>
          <w:color w:val="000000" w:themeColor="text1"/>
          <w:sz w:val="24"/>
          <w:szCs w:val="24"/>
          <w:highlight w:val="none"/>
          <w:u w:val="none"/>
          <w:lang w:val="zh-CN"/>
          <w14:textFill>
            <w14:solidFill>
              <w14:schemeClr w14:val="tx1"/>
            </w14:solidFill>
          </w14:textFill>
        </w:rPr>
        <w:t>）</w:t>
      </w:r>
      <w:r>
        <w:rPr>
          <w:rFonts w:hint="eastAsia" w:hAnsi="宋体" w:cs="Calibri"/>
          <w:bCs/>
          <w:color w:val="000000" w:themeColor="text1"/>
          <w:sz w:val="24"/>
          <w:szCs w:val="24"/>
          <w:highlight w:val="none"/>
          <w:u w:val="none"/>
          <w:lang w:val="zh-CN" w:eastAsia="zh-CN"/>
          <w14:textFill>
            <w14:solidFill>
              <w14:schemeClr w14:val="tx1"/>
            </w14:solidFill>
          </w14:textFill>
        </w:rPr>
        <w:t>施工部分：设计文件及工程量清单范围内的所有工程及配套工程、设施等的施工（含竣工验收资料编制整理、备案等），完成并配合发包人结算、负责工程缺陷保修以及发包人要求由施工单位完成的其他工作（发包人另行委托其他单位负责实施的工作内容除外，但需提供一系列协调及配合服务）等。</w:t>
      </w:r>
    </w:p>
    <w:p w14:paraId="1E5301D3">
      <w:pPr>
        <w:pStyle w:val="38"/>
        <w:numPr>
          <w:ilvl w:val="0"/>
          <w:numId w:val="0"/>
        </w:numPr>
        <w:spacing w:line="360" w:lineRule="auto"/>
        <w:ind w:firstLine="480" w:firstLineChars="200"/>
        <w:rPr>
          <w:rFonts w:hint="eastAsia" w:hAnsi="宋体" w:cs="Calibri"/>
          <w:bCs/>
          <w:color w:val="000000" w:themeColor="text1"/>
          <w:sz w:val="24"/>
          <w:szCs w:val="24"/>
          <w:highlight w:val="none"/>
          <w:lang w:val="en-US" w:eastAsia="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5.2勘察要求：</w:t>
      </w:r>
    </w:p>
    <w:p w14:paraId="5B05A439">
      <w:pPr>
        <w:pStyle w:val="38"/>
        <w:spacing w:line="360" w:lineRule="auto"/>
        <w:ind w:firstLine="480" w:firstLineChars="200"/>
        <w:rPr>
          <w:rFonts w:hint="eastAsia" w:hAnsi="宋体" w:cs="Calibri"/>
          <w:bCs/>
          <w:color w:val="000000" w:themeColor="text1"/>
          <w:sz w:val="24"/>
          <w:szCs w:val="24"/>
          <w:highlight w:val="none"/>
          <w:lang w:val="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5.2.1</w:t>
      </w:r>
      <w:r>
        <w:rPr>
          <w:rFonts w:hint="eastAsia" w:hAnsi="宋体" w:cs="Calibri"/>
          <w:bCs/>
          <w:color w:val="000000" w:themeColor="text1"/>
          <w:sz w:val="24"/>
          <w:szCs w:val="24"/>
          <w:highlight w:val="none"/>
          <w:lang w:val="zh-CN"/>
          <w14:textFill>
            <w14:solidFill>
              <w14:schemeClr w14:val="tx1"/>
            </w14:solidFill>
          </w14:textFill>
        </w:rPr>
        <w:t>勘察</w:t>
      </w:r>
      <w:r>
        <w:rPr>
          <w:rFonts w:hint="eastAsia" w:hAnsi="宋体" w:cs="Calibri"/>
          <w:bCs/>
          <w:color w:val="000000" w:themeColor="text1"/>
          <w:sz w:val="24"/>
          <w:szCs w:val="24"/>
          <w:highlight w:val="none"/>
          <w:lang w:val="en-US" w:eastAsia="zh-CN"/>
          <w14:textFill>
            <w14:solidFill>
              <w14:schemeClr w14:val="tx1"/>
            </w14:solidFill>
          </w14:textFill>
        </w:rPr>
        <w:t>质量</w:t>
      </w:r>
      <w:r>
        <w:rPr>
          <w:rFonts w:hint="eastAsia" w:hAnsi="宋体" w:cs="Calibri"/>
          <w:bCs/>
          <w:color w:val="000000" w:themeColor="text1"/>
          <w:sz w:val="24"/>
          <w:szCs w:val="24"/>
          <w:highlight w:val="none"/>
          <w:lang w:val="zh-CN"/>
          <w14:textFill>
            <w14:solidFill>
              <w14:schemeClr w14:val="tx1"/>
            </w14:solidFill>
          </w14:textFill>
        </w:rPr>
        <w:t>要求：</w:t>
      </w:r>
      <w:r>
        <w:rPr>
          <w:rFonts w:hint="eastAsia" w:ascii="宋体" w:hAnsi="宋体" w:eastAsia="宋体" w:cs="Calibri"/>
          <w:bCs/>
          <w:color w:val="000000" w:themeColor="text1"/>
          <w:sz w:val="24"/>
          <w:szCs w:val="24"/>
          <w:highlight w:val="none"/>
          <w:lang w:val="zh-CN" w:eastAsia="zh-CN"/>
          <w14:textFill>
            <w14:solidFill>
              <w14:schemeClr w14:val="tx1"/>
            </w14:solidFill>
          </w14:textFill>
        </w:rPr>
        <w:t>符合住建部颁布的现行有关勘察规范要求，勘察成果必须满足设计及审图合格的要求。</w:t>
      </w:r>
    </w:p>
    <w:p w14:paraId="4BDC0E64">
      <w:pPr>
        <w:pStyle w:val="38"/>
        <w:numPr>
          <w:ilvl w:val="0"/>
          <w:numId w:val="0"/>
        </w:numPr>
        <w:spacing w:line="360" w:lineRule="auto"/>
        <w:ind w:firstLine="480" w:firstLineChars="200"/>
        <w:rPr>
          <w:rFonts w:hint="eastAsia" w:hAnsi="宋体" w:cs="Calibri"/>
          <w:bCs/>
          <w:color w:val="000000" w:themeColor="text1"/>
          <w:sz w:val="24"/>
          <w:szCs w:val="24"/>
          <w:highlight w:val="none"/>
          <w:lang w:val="en-US" w:eastAsia="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5.2.2勘察工作要求：</w:t>
      </w:r>
    </w:p>
    <w:p w14:paraId="45DB20FC">
      <w:pPr>
        <w:pStyle w:val="38"/>
        <w:numPr>
          <w:ilvl w:val="0"/>
          <w:numId w:val="0"/>
        </w:numPr>
        <w:spacing w:line="360" w:lineRule="auto"/>
        <w:ind w:firstLine="480" w:firstLineChars="200"/>
        <w:rPr>
          <w:rFonts w:hint="eastAsia" w:hAnsi="宋体" w:cs="Calibri"/>
          <w:bCs/>
          <w:color w:val="000000" w:themeColor="text1"/>
          <w:sz w:val="24"/>
          <w:szCs w:val="24"/>
          <w:highlight w:val="none"/>
          <w:lang w:val="en-US" w:eastAsia="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①岩土勘察：按招标文件内容要求提供符合住建部颁布的现行有效的有关勘察规范要求及满足施工图设计及审图合格要求的勘察报告及建设期间的服务等内容。</w:t>
      </w:r>
    </w:p>
    <w:p w14:paraId="55E01E97">
      <w:pPr>
        <w:pStyle w:val="38"/>
        <w:numPr>
          <w:ilvl w:val="0"/>
          <w:numId w:val="0"/>
        </w:numPr>
        <w:spacing w:line="360" w:lineRule="auto"/>
        <w:ind w:firstLine="480" w:firstLineChars="200"/>
        <w:rPr>
          <w:rFonts w:hint="eastAsia" w:hAnsi="宋体" w:cs="Calibri"/>
          <w:bCs/>
          <w:color w:val="000000" w:themeColor="text1"/>
          <w:sz w:val="24"/>
          <w:szCs w:val="24"/>
          <w:highlight w:val="none"/>
          <w:lang w:val="en-US" w:eastAsia="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②地形测量：在招标范围内按照发包人的要求对建设范围内进行1:500的数字化地形图测量并出具满足《工程测量规范》GB50026—200、《城市测量规范》CJJ/T 8-2011要求的现状地形图测量成果文件等内容。</w:t>
      </w:r>
    </w:p>
    <w:p w14:paraId="1595D52F">
      <w:pPr>
        <w:pStyle w:val="38"/>
        <w:numPr>
          <w:ilvl w:val="0"/>
          <w:numId w:val="0"/>
        </w:num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5.2.3</w:t>
      </w:r>
      <w:r>
        <w:rPr>
          <w:rFonts w:hint="eastAsia" w:ascii="宋体" w:hAnsi="宋体" w:eastAsia="宋体" w:cs="宋体"/>
          <w:snapToGrid w:val="0"/>
          <w:color w:val="000000" w:themeColor="text1"/>
          <w:kern w:val="0"/>
          <w:sz w:val="24"/>
          <w:szCs w:val="24"/>
          <w:highlight w:val="none"/>
          <w14:textFill>
            <w14:solidFill>
              <w14:schemeClr w14:val="tx1"/>
            </w14:solidFill>
          </w14:textFill>
        </w:rPr>
        <w:t>勘察的目的与要求</w:t>
      </w:r>
    </w:p>
    <w:p w14:paraId="6DD790E7">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（1）查明所有建筑物及构筑物范围内岩土层的类型、深度、分布和工程特性，分析和评价地基的稳定性、均匀性和承载力。</w:t>
      </w:r>
    </w:p>
    <w:p w14:paraId="617FCADC">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（2）查明水文地质条件，评价地下水对桩基设计和施工的影响，判定水质对建筑材料的腐蚀性。</w:t>
      </w:r>
    </w:p>
    <w:p w14:paraId="610C15D3">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（3）评价成桩可能性，论证桩的施工条件及其对环境的影响。 </w:t>
      </w:r>
    </w:p>
    <w:p w14:paraId="1BABCA6F">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（4）查明不良地质作用的类型、分布范围，提出整治措施和建议。</w:t>
      </w:r>
    </w:p>
    <w:p w14:paraId="3BE94117">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（5）查明道路范围溶洞分布范围、位置、大小，提出整治措施和建议。</w:t>
      </w:r>
    </w:p>
    <w:p w14:paraId="610DE4A3">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（6）查明地下水位的变化情况，水质状况对建筑物的影响情况。</w:t>
      </w:r>
    </w:p>
    <w:p w14:paraId="0A5FE24C">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（7）查明对建筑物不利的埋藏物。</w:t>
      </w:r>
    </w:p>
    <w:p w14:paraId="238470BA">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（8）判定地基土对建筑材料的腐蚀性，提出整治的措施和建议。</w:t>
      </w:r>
    </w:p>
    <w:p w14:paraId="4B327799">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（9）对场地和地震效应做出评价，查明有无液化地层并对液化等级作出评价。</w:t>
      </w:r>
    </w:p>
    <w:p w14:paraId="4157AF18">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（10）查明需防护山体（边坡）的岩土层的类型、深度、分布和工程特性，分析和评价地基的稳定性、均匀性和承载力，提出防护措施和建议。</w:t>
      </w:r>
    </w:p>
    <w:p w14:paraId="5E627A94">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5.2.4</w:t>
      </w:r>
      <w:r>
        <w:rPr>
          <w:rFonts w:hint="eastAsia" w:ascii="宋体" w:hAnsi="宋体" w:eastAsia="宋体" w:cs="宋体"/>
          <w:snapToGrid w:val="0"/>
          <w:color w:val="000000" w:themeColor="text1"/>
          <w:kern w:val="0"/>
          <w:sz w:val="24"/>
          <w:szCs w:val="24"/>
          <w:highlight w:val="none"/>
          <w14:textFill>
            <w14:solidFill>
              <w14:schemeClr w14:val="tx1"/>
            </w14:solidFill>
          </w14:textFill>
        </w:rPr>
        <w:t>勘察工程勘察报告由文字部分和图表部分组成，其中文字部分至少应包括：</w:t>
      </w:r>
    </w:p>
    <w:p w14:paraId="0C3ABD5E">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（1）拟建工程概况、勘察目的、任务要求和依据的技术标准；</w:t>
      </w:r>
    </w:p>
    <w:p w14:paraId="73E7DF42">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（2）勘探点位布置及勘察方法情况，原土取样及实验分析情况；</w:t>
      </w:r>
    </w:p>
    <w:p w14:paraId="47FB5E06">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场地位置、地形地貌、地质构造、不良地质现象、溶洞情况、地形成层条件、水文地质条件（包括水埋藏情况、类型、水位及其变化等），各土层的分布情况以及物理特性、性质指标、强度参数、变形参数、地基承载力的建议值等。</w:t>
      </w:r>
    </w:p>
    <w:p w14:paraId="7E6DFBED">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（4）场地的稳定性和适宜性评价、地下水及土质对建筑物的腐蚀影响、地震基本烈度以及由于工程建设可能引起的工程地质问题及其防治措施，适宜的基础形式和有关的计算参数及施工中应注意的事项等。</w:t>
      </w:r>
    </w:p>
    <w:p w14:paraId="159365D8">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（5）对岩土利用、整治和改造的方案进行分析论证，提出建议；对工程施工和使用期间可能发生的岩土工程问题进行预测，提出监控和预防措施的建议。</w:t>
      </w:r>
    </w:p>
    <w:p w14:paraId="0F9DAD36">
      <w:pPr>
        <w:wordWrap w:val="0"/>
        <w:adjustRightInd w:val="0"/>
        <w:snapToGrid w:val="0"/>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5.2.5</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详细勘察工程勘察报告中的图纸部分，至少包括：</w:t>
      </w:r>
    </w:p>
    <w:p w14:paraId="1532E3AD">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（1）勘探点平面布置图</w:t>
      </w:r>
    </w:p>
    <w:p w14:paraId="144943FA">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（2）综合工程地质图或工程地质分区图</w:t>
      </w:r>
    </w:p>
    <w:p w14:paraId="097E595A">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（3）工程地质剖面图</w:t>
      </w:r>
    </w:p>
    <w:p w14:paraId="0B33C619">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（4）地质柱状图或综合地质柱状图</w:t>
      </w:r>
    </w:p>
    <w:p w14:paraId="495B5A2A">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（5）各主要土层物理力学性质指标统计、钻探点坐标标高深度、土层试验成果等有关测试图表等。</w:t>
      </w:r>
    </w:p>
    <w:p w14:paraId="311330DE">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（6）地下水等水位线图（若有）</w:t>
      </w:r>
    </w:p>
    <w:p w14:paraId="54582835">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（7）岩土工程计算简图及计算成果图表等。</w:t>
      </w:r>
    </w:p>
    <w:p w14:paraId="500B75D1">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5.2.6</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关</w:t>
      </w:r>
      <w:r>
        <w:rPr>
          <w:rFonts w:hint="eastAsia" w:ascii="宋体" w:hAnsi="宋体" w:eastAsia="宋体" w:cs="宋体"/>
          <w:snapToGrid w:val="0"/>
          <w:color w:val="000000" w:themeColor="text1"/>
          <w:kern w:val="0"/>
          <w:sz w:val="24"/>
          <w:szCs w:val="24"/>
          <w:highlight w:val="none"/>
          <w14:textFill>
            <w14:solidFill>
              <w14:schemeClr w14:val="tx1"/>
            </w14:solidFill>
          </w14:textFill>
        </w:rPr>
        <w:t>于勘察的其它要求：</w:t>
      </w:r>
    </w:p>
    <w:p w14:paraId="31875F44">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（1）按国家现行的勘察深度要求规定。</w:t>
      </w:r>
    </w:p>
    <w:p w14:paraId="76CB6426">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（2）详细勘察时，对软土地基处理的深度，应进行详细的工程地质勘探，不得以钻探困难为理由留给施工处理（有征地拆迁困难的除外）。</w:t>
      </w:r>
    </w:p>
    <w:p w14:paraId="28275625">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（3）勘察</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对水文调查应深入、系统，确定合理的防洪标高。</w:t>
      </w:r>
    </w:p>
    <w:p w14:paraId="793FE5FA">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（4）勘察成果报告应能详细、清楚反映岩土的有关力学物理指标、必需的物理及化学性质的指标，以避免在施工中因地质不清引起大的设计变更。</w:t>
      </w:r>
    </w:p>
    <w:p w14:paraId="2B083CFE">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（5）勘察工作必需的水、电及设备所产生的相关费用由</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勘察单位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自行承担。</w:t>
      </w:r>
    </w:p>
    <w:p w14:paraId="2C5636B9">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（6）因工程沿线的勘察工作发生青苗补偿及相关费用由</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勘察单位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自行承担。</w:t>
      </w:r>
    </w:p>
    <w:p w14:paraId="263A78B3">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（7）</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勘察单位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勘探完毕后需及时妥善回填钻孔，避免对周边环境造成破坏和形成安全隐患。</w:t>
      </w:r>
    </w:p>
    <w:p w14:paraId="4E43EEE7">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（8）</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勘察单位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需妥善保存各勘探孔的完整岩土芯样，以备届时施工阶段地质情况实际核对。施工过程中，若发现现场地质情况与同位置勘察点的勘察成果不符时，视为</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勘察单位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违约并承担相关责任。</w:t>
      </w:r>
    </w:p>
    <w:p w14:paraId="172B8C95">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勘察单位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勘探作业时，需预先探明勘探范围内的地下原有各类通信管线、燃气管道、电力电缆、供水管、排水（污）管等埋藏物分布情况，并做好相关防范保护措施，若因勘探工作造成相关设施损毁及相关费用由</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勘察单位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自行承担。</w:t>
      </w:r>
    </w:p>
    <w:p w14:paraId="01488E5A">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初步勘察应进行详细的工程测量、工程地质勘查和水文地质勘查，基本查清沿线地质、水文、气候、地震等情况。若利用既有的地形图、工程地质平面图、水文地质资料和地震资料时，必须进行现场核查。对已变化的地区进行地形、地物新测，对工程重点地区进行钻探核对。勘察结果应能清楚反映最新的现场实际地形、地貌及地质情况（含土石方比例）。</w:t>
      </w:r>
    </w:p>
    <w:p w14:paraId="4EEAA1EA">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（11）</w:t>
      </w:r>
      <w:r>
        <w:rPr>
          <w:rFonts w:hint="eastAsia" w:ascii="宋体" w:hAnsi="宋体" w:eastAsia="宋体" w:cs="宋体"/>
          <w:color w:val="000000" w:themeColor="text1"/>
          <w:sz w:val="24"/>
          <w:szCs w:val="24"/>
          <w:highlight w:val="none"/>
          <w14:textFill>
            <w14:solidFill>
              <w14:schemeClr w14:val="tx1"/>
            </w14:solidFill>
          </w14:textFill>
        </w:rPr>
        <w:t>初步勘察时，应将平面控制点、必要的水准基点，准确地测放在地面上并加以保护。</w:t>
      </w:r>
    </w:p>
    <w:p w14:paraId="2373BFE9">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（12）</w:t>
      </w:r>
      <w:r>
        <w:rPr>
          <w:rFonts w:hint="eastAsia" w:ascii="宋体" w:hAnsi="宋体" w:eastAsia="宋体" w:cs="宋体"/>
          <w:color w:val="000000" w:themeColor="text1"/>
          <w:sz w:val="24"/>
          <w:szCs w:val="24"/>
          <w:highlight w:val="none"/>
          <w14:textFill>
            <w14:solidFill>
              <w14:schemeClr w14:val="tx1"/>
            </w14:solidFill>
          </w14:textFill>
        </w:rPr>
        <w:t>详细勘察时，对软土地基处理的深度，应进行详细的工程地质勘探，不得以钻探困难为理由留给施工处理（有征地拆迁困难的除外）。对施工过程中需探明的地质情况，必须按规范进行详细勘探。</w:t>
      </w:r>
    </w:p>
    <w:p w14:paraId="119D6179">
      <w:pPr>
        <w:wordWrap w:val="0"/>
        <w:adjustRightInd w:val="0"/>
        <w:snapToGrid w:val="0"/>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5.2.7</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勘察后期工作</w:t>
      </w:r>
    </w:p>
    <w:p w14:paraId="3ADB3CE5">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5.2.7.1</w:t>
      </w:r>
      <w:r>
        <w:rPr>
          <w:rFonts w:hint="eastAsia" w:ascii="宋体" w:hAnsi="宋体" w:eastAsia="宋体" w:cs="宋体"/>
          <w:b w:val="0"/>
          <w:bCs w:val="0"/>
          <w:color w:val="000000" w:themeColor="text1"/>
          <w:sz w:val="24"/>
          <w:szCs w:val="24"/>
          <w:highlight w:val="none"/>
          <w14:textFill>
            <w14:solidFill>
              <w14:schemeClr w14:val="tx1"/>
            </w14:solidFill>
          </w14:textFill>
        </w:rPr>
        <w:t>配合施工</w:t>
      </w:r>
    </w:p>
    <w:p w14:paraId="6450BEB4">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当工程进入施工阶段，</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勘察单位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必须配合施工，发包人不另支付配合施工费用，此期间工作如下：</w:t>
      </w:r>
    </w:p>
    <w:p w14:paraId="5AF1A645">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（1）对项目的施工单位进行工程测量、工程地质和水文地质作技术交底；</w:t>
      </w:r>
    </w:p>
    <w:p w14:paraId="6A2E20BC">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（2）现场交桩；</w:t>
      </w:r>
    </w:p>
    <w:p w14:paraId="6E3D140F">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（3）配合设计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进行变更设计和补充设计所需要的勘察工作；</w:t>
      </w:r>
    </w:p>
    <w:p w14:paraId="4DF9EFCF">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勘察单位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应参与建设工程质量事故的处理工作，并对因勘察原因造成的质量事故，提出相应的技术处理方案。</w:t>
      </w:r>
    </w:p>
    <w:p w14:paraId="45F771BF">
      <w:pPr>
        <w:wordWrap w:val="0"/>
        <w:adjustRightInd w:val="0"/>
        <w:snapToGrid w:val="0"/>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5.2.7.2</w:t>
      </w:r>
      <w:r>
        <w:rPr>
          <w:rFonts w:hint="eastAsia" w:ascii="宋体" w:hAnsi="宋体" w:eastAsia="宋体" w:cs="宋体"/>
          <w:b w:val="0"/>
          <w:bCs w:val="0"/>
          <w:color w:val="000000" w:themeColor="text1"/>
          <w:sz w:val="24"/>
          <w:szCs w:val="24"/>
          <w:highlight w:val="none"/>
          <w14:textFill>
            <w14:solidFill>
              <w14:schemeClr w14:val="tx1"/>
            </w14:solidFill>
          </w14:textFill>
        </w:rPr>
        <w:t>勘察工作技术总结</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 xml:space="preserve"> </w:t>
      </w:r>
    </w:p>
    <w:p w14:paraId="0DE18ABC">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勘察单位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对勘察文件及施工过程中发生的补充勘察进行检查，并提出勘察文件质量检查报告，在竣工验收前交发包人。工程完工后，</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勘察单位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应组织勘察技术工作人员将全部资料进行整理并撰写工程技术总结，并于竣工后十五个日历天内完成，交发包人。</w:t>
      </w:r>
    </w:p>
    <w:p w14:paraId="4C33C5C4">
      <w:pPr>
        <w:pStyle w:val="38"/>
        <w:numPr>
          <w:ilvl w:val="0"/>
          <w:numId w:val="0"/>
        </w:numPr>
        <w:spacing w:line="360" w:lineRule="auto"/>
        <w:ind w:firstLine="480" w:firstLineChars="200"/>
        <w:rPr>
          <w:rFonts w:hint="eastAsia" w:hAnsi="宋体" w:cs="Calibri"/>
          <w:bCs/>
          <w:color w:val="000000" w:themeColor="text1"/>
          <w:sz w:val="24"/>
          <w:szCs w:val="24"/>
          <w:highlight w:val="none"/>
          <w:lang w:val="en-US" w:eastAsia="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5.2.8勘察成果文件要求：</w:t>
      </w:r>
    </w:p>
    <w:p w14:paraId="7AF6869D">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勘察</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按合同约定、招标文件内容要求、法律法规及国家强制性标准要求提供完整的</w:t>
      </w:r>
      <w:r>
        <w:rPr>
          <w:rFonts w:hint="eastAsia" w:ascii="宋体" w:hAnsi="宋体" w:eastAsia="宋体" w:cs="宋体"/>
          <w:color w:val="000000" w:themeColor="text1"/>
          <w:sz w:val="24"/>
          <w:szCs w:val="24"/>
          <w:highlight w:val="none"/>
          <w:lang w:val="zh-CN"/>
          <w14:textFill>
            <w14:solidFill>
              <w14:schemeClr w14:val="tx1"/>
            </w14:solidFill>
          </w14:textFill>
        </w:rPr>
        <w:t>勘察、测绘报告一式</w:t>
      </w:r>
      <w:r>
        <w:rPr>
          <w:rFonts w:hint="eastAsia" w:hAnsi="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lang w:val="zh-CN"/>
          <w14:textFill>
            <w14:solidFill>
              <w14:schemeClr w14:val="tx1"/>
            </w14:solidFill>
          </w14:textFill>
        </w:rPr>
        <w:t>份</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。提供的所有资料均含电子版（含CAD及PDF文件格式）。</w:t>
      </w:r>
    </w:p>
    <w:p w14:paraId="192CBC0C">
      <w:pPr>
        <w:pStyle w:val="38"/>
        <w:numPr>
          <w:ilvl w:val="0"/>
          <w:numId w:val="0"/>
        </w:numPr>
        <w:spacing w:line="360" w:lineRule="auto"/>
        <w:ind w:firstLine="480" w:firstLineChars="200"/>
        <w:rPr>
          <w:rFonts w:hint="eastAsia" w:hAnsi="宋体" w:cs="Calibri"/>
          <w:bCs/>
          <w:color w:val="000000" w:themeColor="text1"/>
          <w:sz w:val="24"/>
          <w:szCs w:val="24"/>
          <w:highlight w:val="none"/>
          <w:lang w:val="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5.3</w:t>
      </w:r>
      <w:r>
        <w:rPr>
          <w:rFonts w:hint="eastAsia" w:hAnsi="宋体" w:cs="Calibri"/>
          <w:bCs/>
          <w:color w:val="000000" w:themeColor="text1"/>
          <w:sz w:val="24"/>
          <w:szCs w:val="24"/>
          <w:highlight w:val="none"/>
          <w:lang w:val="zh-CN"/>
          <w14:textFill>
            <w14:solidFill>
              <w14:schemeClr w14:val="tx1"/>
            </w14:solidFill>
          </w14:textFill>
        </w:rPr>
        <w:t>设计要求：</w:t>
      </w:r>
    </w:p>
    <w:p w14:paraId="183D90A7">
      <w:pPr>
        <w:pStyle w:val="38"/>
        <w:numPr>
          <w:ilvl w:val="0"/>
          <w:numId w:val="0"/>
        </w:numPr>
        <w:spacing w:line="360" w:lineRule="auto"/>
        <w:ind w:firstLine="480" w:firstLineChars="200"/>
        <w:rPr>
          <w:rFonts w:hint="eastAsia" w:hAnsi="宋体" w:cs="Calibri"/>
          <w:bCs/>
          <w:color w:val="000000" w:themeColor="text1"/>
          <w:sz w:val="24"/>
          <w:szCs w:val="24"/>
          <w:highlight w:val="none"/>
          <w:lang w:val="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5.3.1设计质量要求：</w:t>
      </w:r>
      <w:r>
        <w:rPr>
          <w:rFonts w:hint="eastAsia" w:hAnsi="宋体" w:cs="Calibri"/>
          <w:bCs/>
          <w:color w:val="000000" w:themeColor="text1"/>
          <w:sz w:val="24"/>
          <w:szCs w:val="24"/>
          <w:highlight w:val="none"/>
          <w:lang w:val="zh-CN"/>
          <w14:textFill>
            <w14:solidFill>
              <w14:schemeClr w14:val="tx1"/>
            </w14:solidFill>
          </w14:textFill>
        </w:rPr>
        <w:t>符合国家或行业颁布的现行有效的有关设计的规范要求，并必须通过有关部门的审查及经有资质的审图机构审查合格。</w:t>
      </w:r>
    </w:p>
    <w:p w14:paraId="52B5D221">
      <w:pPr>
        <w:pStyle w:val="38"/>
        <w:numPr>
          <w:ilvl w:val="0"/>
          <w:numId w:val="0"/>
        </w:numPr>
        <w:spacing w:line="360" w:lineRule="auto"/>
        <w:ind w:firstLine="480" w:firstLineChars="200"/>
        <w:rPr>
          <w:rFonts w:hint="eastAsia" w:hAnsi="宋体" w:cs="Calibri"/>
          <w:bCs/>
          <w:color w:val="000000" w:themeColor="text1"/>
          <w:sz w:val="24"/>
          <w:szCs w:val="24"/>
          <w:highlight w:val="none"/>
          <w:lang w:val="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5.3.2</w:t>
      </w:r>
      <w:r>
        <w:rPr>
          <w:rFonts w:hint="eastAsia" w:hAnsi="宋体" w:cs="Calibri"/>
          <w:bCs/>
          <w:color w:val="000000" w:themeColor="text1"/>
          <w:sz w:val="24"/>
          <w:szCs w:val="24"/>
          <w:highlight w:val="none"/>
          <w:lang w:val="zh-CN"/>
          <w14:textFill>
            <w14:solidFill>
              <w14:schemeClr w14:val="tx1"/>
            </w14:solidFill>
          </w14:textFill>
        </w:rPr>
        <w:t>本工程各个阶段的设计成果必须经发包人及有关审批部门同意后方可进行下一工序的设计工作，若</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hAnsi="宋体" w:cs="Calibri"/>
          <w:bCs/>
          <w:color w:val="000000" w:themeColor="text1"/>
          <w:sz w:val="24"/>
          <w:szCs w:val="24"/>
          <w:highlight w:val="none"/>
          <w:lang w:val="zh-CN"/>
          <w14:textFill>
            <w14:solidFill>
              <w14:schemeClr w14:val="tx1"/>
            </w14:solidFill>
          </w14:textFill>
        </w:rPr>
        <w:t>或有关审批部门在审批过程中提出的设计修改或变更，设计单位必须无条件进行修改或变更，</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hAnsi="宋体" w:cs="Calibri"/>
          <w:bCs/>
          <w:color w:val="000000" w:themeColor="text1"/>
          <w:sz w:val="24"/>
          <w:szCs w:val="24"/>
          <w:highlight w:val="none"/>
          <w:lang w:val="zh-CN"/>
          <w14:textFill>
            <w14:solidFill>
              <w14:schemeClr w14:val="tx1"/>
            </w14:solidFill>
          </w14:textFill>
        </w:rPr>
        <w:t>不再支付由此而增加的设计费用。本工程施工图设计必须先经</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hAnsi="宋体" w:cs="Calibri"/>
          <w:bCs/>
          <w:color w:val="000000" w:themeColor="text1"/>
          <w:sz w:val="24"/>
          <w:szCs w:val="24"/>
          <w:highlight w:val="none"/>
          <w:lang w:val="zh-CN"/>
          <w14:textFill>
            <w14:solidFill>
              <w14:schemeClr w14:val="tx1"/>
            </w14:solidFill>
          </w14:textFill>
        </w:rPr>
        <w:t>确认才能送审，并经</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hAnsi="宋体" w:cs="Calibri"/>
          <w:bCs/>
          <w:color w:val="000000" w:themeColor="text1"/>
          <w:sz w:val="24"/>
          <w:szCs w:val="24"/>
          <w:highlight w:val="none"/>
          <w:lang w:val="zh-CN"/>
          <w14:textFill>
            <w14:solidFill>
              <w14:schemeClr w14:val="tx1"/>
            </w14:solidFill>
          </w14:textFill>
        </w:rPr>
        <w:t>委托的有资质的审图机构审查合格。若</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hAnsi="宋体" w:cs="Calibri"/>
          <w:bCs/>
          <w:color w:val="000000" w:themeColor="text1"/>
          <w:sz w:val="24"/>
          <w:szCs w:val="24"/>
          <w:highlight w:val="none"/>
          <w:lang w:val="zh-CN"/>
          <w14:textFill>
            <w14:solidFill>
              <w14:schemeClr w14:val="tx1"/>
            </w14:solidFill>
          </w14:textFill>
        </w:rPr>
        <w:t>或审图机构在审查过程中提出的设计修改或变更，设计单位必须无条件进行修改或优化设计，</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hAnsi="宋体" w:cs="Calibri"/>
          <w:bCs/>
          <w:color w:val="000000" w:themeColor="text1"/>
          <w:sz w:val="24"/>
          <w:szCs w:val="24"/>
          <w:highlight w:val="none"/>
          <w:lang w:val="zh-CN"/>
          <w14:textFill>
            <w14:solidFill>
              <w14:schemeClr w14:val="tx1"/>
            </w14:solidFill>
          </w14:textFill>
        </w:rPr>
        <w:t>不再支付由此而增加的设计费用。</w:t>
      </w:r>
    </w:p>
    <w:p w14:paraId="44FA2FFF">
      <w:pPr>
        <w:pStyle w:val="38"/>
        <w:numPr>
          <w:ilvl w:val="0"/>
          <w:numId w:val="0"/>
        </w:numPr>
        <w:spacing w:line="360" w:lineRule="auto"/>
        <w:ind w:firstLine="480" w:firstLineChars="200"/>
        <w:rPr>
          <w:rFonts w:hint="eastAsia" w:ascii="宋体" w:hAnsi="宋体" w:eastAsia="宋体" w:cs="Calibri"/>
          <w:bCs/>
          <w:color w:val="000000" w:themeColor="text1"/>
          <w:sz w:val="24"/>
          <w:szCs w:val="24"/>
          <w:highlight w:val="none"/>
          <w:lang w:val="en-US" w:eastAsia="zh-CN"/>
          <w14:textFill>
            <w14:solidFill>
              <w14:schemeClr w14:val="tx1"/>
            </w14:solidFill>
          </w14:textFill>
        </w:rPr>
      </w:pPr>
      <w:r>
        <w:rPr>
          <w:rFonts w:hint="eastAsia" w:ascii="宋体" w:hAnsi="宋体" w:eastAsia="宋体" w:cs="Calibri"/>
          <w:bCs/>
          <w:color w:val="000000" w:themeColor="text1"/>
          <w:sz w:val="24"/>
          <w:szCs w:val="24"/>
          <w:highlight w:val="none"/>
          <w:lang w:val="en-US" w:eastAsia="zh-CN"/>
          <w14:textFill>
            <w14:solidFill>
              <w14:schemeClr w14:val="tx1"/>
            </w14:solidFill>
          </w14:textFill>
        </w:rPr>
        <w:t>5.3.3关于设计深度的要求</w:t>
      </w:r>
    </w:p>
    <w:p w14:paraId="2E1924CD">
      <w:pPr>
        <w:pStyle w:val="38"/>
        <w:numPr>
          <w:ilvl w:val="0"/>
          <w:numId w:val="0"/>
        </w:numPr>
        <w:spacing w:line="360" w:lineRule="auto"/>
        <w:ind w:left="0" w:leftChars="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各专业设计应同步进行，涉及单位应指定总体设计人统筹布局，做好各项设施的协调和衔接、位置预留，不得留待施工中临时变更。</w:t>
      </w:r>
    </w:p>
    <w:p w14:paraId="62D0E49E">
      <w:pPr>
        <w:pStyle w:val="38"/>
        <w:numPr>
          <w:ilvl w:val="0"/>
          <w:numId w:val="0"/>
        </w:numPr>
        <w:spacing w:line="360" w:lineRule="auto"/>
        <w:ind w:left="0" w:leftChars="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hAnsi="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对技术复杂或造价、规模较大的主要分项工程应作方案比较。 </w:t>
      </w:r>
    </w:p>
    <w:p w14:paraId="712991DD">
      <w:pPr>
        <w:pStyle w:val="38"/>
        <w:numPr>
          <w:ilvl w:val="0"/>
          <w:numId w:val="0"/>
        </w:numPr>
        <w:spacing w:line="360" w:lineRule="auto"/>
        <w:ind w:left="0" w:leftChars="0"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hAnsi="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）初步设计文件的深度，应当满足主要设备材料订货、征地拆迁及编制施工图设计文件的需要。</w:t>
      </w:r>
    </w:p>
    <w:p w14:paraId="2A9B3380">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施工图设计文件的深度，应当满足设备材料采购，非标准设备制作和施工的需要，并注明建设工程合理使用年限。</w:t>
      </w:r>
    </w:p>
    <w:p w14:paraId="4B17CC89">
      <w:pPr>
        <w:pStyle w:val="38"/>
        <w:numPr>
          <w:ilvl w:val="0"/>
          <w:numId w:val="0"/>
        </w:numPr>
        <w:spacing w:line="360" w:lineRule="auto"/>
        <w:ind w:left="0" w:leftChars="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hAnsi="宋体" w:cs="宋体"/>
          <w:color w:val="000000" w:themeColor="text1"/>
          <w:kern w:val="2"/>
          <w:sz w:val="24"/>
          <w:szCs w:val="24"/>
          <w:highlight w:val="none"/>
          <w:lang w:val="en-US" w:eastAsia="zh-CN" w:bidi="ar-SA"/>
          <w14:textFill>
            <w14:solidFill>
              <w14:schemeClr w14:val="tx1"/>
            </w14:solidFill>
          </w14:textFill>
        </w:rPr>
        <w:t>5</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相关的配套外部接口方案均需取得政府主管部门或规划部门认可。</w:t>
      </w:r>
    </w:p>
    <w:p w14:paraId="7696347F">
      <w:pPr>
        <w:pStyle w:val="38"/>
        <w:numPr>
          <w:ilvl w:val="0"/>
          <w:numId w:val="0"/>
        </w:numPr>
        <w:spacing w:line="360" w:lineRule="auto"/>
        <w:ind w:left="0" w:leftChars="0"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施工图设计文件应考虑交通维护、临时施工便道、基坑支护、对周边建筑物的影响等因素，以指导现场施工及过程评审。</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59CDE3F4">
      <w:pPr>
        <w:pStyle w:val="38"/>
        <w:numPr>
          <w:ilvl w:val="0"/>
          <w:numId w:val="0"/>
        </w:num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5.3.4</w:t>
      </w:r>
      <w:r>
        <w:rPr>
          <w:rFonts w:hint="eastAsia" w:ascii="宋体" w:hAnsi="宋体" w:eastAsia="宋体" w:cs="宋体"/>
          <w:snapToGrid w:val="0"/>
          <w:color w:val="000000" w:themeColor="text1"/>
          <w:kern w:val="0"/>
          <w:sz w:val="24"/>
          <w:szCs w:val="24"/>
          <w:highlight w:val="none"/>
          <w14:textFill>
            <w14:solidFill>
              <w14:schemeClr w14:val="tx1"/>
            </w14:solidFill>
          </w14:textFill>
        </w:rPr>
        <w:t>设计后期配合工作</w:t>
      </w:r>
    </w:p>
    <w:p w14:paraId="565042A2">
      <w:pPr>
        <w:pStyle w:val="38"/>
        <w:numPr>
          <w:ilvl w:val="0"/>
          <w:numId w:val="0"/>
        </w:num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施工图设计完成并经有关单位审查后，才能进入施工阶段，设计单位必须按投标文件的承诺至少派1名参与并熟悉本项目设计、有现场处理经验的设计代表驻现场以配合，</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不另外支付配合施工费用。</w:t>
      </w:r>
    </w:p>
    <w:p w14:paraId="34D0A104">
      <w:pPr>
        <w:pStyle w:val="3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设计单位配合施工、监理及业主单位的工作内容如下：</w:t>
      </w:r>
    </w:p>
    <w:p w14:paraId="25AA0568">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施工图设计（技术）交底；</w:t>
      </w:r>
    </w:p>
    <w:p w14:paraId="571867D6">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配合勘察单位现场交桩；</w:t>
      </w:r>
    </w:p>
    <w:p w14:paraId="10470199">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变更设计和所有补充设计；</w:t>
      </w:r>
    </w:p>
    <w:p w14:paraId="0E6F012B">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会签设计变更审批表；</w:t>
      </w:r>
    </w:p>
    <w:p w14:paraId="51B05D7D">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参加处理施工中发生的工程质量和安全事故；</w:t>
      </w:r>
    </w:p>
    <w:p w14:paraId="3E1B2B82">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参加隐蔽工程及工程竣工验收；</w:t>
      </w:r>
    </w:p>
    <w:p w14:paraId="101C07DE">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解决与设计有关的施工问题；</w:t>
      </w:r>
    </w:p>
    <w:p w14:paraId="194A6016">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配合质量检测；</w:t>
      </w:r>
    </w:p>
    <w:p w14:paraId="12798512">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参加审查施工单位的施工组织设计和专项施工方案；</w:t>
      </w:r>
    </w:p>
    <w:p w14:paraId="7F6EE7B1">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参加本项目建设有关会议。</w:t>
      </w:r>
    </w:p>
    <w:p w14:paraId="6EF578DF">
      <w:pPr>
        <w:keepNext w:val="0"/>
        <w:keepLines w:val="0"/>
        <w:pageBreakBefore w:val="0"/>
        <w:widowControl w:val="0"/>
        <w:numPr>
          <w:ilvl w:val="0"/>
          <w:numId w:val="1"/>
        </w:numPr>
        <w:tabs>
          <w:tab w:val="left" w:pos="240"/>
        </w:tabs>
        <w:kinsoku/>
        <w:wordWrap/>
        <w:overflowPunct/>
        <w:topLinePunct w:val="0"/>
        <w:autoSpaceDE/>
        <w:autoSpaceDN/>
        <w:bidi w:val="0"/>
        <w:adjustRightInd/>
        <w:snapToGrid/>
        <w:spacing w:line="360" w:lineRule="auto"/>
        <w:ind w:left="900" w:leftChars="200" w:hanging="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在监理招标期间配合建设及相关单位解释及完善施工图相关内容。</w:t>
      </w:r>
    </w:p>
    <w:p w14:paraId="602CE3F2">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（3）设计工作技术总结</w:t>
      </w:r>
    </w:p>
    <w:p w14:paraId="187F9012">
      <w:pPr>
        <w:pStyle w:val="38"/>
        <w:numPr>
          <w:ilvl w:val="0"/>
          <w:numId w:val="0"/>
        </w:num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对设计文件及施工过程中发生的补充设计进行检查，并提出设计文件质量检查报告，在竣工验收前交</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。工程完工后，</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应组织设计技术工作人员将全部资料进行整理并撰写工程技术总结，并于竣工后一个月内完成，交</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70A287A6">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5.3.4限额设计要求：</w:t>
      </w:r>
    </w:p>
    <w:p w14:paraId="1D822CE1">
      <w:pPr>
        <w:pStyle w:val="38"/>
        <w:numPr>
          <w:ilvl w:val="0"/>
          <w:numId w:val="0"/>
        </w:numPr>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施工图预算中的建安工程费预算价不得超过经发改部门审定的概算建安工程费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且不得超过建安工程费的中标价</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w:t>
      </w:r>
    </w:p>
    <w:p w14:paraId="4F122CAC">
      <w:pPr>
        <w:pStyle w:val="38"/>
        <w:numPr>
          <w:ilvl w:val="0"/>
          <w:numId w:val="0"/>
        </w:num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在提交设计施工图时必须同时提交施工图预算。施工图预算作为</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自我核算是否符合限</w:t>
      </w:r>
      <w:r>
        <w:rPr>
          <w:rFonts w:hint="eastAsia" w:ascii="宋体" w:hAnsi="宋体" w:eastAsia="宋体" w:cs="宋体"/>
          <w:snapToGrid w:val="0"/>
          <w:color w:val="000000" w:themeColor="text1"/>
          <w:kern w:val="0"/>
          <w:sz w:val="24"/>
          <w:szCs w:val="24"/>
          <w:highlight w:val="none"/>
          <w14:textFill>
            <w14:solidFill>
              <w14:schemeClr w14:val="tx1"/>
            </w14:solidFill>
          </w14:textFill>
        </w:rPr>
        <w:t>额设计要求的依据。若</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第三方</w:t>
      </w:r>
      <w:r>
        <w:rPr>
          <w:rFonts w:hint="eastAsia" w:ascii="宋体" w:hAnsi="宋体" w:eastAsia="宋体" w:cs="宋体"/>
          <w:snapToGrid w:val="0"/>
          <w:color w:val="000000" w:themeColor="text1"/>
          <w:kern w:val="0"/>
          <w:sz w:val="24"/>
          <w:szCs w:val="24"/>
          <w:highlight w:val="none"/>
          <w14:textFill>
            <w14:solidFill>
              <w14:schemeClr w14:val="tx1"/>
            </w14:solidFill>
          </w14:textFill>
        </w:rPr>
        <w:t>造价咨询单位按施工图编制或审核的建安工程费高于</w:t>
      </w:r>
      <w:r>
        <w:rPr>
          <w:rFonts w:hint="eastAsia" w:ascii="宋体" w:hAnsi="宋体" w:eastAsia="宋体" w:cs="宋体"/>
          <w:color w:val="000000" w:themeColor="text1"/>
          <w:sz w:val="24"/>
          <w:szCs w:val="24"/>
          <w:highlight w:val="none"/>
          <w14:textFill>
            <w14:solidFill>
              <w14:schemeClr w14:val="tx1"/>
            </w14:solidFill>
          </w14:textFill>
        </w:rPr>
        <w:t>建安工程费的中标价</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必须无条件对施工图进行修改，直至满足限额设计要求，</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不另行增加设计费</w:t>
      </w:r>
      <w:r>
        <w:rPr>
          <w:rFonts w:hint="eastAsia" w:ascii="宋体" w:hAnsi="宋体" w:eastAsia="宋体" w:cs="宋体"/>
          <w:snapToGrid w:val="0"/>
          <w:color w:val="000000" w:themeColor="text1"/>
          <w:kern w:val="0"/>
          <w:sz w:val="24"/>
          <w:szCs w:val="24"/>
          <w:highlight w:val="none"/>
          <w14:textFill>
            <w14:solidFill>
              <w14:schemeClr w14:val="tx1"/>
            </w14:solidFill>
          </w14:textFill>
        </w:rPr>
        <w:t>。由此造成造价咨询单位重复编制或审核施工图预算的费用由</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承担，结算时在设计费中扣除。</w:t>
      </w:r>
    </w:p>
    <w:p w14:paraId="438D5531">
      <w:pPr>
        <w:pStyle w:val="38"/>
        <w:numPr>
          <w:ilvl w:val="0"/>
          <w:numId w:val="0"/>
        </w:num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不得为了用完设计限额额度，擅自扩大建设规模、增加建设内容、提高建设标准的行为，因此导致造价增加由</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snapToGrid w:val="0"/>
          <w:color w:val="000000" w:themeColor="text1"/>
          <w:kern w:val="0"/>
          <w:sz w:val="24"/>
          <w:szCs w:val="24"/>
          <w:highlight w:val="none"/>
          <w14:textFill>
            <w14:solidFill>
              <w14:schemeClr w14:val="tx1"/>
            </w14:solidFill>
          </w14:textFill>
        </w:rPr>
        <w:t>负责及承担费用。</w:t>
      </w:r>
    </w:p>
    <w:p w14:paraId="028B7A17">
      <w:pPr>
        <w:pStyle w:val="38"/>
        <w:numPr>
          <w:ilvl w:val="0"/>
          <w:numId w:val="0"/>
        </w:numPr>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5.3.5</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在设计前，要充分进行市场调查，主要材料、设备在满足设计规范及建设标准的情况下，尽量采用造价管理机构发布的信息价中有相应型号、规格的标准材料，若必须采用非标准材料的，必须经</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同意，否则参照信息价中相近且低于其标准的材料信息价作为该项材料的结算价。</w:t>
      </w:r>
    </w:p>
    <w:p w14:paraId="7534DBDA">
      <w:pPr>
        <w:pStyle w:val="38"/>
        <w:numPr>
          <w:ilvl w:val="0"/>
          <w:numId w:val="0"/>
        </w:numPr>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5.3.6</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设计时需要考虑与周边地块的开发相结合。</w:t>
      </w:r>
    </w:p>
    <w:p w14:paraId="04332047">
      <w:pPr>
        <w:pStyle w:val="38"/>
        <w:numPr>
          <w:ilvl w:val="0"/>
          <w:numId w:val="0"/>
        </w:numPr>
        <w:spacing w:line="360" w:lineRule="auto"/>
        <w:ind w:firstLine="480" w:firstLineChars="200"/>
        <w:rPr>
          <w:rFonts w:hint="eastAsia" w:hAnsi="宋体" w:cs="Calibri"/>
          <w:bCs/>
          <w:color w:val="000000" w:themeColor="text1"/>
          <w:sz w:val="24"/>
          <w:szCs w:val="24"/>
          <w:highlight w:val="none"/>
          <w:lang w:val="en-US" w:eastAsia="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5.3.7设计成果文件要求：</w:t>
      </w:r>
    </w:p>
    <w:p w14:paraId="5E569659">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color w:val="000000" w:themeColor="text1"/>
          <w:sz w:val="24"/>
          <w:szCs w:val="24"/>
          <w:highlight w:val="none"/>
          <w14:textFill>
            <w14:solidFill>
              <w14:schemeClr w14:val="tx1"/>
            </w14:solidFill>
          </w14:textFill>
        </w:rPr>
        <w:t>按合同约定、招标文件内容要求、法律法规及国家强制性标准要求提供完整的设计文件</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60882FC">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要求提供施工图设计文件</w:t>
      </w:r>
      <w:r>
        <w:rPr>
          <w:rFonts w:hint="eastAsia" w:hAnsi="宋体" w:cs="宋体"/>
          <w:bCs/>
          <w:color w:val="000000" w:themeColor="text1"/>
          <w:sz w:val="24"/>
          <w:szCs w:val="24"/>
          <w:highlight w:val="none"/>
          <w:lang w:val="en-US" w:eastAsia="zh-CN"/>
          <w14:textFill>
            <w14:solidFill>
              <w14:schemeClr w14:val="tx1"/>
            </w14:solidFill>
          </w14:textFill>
        </w:rPr>
        <w:t>8</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套、施工图预算（含工程量清单）5套。提供的所有资料均含电子版（含CAD及PDF文件格式）。</w:t>
      </w:r>
    </w:p>
    <w:p w14:paraId="67A28990">
      <w:pPr>
        <w:pStyle w:val="38"/>
        <w:numPr>
          <w:ilvl w:val="0"/>
          <w:numId w:val="0"/>
        </w:numPr>
        <w:spacing w:line="360" w:lineRule="auto"/>
        <w:ind w:firstLine="480" w:firstLineChars="200"/>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5.3.8本工程各个阶段的设计成果必须经</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及有关审批部门同意后方可进行下一工序的设计工作，若</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或有关审批部门在审批过程中提出的设计修改或变更，</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必须无条件进行修改或变更，</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不再支付由此而增加的设计费用。本工程施工图设计必须先经</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确认才能送审，并经</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委托的有资质的审图机构审查合格。若</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或审图机构在审查过程中提出的设计修改或变更，</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必须无条件进行修改或优化设计，</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不再支付由此而增加的设计费用。</w:t>
      </w:r>
    </w:p>
    <w:p w14:paraId="697466A0">
      <w:pPr>
        <w:pStyle w:val="38"/>
        <w:numPr>
          <w:ilvl w:val="0"/>
          <w:numId w:val="0"/>
        </w:numPr>
        <w:spacing w:line="360" w:lineRule="auto"/>
        <w:ind w:firstLine="480" w:firstLineChars="200"/>
        <w:rPr>
          <w:rFonts w:hint="eastAsia" w:hAnsi="宋体" w:cs="Calibri"/>
          <w:bCs/>
          <w:color w:val="000000" w:themeColor="text1"/>
          <w:sz w:val="24"/>
          <w:szCs w:val="24"/>
          <w:highlight w:val="none"/>
          <w:lang w:val="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5.4</w:t>
      </w:r>
      <w:r>
        <w:rPr>
          <w:rFonts w:hint="eastAsia" w:hAnsi="宋体" w:cs="Calibri"/>
          <w:bCs/>
          <w:color w:val="000000" w:themeColor="text1"/>
          <w:sz w:val="24"/>
          <w:szCs w:val="24"/>
          <w:highlight w:val="none"/>
          <w:lang w:val="zh-CN"/>
          <w14:textFill>
            <w14:solidFill>
              <w14:schemeClr w14:val="tx1"/>
            </w14:solidFill>
          </w14:textFill>
        </w:rPr>
        <w:t>施工要求：</w:t>
      </w:r>
    </w:p>
    <w:p w14:paraId="33FDD9E0">
      <w:pPr>
        <w:pStyle w:val="38"/>
        <w:numPr>
          <w:ilvl w:val="0"/>
          <w:numId w:val="0"/>
        </w:numPr>
        <w:spacing w:line="360" w:lineRule="auto"/>
        <w:ind w:firstLine="480" w:firstLineChars="200"/>
        <w:rPr>
          <w:rFonts w:hint="eastAsia" w:hAnsi="宋体" w:cs="Calibri"/>
          <w:bCs/>
          <w:color w:val="000000" w:themeColor="text1"/>
          <w:sz w:val="24"/>
          <w:szCs w:val="24"/>
          <w:highlight w:val="none"/>
          <w:lang w:val="zh-CN"/>
          <w14:textFill>
            <w14:solidFill>
              <w14:schemeClr w14:val="tx1"/>
            </w14:solidFill>
          </w14:textFill>
        </w:rPr>
      </w:pPr>
      <w:r>
        <w:rPr>
          <w:rFonts w:hint="eastAsia" w:hAnsi="宋体" w:cs="Calibri"/>
          <w:bCs/>
          <w:color w:val="000000" w:themeColor="text1"/>
          <w:sz w:val="24"/>
          <w:szCs w:val="24"/>
          <w:highlight w:val="none"/>
          <w:lang w:val="en-US" w:eastAsia="zh-CN"/>
          <w14:textFill>
            <w14:solidFill>
              <w14:schemeClr w14:val="tx1"/>
            </w14:solidFill>
          </w14:textFill>
        </w:rPr>
        <w:t>5.4.1施工质量要求：</w:t>
      </w:r>
      <w:r>
        <w:rPr>
          <w:rFonts w:hint="eastAsia" w:hAnsi="宋体" w:cs="Calibri"/>
          <w:bCs/>
          <w:color w:val="000000" w:themeColor="text1"/>
          <w:sz w:val="24"/>
          <w:szCs w:val="24"/>
          <w:highlight w:val="none"/>
          <w:lang w:val="zh-CN"/>
          <w14:textFill>
            <w14:solidFill>
              <w14:schemeClr w14:val="tx1"/>
            </w14:solidFill>
          </w14:textFill>
        </w:rPr>
        <w:t>施工质量必须达到国家验收合格标准。</w:t>
      </w:r>
    </w:p>
    <w:p w14:paraId="482507B4">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若因</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原因，</w:t>
      </w:r>
      <w:r>
        <w:rPr>
          <w:rFonts w:hint="eastAsia" w:ascii="宋体" w:hAnsi="宋体" w:eastAsia="宋体" w:cs="宋体"/>
          <w:color w:val="000000" w:themeColor="text1"/>
          <w:sz w:val="24"/>
          <w:szCs w:val="24"/>
          <w:highlight w:val="none"/>
          <w:lang w:val="en-US" w:eastAsia="zh-CN"/>
          <w14:textFill>
            <w14:solidFill>
              <w14:schemeClr w14:val="tx1"/>
            </w14:solidFill>
          </w14:textFill>
        </w:rPr>
        <w:t>工程在竣工</w:t>
      </w:r>
      <w:r>
        <w:rPr>
          <w:rFonts w:hint="eastAsia" w:ascii="宋体" w:hAnsi="宋体" w:eastAsia="宋体" w:cs="宋体"/>
          <w:color w:val="000000" w:themeColor="text1"/>
          <w:sz w:val="24"/>
          <w:szCs w:val="24"/>
          <w:highlight w:val="none"/>
          <w14:textFill>
            <w14:solidFill>
              <w14:schemeClr w14:val="tx1"/>
            </w14:solidFill>
          </w14:textFill>
        </w:rPr>
        <w:t>验收时没有达到</w:t>
      </w:r>
      <w:r>
        <w:rPr>
          <w:rFonts w:hint="eastAsia" w:ascii="宋体" w:hAnsi="宋体" w:eastAsia="宋体" w:cs="宋体"/>
          <w:color w:val="000000" w:themeColor="text1"/>
          <w:sz w:val="24"/>
          <w:szCs w:val="24"/>
          <w:highlight w:val="none"/>
          <w:lang w:val="zh-CN"/>
          <w14:textFill>
            <w14:solidFill>
              <w14:schemeClr w14:val="tx1"/>
            </w14:solidFill>
          </w14:textFill>
        </w:rPr>
        <w:t>国家验收合格标准</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按合同价款的1％向</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返纳质量违约金。</w:t>
      </w:r>
    </w:p>
    <w:p w14:paraId="3F059BF9">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在施工中如果工程质量不符合设计要求或有关规定，</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或监理单位要求停工和返工的必须立即执行，并承担由此产生的各种费用，工期不予顺延。</w:t>
      </w:r>
    </w:p>
    <w:p w14:paraId="08B9090B">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保修期限按中华人民共和国国务院令第279号文《建设工程质量管理条例》规定执行，在保修期内因施工质量问题而造成返修，一切费用由</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负责。</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在向</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提交竣工验收报告时，应当向</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出具质量保修书。质量保修书中应当明确建设工程的保修范围、保修期限和保修责任等。</w:t>
      </w:r>
    </w:p>
    <w:p w14:paraId="51DF5496">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项目使用的主要材料质量要求必须符合本项目达到验收合格标准的要求。主要材料必须先提供样板给</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确定其颜色、等级等，并经发包人委托的检测机构检测合格方可使用。</w:t>
      </w:r>
      <w:bookmarkStart w:id="79" w:name="OLE_LINK2"/>
      <w:bookmarkStart w:id="80" w:name="OLE_LINK1"/>
    </w:p>
    <w:p w14:paraId="4EB7646E">
      <w:pPr>
        <w:pStyle w:val="38"/>
        <w:numPr>
          <w:ilvl w:val="0"/>
          <w:numId w:val="0"/>
        </w:num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为保证施工现场的环境卫生，</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color w:val="000000" w:themeColor="text1"/>
          <w:sz w:val="24"/>
          <w:szCs w:val="24"/>
          <w:highlight w:val="none"/>
          <w14:textFill>
            <w14:solidFill>
              <w14:schemeClr w14:val="tx1"/>
            </w14:solidFill>
          </w14:textFill>
        </w:rPr>
        <w:t>在本工程施工过程中，所有的车辆必须按</w:t>
      </w:r>
      <w:r>
        <w:rPr>
          <w:rFonts w:hint="eastAsia" w:hAnsi="宋体" w:cs="Calibri"/>
          <w:bCs/>
          <w:color w:val="000000" w:themeColor="text1"/>
          <w:sz w:val="24"/>
          <w:szCs w:val="24"/>
          <w:highlight w:val="none"/>
          <w:u w:val="none"/>
          <w:lang w:val="zh-CN"/>
          <w14:textFill>
            <w14:solidFill>
              <w14:schemeClr w14:val="tx1"/>
            </w14:solidFill>
          </w14:textFill>
        </w:rPr>
        <w:t>发包人</w:t>
      </w:r>
      <w:r>
        <w:rPr>
          <w:rFonts w:hint="eastAsia" w:ascii="宋体" w:hAnsi="宋体" w:eastAsia="宋体" w:cs="宋体"/>
          <w:color w:val="000000" w:themeColor="text1"/>
          <w:sz w:val="24"/>
          <w:szCs w:val="24"/>
          <w:highlight w:val="none"/>
          <w14:textFill>
            <w14:solidFill>
              <w14:schemeClr w14:val="tx1"/>
            </w14:solidFill>
          </w14:textFill>
        </w:rPr>
        <w:t>规定的行车路线行驶。并负责施工现场及受施工影响周边道路的卫生。</w:t>
      </w:r>
    </w:p>
    <w:p w14:paraId="79E7A847">
      <w:pPr>
        <w:pStyle w:val="38"/>
        <w:numPr>
          <w:ilvl w:val="0"/>
          <w:numId w:val="0"/>
        </w:numPr>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w:t>
      </w:r>
      <w:r>
        <w:rPr>
          <w:rFonts w:hint="eastAsia" w:hAnsi="宋体" w:cs="宋体"/>
          <w:b w:val="0"/>
          <w:bCs w:val="0"/>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.7</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在施工期间应严格遵守国家、广东省、韶关市有关绿色施工、文明施工、噪音扬尘、消防爆破、环境卫生、渣土清运、治安保卫等方面的规定，并建立相应规章制度和保障措施。否则由此造成的经济损失和法律责任，均由</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承担。</w:t>
      </w:r>
    </w:p>
    <w:p w14:paraId="7B32C9A0">
      <w:pPr>
        <w:pStyle w:val="38"/>
        <w:numPr>
          <w:ilvl w:val="0"/>
          <w:numId w:val="0"/>
        </w:numPr>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5.</w:t>
      </w:r>
      <w:r>
        <w:rPr>
          <w:rFonts w:hint="eastAsia" w:hAnsi="宋体" w:cs="宋体"/>
          <w:b w:val="0"/>
          <w:bCs w:val="0"/>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.8</w:t>
      </w:r>
      <w:r>
        <w:rPr>
          <w:rFonts w:hint="eastAsia" w:hAnsi="宋体" w:cs="Calibri"/>
          <w:bCs/>
          <w:color w:val="000000" w:themeColor="text1"/>
          <w:sz w:val="24"/>
          <w:szCs w:val="24"/>
          <w:highlight w:val="none"/>
          <w:lang w:val="en-US" w:eastAsia="zh-CN"/>
          <w14:textFill>
            <w14:solidFill>
              <w14:schemeClr w14:val="tx1"/>
            </w14:solidFill>
          </w14:textFill>
        </w:rPr>
        <w:t>施工单位</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应按安全施工有关规定，采取严格、科学的安全防护措施，确保施工和人员（包括第三者）的安全，承担由于自身安全防护措施不力所造成的安全事故责任和发生的费用。</w:t>
      </w:r>
    </w:p>
    <w:p w14:paraId="4D02345E">
      <w:pPr>
        <w:pStyle w:val="44"/>
        <w:widowControl/>
        <w:spacing w:line="360" w:lineRule="auto"/>
        <w:ind w:firstLine="48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w:t>
      </w:r>
      <w:bookmarkEnd w:id="79"/>
      <w:bookmarkEnd w:id="80"/>
    </w:p>
    <w:p w14:paraId="167ACD15">
      <w:pPr>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5.</w:t>
      </w:r>
      <w:r>
        <w:rPr>
          <w:rFonts w:hint="eastAsia" w:asciiTheme="minorEastAsia" w:hAnsiTheme="minorEastAsia" w:eastAsiaTheme="minorEastAsia" w:cstheme="minorEastAsia"/>
          <w:b/>
          <w:bCs/>
          <w:snapToGrid w:val="0"/>
          <w:color w:val="000000" w:themeColor="text1"/>
          <w:kern w:val="0"/>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凡参加本次招标的投标人被视为已充分认识和理解了任何与本工程有关的影响事项和困难等情况。</w:t>
      </w:r>
    </w:p>
    <w:p w14:paraId="674C4623">
      <w:pPr>
        <w:adjustRightInd w:val="0"/>
        <w:snapToGrid w:val="0"/>
        <w:spacing w:line="360" w:lineRule="auto"/>
        <w:ind w:firstLine="482"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u w:val="single"/>
          <w14:textFill>
            <w14:solidFill>
              <w14:schemeClr w14:val="tx1"/>
            </w14:solidFill>
          </w14:textFill>
        </w:rPr>
        <w:t>（注：上述招标内容具体详见设计任务书，</w:t>
      </w:r>
      <w:r>
        <w:rPr>
          <w:rFonts w:hint="eastAsia" w:asciiTheme="minorEastAsia" w:hAnsiTheme="minorEastAsia" w:eastAsiaTheme="minorEastAsia" w:cstheme="minorEastAsia"/>
          <w:b/>
          <w:bCs/>
          <w:color w:val="000000" w:themeColor="text1"/>
          <w:szCs w:val="24"/>
          <w:highlight w:val="none"/>
          <w:u w:val="single"/>
          <w14:textFill>
            <w14:solidFill>
              <w14:schemeClr w14:val="tx1"/>
            </w14:solidFill>
          </w14:textFill>
        </w:rPr>
        <w:t>同时招标人在实施过程中可根据实际情况对工程规模、任务内容等进行合理、适当调整。</w:t>
      </w:r>
      <w:r>
        <w:rPr>
          <w:rFonts w:hint="eastAsia" w:asciiTheme="minorEastAsia" w:hAnsiTheme="minorEastAsia" w:eastAsiaTheme="minorEastAsia" w:cstheme="minorEastAsia"/>
          <w:b/>
          <w:bCs/>
          <w:snapToGrid w:val="0"/>
          <w:color w:val="000000" w:themeColor="text1"/>
          <w:kern w:val="0"/>
          <w:szCs w:val="24"/>
          <w:highlight w:val="none"/>
          <w:u w:val="single"/>
          <w14:textFill>
            <w14:solidFill>
              <w14:schemeClr w14:val="tx1"/>
            </w14:solidFill>
          </w14:textFill>
        </w:rPr>
        <w:t>）</w:t>
      </w:r>
      <w:bookmarkStart w:id="81" w:name="_Hlt74496537"/>
      <w:bookmarkEnd w:id="81"/>
      <w:bookmarkStart w:id="82" w:name="_Hlt88974078"/>
      <w:bookmarkEnd w:id="82"/>
      <w:bookmarkStart w:id="83" w:name="_Hlt74493474"/>
      <w:bookmarkEnd w:id="83"/>
      <w:bookmarkStart w:id="84" w:name="_Hlt120502666"/>
      <w:bookmarkEnd w:id="84"/>
      <w:bookmarkStart w:id="85" w:name="_Hlt121563076"/>
      <w:bookmarkEnd w:id="85"/>
      <w:bookmarkStart w:id="86" w:name="_Hlt69699204"/>
      <w:bookmarkEnd w:id="86"/>
      <w:bookmarkStart w:id="87" w:name="_Hlt111690342"/>
      <w:bookmarkEnd w:id="87"/>
      <w:bookmarkStart w:id="88" w:name="_Hlt69356505"/>
      <w:bookmarkEnd w:id="88"/>
    </w:p>
    <w:p w14:paraId="57DC44F7">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89" w:name="_Toc12891"/>
      <w:bookmarkStart w:id="90" w:name="_Toc17958"/>
      <w:bookmarkStart w:id="91" w:name="_Toc24793"/>
      <w:bookmarkStart w:id="92" w:name="_Toc10812"/>
      <w:bookmarkStart w:id="93" w:name="_Toc20827"/>
      <w:bookmarkStart w:id="94" w:name="_Toc24366"/>
      <w:bookmarkStart w:id="95" w:name="_Toc19911"/>
      <w:bookmarkStart w:id="96" w:name="_Toc16432"/>
      <w:bookmarkStart w:id="97" w:name="_Toc398"/>
      <w:bookmarkStart w:id="98" w:name="_Toc3193"/>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6 、招标工程施工条件及现场踏勘</w:t>
      </w:r>
      <w:bookmarkEnd w:id="89"/>
      <w:bookmarkEnd w:id="90"/>
      <w:bookmarkEnd w:id="91"/>
      <w:bookmarkEnd w:id="92"/>
      <w:bookmarkEnd w:id="93"/>
      <w:bookmarkEnd w:id="94"/>
      <w:bookmarkEnd w:id="95"/>
      <w:bookmarkEnd w:id="96"/>
      <w:bookmarkEnd w:id="97"/>
      <w:bookmarkEnd w:id="98"/>
    </w:p>
    <w:p w14:paraId="202351E2">
      <w:pPr>
        <w:pStyle w:val="45"/>
        <w:ind w:firstLine="48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6.1本工程招标人仅在征地红线范围内提供场地，其他一切场地费用由中标人自行负责（含临时道路）。</w:t>
      </w:r>
    </w:p>
    <w:p w14:paraId="18F9D350">
      <w:pPr>
        <w:wordWrap w:val="0"/>
        <w:adjustRightInd w:val="0"/>
        <w:snapToGrid w:val="0"/>
        <w:spacing w:line="360" w:lineRule="auto"/>
        <w:ind w:firstLine="360" w:firstLineChars="15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6.2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施工用水：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招标人协调，</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施工用水及水源由中标人自行解决，费用含在投标报价中，不另计</w:t>
      </w:r>
      <w:r>
        <w:rPr>
          <w:rFonts w:hint="eastAsia" w:asciiTheme="minorEastAsia" w:hAnsiTheme="minorEastAsia" w:eastAsiaTheme="minorEastAsia" w:cstheme="minorEastAsia"/>
          <w:color w:val="000000" w:themeColor="text1"/>
          <w:kern w:val="0"/>
          <w:szCs w:val="24"/>
          <w:highlight w:val="none"/>
          <w:u w:val="single"/>
          <w14:textFill>
            <w14:solidFill>
              <w14:schemeClr w14:val="tx1"/>
            </w14:solidFill>
          </w14:textFill>
        </w:rPr>
        <w:t>。</w:t>
      </w:r>
    </w:p>
    <w:p w14:paraId="6CA5EC5F">
      <w:pPr>
        <w:wordWrap w:val="0"/>
        <w:adjustRightInd w:val="0"/>
        <w:snapToGrid w:val="0"/>
        <w:spacing w:line="360" w:lineRule="auto"/>
        <w:ind w:firstLine="480" w:firstLineChars="2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6.3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施工用电：</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招标人协调，</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施工用电及电源由中标人自行解决，费用含在投标报价中，不另计</w:t>
      </w:r>
      <w:r>
        <w:rPr>
          <w:rFonts w:hint="eastAsia" w:asciiTheme="minorEastAsia" w:hAnsiTheme="minorEastAsia" w:eastAsiaTheme="minorEastAsia" w:cstheme="minorEastAsia"/>
          <w:color w:val="000000" w:themeColor="text1"/>
          <w:kern w:val="0"/>
          <w:szCs w:val="24"/>
          <w:highlight w:val="none"/>
          <w:u w:val="single"/>
          <w14:textFill>
            <w14:solidFill>
              <w14:schemeClr w14:val="tx1"/>
            </w14:solidFill>
          </w14:textFill>
        </w:rPr>
        <w:t>。</w:t>
      </w:r>
    </w:p>
    <w:p w14:paraId="186C5294">
      <w:pPr>
        <w:pStyle w:val="38"/>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6.4</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施工用水、用电由中标人负责报装并接入施工红线范围，</w:t>
      </w:r>
      <w:r>
        <w:rPr>
          <w:rFonts w:hint="eastAsia" w:asciiTheme="minorEastAsia" w:hAnsiTheme="minorEastAsia" w:eastAsiaTheme="minorEastAsia" w:cstheme="minorEastAsia"/>
          <w:color w:val="000000" w:themeColor="text1"/>
          <w:highlight w:val="none"/>
          <w14:textFill>
            <w14:solidFill>
              <w14:schemeClr w14:val="tx1"/>
            </w14:solidFill>
          </w14:textFill>
        </w:rPr>
        <w:t>并由中标人负责购置及安装满足施工所需的临时用电变压器、水表、电表，其水、电费按工程所在地</w:t>
      </w:r>
      <w:r>
        <w:rPr>
          <w:rFonts w:hint="eastAsia" w:asciiTheme="minorEastAsia" w:hAnsiTheme="minorEastAsia" w:eastAsiaTheme="minorEastAsia" w:cstheme="minorEastAsia"/>
          <w:color w:val="000000" w:themeColor="text1"/>
          <w:highlight w:val="none"/>
          <w:u w:val="singl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highlight w:val="none"/>
          <w14:textFill>
            <w14:solidFill>
              <w14:schemeClr w14:val="tx1"/>
            </w14:solidFill>
          </w14:textFill>
        </w:rPr>
        <w:t>基建工程水、电计费标准计算并由中标人缴纳，相关线路、管路费用及安装费用以及购置及安装临时用电变压器的费用由中标人自行承担。</w:t>
      </w:r>
    </w:p>
    <w:p w14:paraId="041B1D09">
      <w:pPr>
        <w:pStyle w:val="38"/>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6.5招标人不集中现场踏勘，但会在招标文件及有关设计文件中明确告知招标工程的具体位置和周边环境，并在现场设置足以识别的标识或提供足以表明工程具体位置的文字或图片。投标人需要了解现场情况的，可自行进行现场踏勘。</w:t>
      </w:r>
    </w:p>
    <w:p w14:paraId="3ECEF1E1">
      <w:pPr>
        <w:pStyle w:val="38"/>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6.6在现场踏勘过程中，投标人应确保自身安全，投标人如果发生人身伤亡、财物或其他损失，法律法规有规定的按有关规定处理，没有规定的由投标人自行负责。</w:t>
      </w:r>
    </w:p>
    <w:p w14:paraId="58859549">
      <w:pPr>
        <w:pStyle w:val="38"/>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6.7现场踏勘期间的交通、食宿由投标人自行安排，费用自理。</w:t>
      </w:r>
    </w:p>
    <w:p w14:paraId="7783B4E9">
      <w:pPr>
        <w:pStyle w:val="40"/>
        <w:keepNext/>
        <w:keepLines/>
        <w:ind w:firstLine="480"/>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bookmarkStart w:id="99" w:name="_Toc5795"/>
      <w:bookmarkStart w:id="100" w:name="_Toc3294"/>
      <w:bookmarkStart w:id="101" w:name="_Toc27595"/>
      <w:bookmarkStart w:id="102" w:name="_Toc17548"/>
      <w:bookmarkStart w:id="103" w:name="_Toc25942"/>
      <w:bookmarkStart w:id="104" w:name="_Toc31908"/>
      <w:bookmarkStart w:id="105" w:name="_Toc27260"/>
      <w:bookmarkStart w:id="106" w:name="_Toc23962"/>
      <w:bookmarkStart w:id="107" w:name="_Toc8518"/>
      <w:bookmarkStart w:id="108" w:name="_Toc22484"/>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 xml:space="preserve">7 </w:t>
      </w:r>
      <w:bookmarkStart w:id="109" w:name="_Toc488220856"/>
      <w:bookmarkStart w:id="110" w:name="_Toc371968705"/>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、其他招标说明</w:t>
      </w:r>
      <w:bookmarkEnd w:id="99"/>
      <w:bookmarkEnd w:id="100"/>
      <w:bookmarkEnd w:id="101"/>
      <w:bookmarkEnd w:id="102"/>
      <w:bookmarkEnd w:id="103"/>
      <w:bookmarkEnd w:id="104"/>
      <w:bookmarkEnd w:id="105"/>
      <w:bookmarkEnd w:id="106"/>
      <w:bookmarkEnd w:id="107"/>
      <w:bookmarkEnd w:id="108"/>
      <w:bookmarkEnd w:id="109"/>
    </w:p>
    <w:bookmarkEnd w:id="110"/>
    <w:p w14:paraId="4BF44DE2">
      <w:pPr>
        <w:wordWrap w:val="0"/>
        <w:autoSpaceDE/>
        <w:autoSpaceDN/>
        <w:snapToGrid w:val="0"/>
        <w:spacing w:line="440" w:lineRule="exact"/>
        <w:ind w:firstLine="480"/>
        <w:jc w:val="both"/>
        <w:outlineLvl w:val="9"/>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pPr>
      <w:bookmarkStart w:id="111" w:name="_Toc10210"/>
      <w:bookmarkStart w:id="112" w:name="_Toc28014"/>
      <w:r>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t>7.1．</w:t>
      </w:r>
      <w:r>
        <w:rPr>
          <w:rStyle w:val="24"/>
          <w:rFonts w:hint="eastAsia" w:asciiTheme="minorEastAsia" w:hAnsiTheme="minorEastAsia" w:eastAsiaTheme="minorEastAsia" w:cstheme="minorEastAsia"/>
          <w:color w:val="000000" w:themeColor="text1"/>
          <w:szCs w:val="24"/>
          <w:highlight w:val="none"/>
          <w:shd w:val="clear" w:color="auto" w:fill="FFFFFF"/>
          <w14:textFill>
            <w14:solidFill>
              <w14:schemeClr w14:val="tx1"/>
            </w14:solidFill>
          </w14:textFill>
        </w:rPr>
        <w:t>获取招标文件</w:t>
      </w:r>
      <w:bookmarkEnd w:id="111"/>
      <w:bookmarkEnd w:id="112"/>
    </w:p>
    <w:p w14:paraId="3D4685FA">
      <w:pPr>
        <w:pStyle w:val="20"/>
        <w:widowControl w:val="0"/>
        <w:wordWrap w:val="0"/>
        <w:adjustRightInd w:val="0"/>
        <w:snapToGrid w:val="0"/>
        <w:spacing w:beforeAutospacing="0" w:afterAutospacing="0" w:line="440" w:lineRule="exact"/>
        <w:ind w:firstLine="482" w:firstLineChars="200"/>
        <w:rPr>
          <w:rFonts w:hint="eastAsia" w:asciiTheme="minorEastAsia" w:hAnsiTheme="minorEastAsia" w:eastAsiaTheme="minorEastAsia" w:cstheme="minorEastAsia"/>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highlight w:val="none"/>
          <w14:textFill>
            <w14:solidFill>
              <w14:schemeClr w14:val="tx1"/>
            </w14:solidFill>
          </w14:textFill>
        </w:rPr>
        <w:t>7.1.1</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本次招标实行电子投标。</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本项目招标文件随招标公告一并在</w:t>
      </w:r>
      <w:r>
        <w:rPr>
          <w:rFonts w:hint="eastAsia" w:asciiTheme="minorEastAsia" w:hAnsiTheme="minorEastAsia" w:eastAsiaTheme="minorEastAsia" w:cstheme="minorEastAsia"/>
          <w:bCs/>
          <w:snapToGrid w:val="0"/>
          <w:color w:val="000000" w:themeColor="text1"/>
          <w:highlight w:val="none"/>
          <w14:textFill>
            <w14:solidFill>
              <w14:schemeClr w14:val="tx1"/>
            </w14:solidFill>
          </w14:textFill>
        </w:rPr>
        <w:t>广东省招标投标监管网(https://www.gdzwfw.gov.cn/ztbjg-portal/#/index)、</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全国公共资源交易平台（广东省·韶关市）（https://ygp.gdzwfw.gov.cn/ggzy-portal/#/440200/index）网站发布。招标文件一经在交易平台发布，视为发送投标人，招标文件及相关附件由投标人自行在交易平台网站下载。招标文件获取</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期间</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见本章第二节“重要事项时间地点一览表”，招标文件获取期间与招标公告发布时间一致</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），投标人须登录全国公共资源交易平台（广东省·韶关市）（https://ygp.gdzwfw.gov.cn/ggzy-portal/#/440200/index）</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下载</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招标文件及相关附件，并于电子投标截止时间（</w:t>
      </w:r>
      <w:r>
        <w:rPr>
          <w:rFonts w:hint="eastAsia" w:asciiTheme="minorEastAsia" w:hAnsiTheme="minorEastAsia" w:eastAsiaTheme="minorEastAsia" w:cstheme="minorEastAsia"/>
          <w:snapToGrid w:val="0"/>
          <w:color w:val="000000" w:themeColor="text1"/>
          <w:highlight w:val="none"/>
          <w14:textFill>
            <w14:solidFill>
              <w14:schemeClr w14:val="tx1"/>
            </w14:solidFill>
          </w14:textFill>
        </w:rPr>
        <w:t>见本章第二节“重要事项时间地点一览表”</w:t>
      </w:r>
      <w:r>
        <w:rPr>
          <w:rFonts w:hint="eastAsia" w:asciiTheme="minorEastAsia" w:hAnsiTheme="minorEastAsia" w:eastAsiaTheme="minorEastAsia" w:cstheme="minorEastAsia"/>
          <w:color w:val="000000" w:themeColor="text1"/>
          <w:highlight w:val="none"/>
          <w:shd w:val="clear" w:color="auto" w:fill="FFFFFF"/>
          <w14:textFill>
            <w14:solidFill>
              <w14:schemeClr w14:val="tx1"/>
            </w14:solidFill>
          </w14:textFill>
        </w:rPr>
        <w:t>）前完成电子投标。投标人可登录全国公共资源交易平台（广东省·韶关市）（https://ygp.gdzwfw.gov.cn/ggzy-portal/#/440200/index），在【服务指南】栏目中下载《韶关市公共资源建设工程交易系统-投标人操作指南（电子评标）》，了解网上获取招标文件操作流程。技术咨询电话：0751-8379671 伍先生，业务咨询电话：0751-8633211、8633071。</w:t>
      </w:r>
    </w:p>
    <w:p w14:paraId="33202C70">
      <w:pPr>
        <w:pStyle w:val="41"/>
        <w:wordWrap w:val="0"/>
        <w:adjustRightInd w:val="0"/>
        <w:snapToGrid w:val="0"/>
        <w:spacing w:line="440" w:lineRule="exact"/>
        <w:ind w:firstLine="480"/>
        <w:jc w:val="left"/>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highlight w:val="none"/>
          <w14:textFill>
            <w14:solidFill>
              <w14:schemeClr w14:val="tx1"/>
            </w14:solidFill>
          </w14:textFill>
        </w:rPr>
        <w:t xml:space="preserve">7.1.2 </w:t>
      </w:r>
      <w:r>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t>只有申领了数字证书（CA）、“粤企签”或GDCA/SZCA/NETCA等符合法律法规规定的电子印章，并在交易平台中完成企业信息数据入库的投标人，方可在交易平台获取招标文件和电子投标。</w:t>
      </w:r>
    </w:p>
    <w:p w14:paraId="5BA934A2">
      <w:pPr>
        <w:pStyle w:val="41"/>
        <w:wordWrap w:val="0"/>
        <w:adjustRightInd w:val="0"/>
        <w:snapToGrid w:val="0"/>
        <w:spacing w:line="440" w:lineRule="exact"/>
        <w:ind w:firstLine="480"/>
        <w:jc w:val="left"/>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453E0B96">
      <w:pPr>
        <w:pStyle w:val="41"/>
        <w:wordWrap w:val="0"/>
        <w:adjustRightInd w:val="0"/>
        <w:snapToGrid w:val="0"/>
        <w:spacing w:line="440" w:lineRule="exact"/>
        <w:ind w:firstLine="480"/>
        <w:jc w:val="left"/>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t>已入库企业有关信息（如单位名称、基本账号、资质、人员等）发生变化的，须及时在交易平台进行相应变更。投标人未及时变更信息而造成的损失和后果，由投标人自行承担。</w:t>
      </w:r>
    </w:p>
    <w:p w14:paraId="6AF10B15">
      <w:pPr>
        <w:tabs>
          <w:tab w:val="left" w:pos="7020"/>
        </w:tabs>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shd w:val="clear" w:color="auto" w:fill="FFFFFF"/>
          <w14:textFill>
            <w14:solidFill>
              <w14:schemeClr w14:val="tx1"/>
            </w14:solidFill>
          </w14:textFill>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Theme="minorEastAsia" w:hAnsiTheme="minorEastAsia" w:eastAsiaTheme="minorEastAsia" w:cstheme="minorEastAsia"/>
          <w:snapToGrid w:val="0"/>
          <w:color w:val="000000" w:themeColor="text1"/>
          <w:szCs w:val="24"/>
          <w:highlight w:val="none"/>
          <w14:textFill>
            <w14:solidFill>
              <w14:schemeClr w14:val="tx1"/>
            </w14:solidFill>
          </w14:textFill>
        </w:rPr>
        <w:t>。</w:t>
      </w:r>
    </w:p>
    <w:p w14:paraId="1A018E2D">
      <w:pPr>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7.2</w:t>
      </w:r>
      <w:r>
        <w:rPr>
          <w:rFonts w:hint="eastAsia" w:asciiTheme="minorEastAsia" w:hAnsiTheme="minorEastAsia" w:eastAsiaTheme="minorEastAsia" w:cstheme="minorEastAsia"/>
          <w:color w:val="000000" w:themeColor="text1"/>
          <w:highlight w:val="none"/>
          <w14:textFill>
            <w14:solidFill>
              <w14:schemeClr w14:val="tx1"/>
            </w14:solidFill>
          </w14:textFill>
        </w:rPr>
        <w:t>招标人（或招标代理机构）对投标人的失误不负任何责任，投标人应指定一名投标事务负责人（即授权委托人），专门负责跟踪、签收、阅读和理解招标文件及随后收到的有关资料，向招标人（或招标代理机构）发出疑问，检查投标文件，协助有关人员尽力克服各种投标失误。投标事务负责人（即授权委托人）如有更换，投标人应及时向招标人（或招标代理机构）提交授权委托书。</w:t>
      </w:r>
    </w:p>
    <w:p w14:paraId="2C8B60F2">
      <w:pPr>
        <w:spacing w:line="360" w:lineRule="auto"/>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7.3 </w:t>
      </w:r>
      <w:r>
        <w:rPr>
          <w:rFonts w:hint="eastAsia" w:asciiTheme="minorEastAsia" w:hAnsiTheme="minorEastAsia" w:eastAsiaTheme="minorEastAsia" w:cstheme="minorEastAsia"/>
          <w:b/>
          <w:bCs/>
          <w:color w:val="000000" w:themeColor="text1"/>
          <w:highlight w:val="none"/>
          <w14:textFill>
            <w14:solidFill>
              <w14:schemeClr w14:val="tx1"/>
            </w14:solidFill>
          </w14:textFill>
        </w:rPr>
        <w:t>纪律与保密要求：</w:t>
      </w:r>
    </w:p>
    <w:p w14:paraId="62D2B206">
      <w:pPr>
        <w:spacing w:line="360" w:lineRule="auto"/>
        <w:ind w:firstLine="49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7.3.1</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对招标人的纪律要求</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：招标人不得泄露招标投标活动中应当保密的情况和资料，不得与投标人串通损害国家利益、社会公共利益或者他人合法权益。</w:t>
      </w:r>
    </w:p>
    <w:p w14:paraId="27E26F65">
      <w:pPr>
        <w:spacing w:line="360" w:lineRule="auto"/>
        <w:ind w:firstLine="49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7.3.2 </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对投标人的纪律要求</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B2A5082">
      <w:pPr>
        <w:spacing w:line="360" w:lineRule="auto"/>
        <w:ind w:firstLine="49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7.3.3 </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参与招</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标</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投标活</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动</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的各方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应</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对招标</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文</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件和投</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标</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文件中</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的</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商业和</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技</w:t>
      </w:r>
      <w:r>
        <w:rPr>
          <w:rFonts w:hint="eastAsia" w:asciiTheme="minorEastAsia" w:hAnsiTheme="minorEastAsia" w:eastAsiaTheme="minorEastAsia" w:cstheme="minorEastAsia"/>
          <w:color w:val="000000" w:themeColor="text1"/>
          <w:spacing w:val="8"/>
          <w:szCs w:val="24"/>
          <w:highlight w:val="none"/>
          <w14:textFill>
            <w14:solidFill>
              <w14:schemeClr w14:val="tx1"/>
            </w14:solidFill>
          </w14:textFill>
        </w:rPr>
        <w:t>术等秘密</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保密，违者应对由此造成的后果承担法律责任。</w:t>
      </w:r>
      <w:bookmarkStart w:id="113" w:name="_Toc371968706"/>
    </w:p>
    <w:p w14:paraId="4E686C31">
      <w:pPr>
        <w:spacing w:line="360" w:lineRule="auto"/>
        <w:ind w:firstLine="480"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7.</w:t>
      </w:r>
      <w:bookmarkStart w:id="114" w:name="_Toc143766459"/>
      <w:bookmarkStart w:id="115" w:name="_Toc353462300"/>
      <w:bookmarkStart w:id="116" w:name="_Toc353462191"/>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4 </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语言、计量及投标费用</w:t>
      </w:r>
      <w:bookmarkEnd w:id="113"/>
      <w:bookmarkEnd w:id="114"/>
      <w:bookmarkEnd w:id="115"/>
      <w:bookmarkEnd w:id="116"/>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w:t>
      </w:r>
    </w:p>
    <w:p w14:paraId="182686D8">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7.4.1 除专用术语外</w:t>
      </w:r>
      <w:r>
        <w:rPr>
          <w:rFonts w:hint="eastAsia" w:asciiTheme="minorEastAsia" w:hAnsiTheme="minorEastAsia" w:eastAsiaTheme="minorEastAsia" w:cstheme="minorEastAsia"/>
          <w:color w:val="000000" w:themeColor="text1"/>
          <w:spacing w:val="-80"/>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与招标投标有关的语言均使用中文</w:t>
      </w:r>
      <w:r>
        <w:rPr>
          <w:rFonts w:hint="eastAsia" w:asciiTheme="minorEastAsia" w:hAnsiTheme="minorEastAsia" w:eastAsiaTheme="minorEastAsia" w:cstheme="minorEastAsia"/>
          <w:color w:val="000000" w:themeColor="text1"/>
          <w:spacing w:val="-80"/>
          <w:szCs w:val="24"/>
          <w:highlight w:val="none"/>
          <w14:textFill>
            <w14:solidFill>
              <w14:schemeClr w14:val="tx1"/>
            </w14:solidFill>
          </w14:textFill>
        </w:rPr>
        <w:t>。</w:t>
      </w:r>
    </w:p>
    <w:p w14:paraId="54CD0467">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7.4.2 所有计量均采用中华人民共和国法定计量单位。</w:t>
      </w:r>
    </w:p>
    <w:p w14:paraId="7AA57E9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7.4.3 招标文件、投标文件中所指的币种均为人民币。</w:t>
      </w:r>
    </w:p>
    <w:p w14:paraId="7058CECE">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7.4.4 投标人准备和参加投标活动发生的所有费用自理。</w:t>
      </w:r>
      <w:bookmarkStart w:id="117" w:name="_Toc371968707"/>
    </w:p>
    <w:p w14:paraId="435A2753">
      <w:pPr>
        <w:spacing w:line="360" w:lineRule="auto"/>
        <w:ind w:firstLine="480" w:firstLineChars="200"/>
        <w:rPr>
          <w:rFonts w:hint="eastAsia" w:asciiTheme="minorEastAsia" w:hAnsiTheme="minorEastAsia" w:eastAsiaTheme="minorEastAsia" w:cstheme="minorEastAsia"/>
          <w:b/>
          <w:bCs/>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7.5</w:t>
      </w:r>
      <w:r>
        <w:rPr>
          <w:rFonts w:hint="eastAsia" w:asciiTheme="minorEastAsia" w:hAnsiTheme="minorEastAsia" w:eastAsiaTheme="minorEastAsia" w:cstheme="minorEastAsia"/>
          <w:b/>
          <w:bCs/>
          <w:color w:val="000000" w:themeColor="text1"/>
          <w:highlight w:val="none"/>
          <w14:textFill>
            <w14:solidFill>
              <w14:schemeClr w14:val="tx1"/>
            </w14:solidFill>
          </w14:textFill>
        </w:rPr>
        <w:t>知识产权和专利权</w:t>
      </w:r>
      <w:bookmarkEnd w:id="117"/>
      <w:r>
        <w:rPr>
          <w:rFonts w:hint="eastAsia" w:asciiTheme="minorEastAsia" w:hAnsiTheme="minorEastAsia" w:eastAsiaTheme="minorEastAsia" w:cstheme="minorEastAsia"/>
          <w:b/>
          <w:bCs/>
          <w:color w:val="000000" w:themeColor="text1"/>
          <w:highlight w:val="none"/>
          <w14:textFill>
            <w14:solidFill>
              <w14:schemeClr w14:val="tx1"/>
            </w14:solidFill>
          </w14:textFill>
        </w:rPr>
        <w:t>：</w:t>
      </w:r>
    </w:p>
    <w:p w14:paraId="138F1BCB">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7.5.1 </w:t>
      </w:r>
      <w:r>
        <w:rPr>
          <w:rFonts w:hint="eastAsia" w:asciiTheme="minorEastAsia" w:hAnsiTheme="minorEastAsia" w:eastAsiaTheme="minorEastAsia" w:cstheme="minorEastAsia"/>
          <w:color w:val="000000" w:themeColor="text1"/>
          <w:highlight w:val="none"/>
          <w14:textFill>
            <w14:solidFill>
              <w14:schemeClr w14:val="tx1"/>
            </w14:solidFill>
          </w14:textFill>
        </w:rPr>
        <w:t>投标人保证投标文件及资料均未侵犯他人的知识产权，否则必须承担全部责任。若投标人使用了他人的专利、专有技术，涉及的费用由投标人负责。</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投标价应包括所有应支付的对专利权和版权、设计和其他知识产权而需要向其他方支付的版税。</w:t>
      </w:r>
    </w:p>
    <w:p w14:paraId="793FE2B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7.5.2 中标人应保证招标人在本项目建设过程中使用其设计文件和设计文件的任何一部分时，招标人免受第三方提出侵犯其专利权、商标权或其他知识产权的起诉。</w:t>
      </w:r>
    </w:p>
    <w:p w14:paraId="36C8EEB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7.5.3 中标人提交给招标人的设计文件，其著作权、版权、专利权和使用权归招标人所有（署名权除外）。</w:t>
      </w:r>
    </w:p>
    <w:p w14:paraId="7DBA581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bookmarkStart w:id="118" w:name="_Toc371968708"/>
      <w:r>
        <w:rPr>
          <w:rFonts w:hint="eastAsia" w:asciiTheme="minorEastAsia" w:hAnsiTheme="minorEastAsia" w:eastAsiaTheme="minorEastAsia" w:cstheme="minorEastAsia"/>
          <w:color w:val="000000" w:themeColor="text1"/>
          <w:szCs w:val="24"/>
          <w:highlight w:val="none"/>
          <w14:textFill>
            <w14:solidFill>
              <w14:schemeClr w14:val="tx1"/>
            </w14:solidFill>
          </w14:textFill>
        </w:rPr>
        <w:t>7.</w:t>
      </w:r>
      <w:bookmarkEnd w:id="118"/>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 招标文件是招标人发出的要约邀请，投标人参加投标均视为承认招标公告、招标文件及附件的所有条款，并承诺一旦中标将按招标文件、投标文件、合同条款、技术规范要求的质量和进度完成全部委托任务。</w:t>
      </w:r>
    </w:p>
    <w:p w14:paraId="6741AE4D">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119" w:name="_Toc11346"/>
      <w:bookmarkStart w:id="120" w:name="_Toc14019"/>
      <w:bookmarkStart w:id="121" w:name="_Toc30148"/>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8 、招标答疑</w:t>
      </w:r>
      <w:bookmarkEnd w:id="119"/>
      <w:bookmarkEnd w:id="120"/>
      <w:bookmarkEnd w:id="121"/>
      <w:bookmarkStart w:id="122" w:name="_Hlt74496410"/>
      <w:bookmarkEnd w:id="122"/>
    </w:p>
    <w:p w14:paraId="259053D7">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8.1招标人不集中组织答疑，实行网上答疑。</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投标人若对招标文件有疑问</w:t>
      </w:r>
      <w:r>
        <w:rPr>
          <w:rFonts w:hint="eastAsia" w:asciiTheme="minorEastAsia" w:hAnsiTheme="minorEastAsia" w:eastAsiaTheme="minorEastAsia" w:cstheme="minorEastAsia"/>
          <w:color w:val="000000" w:themeColor="text1"/>
          <w:highlight w:val="none"/>
          <w14:textFill>
            <w14:solidFill>
              <w14:schemeClr w14:val="tx1"/>
            </w14:solidFill>
          </w14:textFill>
        </w:rPr>
        <w:t>应在提问截止时间（</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见本章第二节“重要事项时间地点一览表”</w:t>
      </w:r>
      <w:r>
        <w:rPr>
          <w:rFonts w:hint="eastAsia" w:asciiTheme="minorEastAsia" w:hAnsiTheme="minorEastAsia" w:eastAsiaTheme="minorEastAsia" w:cstheme="minorEastAsia"/>
          <w:color w:val="000000" w:themeColor="text1"/>
          <w:highlight w:val="none"/>
          <w14:textFill>
            <w14:solidFill>
              <w14:schemeClr w14:val="tx1"/>
            </w14:solidFill>
          </w14:textFill>
        </w:rPr>
        <w:t>）前在交易平台提出问题。未在指定时间前、未采用指定方式提出的，招标人不予受理。</w:t>
      </w:r>
    </w:p>
    <w:p w14:paraId="40300F21">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8.2 </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招标人在提问截止时间（</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见本章第二节“重要事项时间地点一览表”</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C1662DF">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8.3 答疑书（</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或修改</w:t>
      </w:r>
      <w:r>
        <w:rPr>
          <w:rFonts w:hint="eastAsia" w:asciiTheme="minorEastAsia" w:hAnsiTheme="minorEastAsia" w:eastAsiaTheme="minorEastAsia" w:cstheme="minorEastAsia"/>
          <w:color w:val="000000" w:themeColor="text1"/>
          <w:highlight w:val="none"/>
          <w14:textFill>
            <w14:solidFill>
              <w14:schemeClr w14:val="tx1"/>
            </w14:solidFill>
          </w14:textFill>
        </w:rPr>
        <w:t>）对招标文件的修改或补充内容作为招标文件的组成部分，具有约束作用。招标文件的澄清、修改、补充等内容均以答疑书（</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或修改</w:t>
      </w:r>
      <w:r>
        <w:rPr>
          <w:rFonts w:hint="eastAsia" w:asciiTheme="minorEastAsia" w:hAnsiTheme="minorEastAsia" w:eastAsiaTheme="minorEastAsia" w:cstheme="minorEastAsia"/>
          <w:color w:val="000000" w:themeColor="text1"/>
          <w:highlight w:val="none"/>
          <w14:textFill>
            <w14:solidFill>
              <w14:schemeClr w14:val="tx1"/>
            </w14:solidFill>
          </w14:textFill>
        </w:rPr>
        <w:t>）中明确的内容为准。当招标文件、招标文件的澄清、修改、补充等文件在同一内容的表述上不一致时，以最后发出的答疑书（</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或修改</w:t>
      </w:r>
      <w:r>
        <w:rPr>
          <w:rFonts w:hint="eastAsia" w:asciiTheme="minorEastAsia" w:hAnsiTheme="minorEastAsia" w:eastAsiaTheme="minorEastAsia" w:cstheme="minorEastAsia"/>
          <w:color w:val="000000" w:themeColor="text1"/>
          <w:highlight w:val="none"/>
          <w14:textFill>
            <w14:solidFill>
              <w14:schemeClr w14:val="tx1"/>
            </w14:solidFill>
          </w14:textFill>
        </w:rPr>
        <w:t>）为准。</w:t>
      </w:r>
    </w:p>
    <w:p w14:paraId="34382E94">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8.4 投标人在规定的时间内未对招标文件提出澄清或疑问的，招标人将视其为无异议。对招标文件中描述有歧义或前后不一致的地方，评标委员会有权进行评判，但对同一条款的评判应适用于每个投标人。</w:t>
      </w:r>
    </w:p>
    <w:p w14:paraId="530D0F38">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8.5 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p>
    <w:p w14:paraId="2E4FA8B2">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123" w:name="_Hlt92513711"/>
      <w:bookmarkEnd w:id="123"/>
      <w:bookmarkStart w:id="124" w:name="_Hlt92513715"/>
      <w:bookmarkEnd w:id="124"/>
      <w:bookmarkStart w:id="125" w:name="_Hlt69699188"/>
      <w:bookmarkEnd w:id="125"/>
      <w:bookmarkStart w:id="126" w:name="_Toc25532"/>
      <w:bookmarkStart w:id="127" w:name="_Toc20643"/>
      <w:bookmarkStart w:id="128" w:name="_Toc30627"/>
      <w:bookmarkStart w:id="129" w:name="_Toc8032"/>
      <w:bookmarkStart w:id="130" w:name="_Toc15195"/>
      <w:bookmarkStart w:id="131" w:name="_Toc10315"/>
      <w:bookmarkStart w:id="132" w:name="_Toc31064"/>
      <w:bookmarkStart w:id="133" w:name="_Toc28777"/>
      <w:bookmarkStart w:id="134" w:name="_Toc5224"/>
      <w:bookmarkStart w:id="135" w:name="_Toc11301"/>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9 、投标报价的编制</w:t>
      </w:r>
      <w:bookmarkEnd w:id="126"/>
      <w:bookmarkEnd w:id="127"/>
      <w:bookmarkEnd w:id="128"/>
      <w:bookmarkEnd w:id="129"/>
      <w:bookmarkEnd w:id="130"/>
      <w:bookmarkEnd w:id="131"/>
      <w:bookmarkEnd w:id="132"/>
      <w:bookmarkEnd w:id="133"/>
      <w:bookmarkEnd w:id="134"/>
      <w:bookmarkEnd w:id="135"/>
      <w:bookmarkStart w:id="136" w:name="_Hlt74498519"/>
      <w:bookmarkEnd w:id="136"/>
    </w:p>
    <w:p w14:paraId="5C87CE4D">
      <w:pPr>
        <w:pStyle w:val="38"/>
        <w:ind w:firstLine="560"/>
        <w:rPr>
          <w:rFonts w:hint="eastAsia" w:asciiTheme="minorEastAsia" w:hAnsiTheme="minorEastAsia" w:eastAsiaTheme="minorEastAsia" w:cstheme="minorEastAsia"/>
          <w:color w:val="000000" w:themeColor="text1"/>
          <w:spacing w:val="12"/>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2"/>
          <w:highlight w:val="none"/>
          <w14:textFill>
            <w14:solidFill>
              <w14:schemeClr w14:val="tx1"/>
            </w14:solidFill>
          </w14:textFill>
        </w:rPr>
        <w:t>9.1 本工程计价依据为：</w:t>
      </w:r>
    </w:p>
    <w:p w14:paraId="3DDDB697">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137" w:name="_Hlt69335755"/>
      <w:bookmarkEnd w:id="137"/>
      <w:r>
        <w:rPr>
          <w:rFonts w:hint="eastAsia" w:asciiTheme="minorEastAsia" w:hAnsiTheme="minorEastAsia" w:eastAsiaTheme="minorEastAsia" w:cstheme="minorEastAsia"/>
          <w:color w:val="000000" w:themeColor="text1"/>
          <w:highlight w:val="none"/>
          <w14:textFill>
            <w14:solidFill>
              <w14:schemeClr w14:val="tx1"/>
            </w14:solidFill>
          </w14:textFill>
        </w:rPr>
        <w:t>（1）《工程勘察设计收费管理规定》（计价格[2002]10号）、《工程勘察设计收费导则（第二版）》（粤勘设协〔2021〕2号）；</w:t>
      </w:r>
    </w:p>
    <w:p w14:paraId="68AA67A6">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《建设工程工程量清单计价标准》（GB/T50500-2024）</w:t>
      </w:r>
      <w:r>
        <w:rPr>
          <w:rFonts w:hint="eastAsia" w:asciiTheme="minorEastAsia" w:hAnsiTheme="minorEastAsia" w:eastAsiaTheme="minorEastAsia" w:cstheme="minorEastAsia"/>
          <w:color w:val="000000" w:themeColor="text1"/>
          <w:highlight w:val="none"/>
          <w14:textFill>
            <w14:solidFill>
              <w14:schemeClr w14:val="tx1"/>
            </w14:solidFill>
          </w14:textFill>
        </w:rPr>
        <w:t>；</w:t>
      </w:r>
    </w:p>
    <w:p w14:paraId="5038FA5F">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3）《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FC8EB18">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招标文件及其答疑（或修改）公告</w:t>
      </w:r>
      <w:r>
        <w:rPr>
          <w:rFonts w:hint="eastAsia" w:asciiTheme="minorEastAsia" w:hAnsiTheme="minorEastAsia" w:eastAsiaTheme="minorEastAsia" w:cstheme="minorEastAsia"/>
          <w:color w:val="000000" w:themeColor="text1"/>
          <w:highlight w:val="none"/>
          <w14:textFill>
            <w14:solidFill>
              <w14:schemeClr w14:val="tx1"/>
            </w14:solidFill>
          </w14:textFill>
        </w:rPr>
        <w:t>；</w:t>
      </w:r>
    </w:p>
    <w:p w14:paraId="3B5D297E">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（5）施工现场情况、工程特点及常规施工方案；</w:t>
      </w:r>
    </w:p>
    <w:p w14:paraId="77396941">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（6）项目所在地工程造价管理机构发布的工程造价信息，工程造价信息缺项的，参照市场价格；</w:t>
      </w:r>
    </w:p>
    <w:p w14:paraId="28B41DCC">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（7）与建设项目相关的标准、规范、技术资料。</w:t>
      </w:r>
    </w:p>
    <w:p w14:paraId="2E1BB4AB">
      <w:pPr>
        <w:pStyle w:val="38"/>
        <w:ind w:firstLine="792" w:firstLineChars="3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2"/>
          <w:highlight w:val="none"/>
          <w14:textFill>
            <w14:solidFill>
              <w14:schemeClr w14:val="tx1"/>
            </w14:solidFill>
          </w14:textFill>
        </w:rPr>
        <w:t>9.2</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本工程投标前，招标人及招标代理机构不集中组织现场踏勘，投标人需要了解现场情况的，可自行进行现场踏勘。各投标人应勘察施工现场及周围环境、地形、地貌、水文、交通等情况，以获得一切可能影响到投标的直</w:t>
      </w:r>
      <w:bookmarkStart w:id="138" w:name="_Hlt66509056"/>
      <w:bookmarkEnd w:id="138"/>
      <w:r>
        <w:rPr>
          <w:rFonts w:hint="eastAsia" w:asciiTheme="minorEastAsia" w:hAnsiTheme="minorEastAsia" w:eastAsiaTheme="minorEastAsia" w:cstheme="minorEastAsia"/>
          <w:color w:val="000000" w:themeColor="text1"/>
          <w:highlight w:val="none"/>
          <w14:textFill>
            <w14:solidFill>
              <w14:schemeClr w14:val="tx1"/>
            </w14:solidFill>
          </w14:textFill>
        </w:rPr>
        <w:t>接资料。投标人应针对现场情况编制施工组织设计，并在写投标报价时考虑现场情况的影响。</w:t>
      </w:r>
    </w:p>
    <w:p w14:paraId="1D2A4D4D">
      <w:pPr>
        <w:pStyle w:val="46"/>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2"/>
          <w:highlight w:val="none"/>
          <w14:textFill>
            <w14:solidFill>
              <w14:schemeClr w14:val="tx1"/>
            </w14:solidFill>
          </w14:textFill>
        </w:rPr>
        <w:t>9.</w:t>
      </w:r>
      <w:bookmarkStart w:id="139" w:name="_Hlt88974322"/>
      <w:r>
        <w:rPr>
          <w:rFonts w:hint="eastAsia" w:asciiTheme="minorEastAsia" w:hAnsiTheme="minorEastAsia" w:eastAsiaTheme="minorEastAsia" w:cstheme="minorEastAsia"/>
          <w:color w:val="000000" w:themeColor="text1"/>
          <w:spacing w:val="12"/>
          <w:highlight w:val="none"/>
          <w14:textFill>
            <w14:solidFill>
              <w14:schemeClr w14:val="tx1"/>
            </w14:solidFill>
          </w14:textFill>
        </w:rPr>
        <w:t>3</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现场踏勘费以及其它施工措施项目费，由投标人在投标报价中综合考虑，</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一次包定</w:t>
      </w:r>
      <w:r>
        <w:rPr>
          <w:rFonts w:hint="eastAsia" w:asciiTheme="minorEastAsia" w:hAnsiTheme="minorEastAsia" w:eastAsiaTheme="minorEastAsia" w:cstheme="minorEastAsia"/>
          <w:color w:val="000000" w:themeColor="text1"/>
          <w:highlight w:val="none"/>
          <w14:textFill>
            <w14:solidFill>
              <w14:schemeClr w14:val="tx1"/>
            </w14:solidFill>
          </w14:textFill>
        </w:rPr>
        <w:t>。无论投标人是否列出费用，招标人将一律视为已确认所有现场条件和可能发生的异常情况。</w:t>
      </w:r>
    </w:p>
    <w:bookmarkEnd w:id="139"/>
    <w:p w14:paraId="1DAD049C">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9.4 招标人向投标人提供的有关现场的数据和资料，是招标人现有的能被投标人利用的资料，招标人对投标人做出的任何推论、理解和结论均不负责任。</w:t>
      </w:r>
    </w:p>
    <w:p w14:paraId="390D5AE0">
      <w:pPr>
        <w:spacing w:line="360" w:lineRule="auto"/>
        <w:ind w:firstLine="600"/>
        <w:rPr>
          <w:rFonts w:hint="eastAsia" w:asciiTheme="minorEastAsia" w:hAnsiTheme="minorEastAsia" w:eastAsiaTheme="minorEastAsia" w:cstheme="minorEastAsia"/>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5</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投标人负责协调处理因项目实施与周边企业和村民等关系并承担相关费用。</w:t>
      </w:r>
    </w:p>
    <w:p w14:paraId="7E6BA5A6">
      <w:pPr>
        <w:spacing w:line="360" w:lineRule="auto"/>
        <w:ind w:firstLine="600"/>
        <w:rPr>
          <w:rFonts w:hint="eastAsia" w:asciiTheme="minorEastAsia" w:hAnsiTheme="minorEastAsia" w:eastAsiaTheme="minorEastAsia" w:cstheme="minorEastAsia"/>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6</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投标人应采取设计优化的方式，通过土方平衡方法解决弃土问题，若仍有弃土，按实结算。</w:t>
      </w:r>
    </w:p>
    <w:p w14:paraId="2C0BB72B">
      <w:pPr>
        <w:spacing w:line="360" w:lineRule="auto"/>
        <w:ind w:firstLine="570"/>
        <w:rPr>
          <w:rFonts w:hint="eastAsia" w:asciiTheme="minorEastAsia" w:hAnsiTheme="minorEastAsia" w:eastAsiaTheme="minorEastAsia" w:cstheme="minorEastAsia"/>
          <w:b/>
          <w:color w:val="000000" w:themeColor="text1"/>
          <w:highlight w:val="none"/>
          <w:u w:val="doubl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bookmarkStart w:id="140" w:name="_Toc319917951"/>
      <w:r>
        <w:rPr>
          <w:rFonts w:hint="eastAsia" w:asciiTheme="minorEastAsia" w:hAnsiTheme="minorEastAsia" w:eastAsiaTheme="minorEastAsia" w:cstheme="minorEastAsia"/>
          <w:color w:val="000000" w:themeColor="text1"/>
          <w:highlight w:val="none"/>
          <w14:textFill>
            <w14:solidFill>
              <w14:schemeClr w14:val="tx1"/>
            </w14:solidFill>
          </w14:textFill>
        </w:rPr>
        <w:t>7</w:t>
      </w:r>
      <w:r>
        <w:rPr>
          <w:rFonts w:hint="eastAsia" w:asciiTheme="minorEastAsia" w:hAnsiTheme="minorEastAsia" w:eastAsiaTheme="minorEastAsia" w:cstheme="minorEastAsia"/>
          <w:b/>
          <w:color w:val="000000" w:themeColor="text1"/>
          <w:highlight w:val="none"/>
          <w:u w:val="double"/>
          <w14:textFill>
            <w14:solidFill>
              <w14:schemeClr w14:val="tx1"/>
            </w14:solidFill>
          </w14:textFill>
        </w:rPr>
        <w:t>投标人的投标报价不得超过招标人公布的最高投标限价。本项目为限额设计，工程结算总造价不得超过中标价。</w:t>
      </w:r>
    </w:p>
    <w:p w14:paraId="41AC832C">
      <w:pPr>
        <w:spacing w:line="360" w:lineRule="auto"/>
        <w:ind w:firstLine="570"/>
        <w:rPr>
          <w:rFonts w:hint="eastAsia" w:asciiTheme="minorEastAsia" w:hAnsiTheme="minorEastAsia" w:eastAsiaTheme="minorEastAsia" w:cstheme="minorEastAsia"/>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9.8</w:t>
      </w:r>
      <w:r>
        <w:rPr>
          <w:rFonts w:hint="eastAsia" w:asciiTheme="minorEastAsia" w:hAnsiTheme="minorEastAsia" w:eastAsiaTheme="minorEastAsia" w:cstheme="minorEastAsia"/>
          <w:b/>
          <w:color w:val="000000" w:themeColor="text1"/>
          <w:highlight w:val="none"/>
          <w:lang w:val="zh-CN"/>
          <w14:textFill>
            <w14:solidFill>
              <w14:schemeClr w14:val="tx1"/>
            </w14:solidFill>
          </w14:textFill>
        </w:rPr>
        <w:t>投标单位应充分考虑本招标文件“第二章 拟签订合同的主要条款”所列的结算原则进行投标及报价。</w:t>
      </w:r>
      <w:bookmarkEnd w:id="140"/>
    </w:p>
    <w:p w14:paraId="6087E588">
      <w:pPr>
        <w:spacing w:line="360" w:lineRule="auto"/>
        <w:ind w:firstLine="570"/>
        <w:rPr>
          <w:rFonts w:hint="eastAsia" w:asciiTheme="minorEastAsia" w:hAnsiTheme="minorEastAsia" w:eastAsiaTheme="minorEastAsia" w:cstheme="minorEastAsia"/>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投标人的投标总报价应考虑完成招标文件中招标规模、内容及设计任务书所规定的所有工程及设备的费用，并承担结算原则中规定的一切风险，还应考虑预算编制费、报建和施工时应由施工单位承担的一切费用。各项费用的主要内容及其报价方式：</w:t>
      </w:r>
      <w:bookmarkStart w:id="141" w:name="_Toc18903"/>
      <w:bookmarkStart w:id="142" w:name="_Toc13707"/>
      <w:bookmarkStart w:id="143" w:name="_Toc11863"/>
      <w:bookmarkStart w:id="144" w:name="_Toc32012"/>
      <w:bookmarkStart w:id="145" w:name="_Toc15059"/>
      <w:bookmarkStart w:id="146" w:name="_Toc20815"/>
      <w:bookmarkStart w:id="147" w:name="_Toc29402"/>
      <w:bookmarkStart w:id="148" w:name="_Toc11568"/>
      <w:bookmarkStart w:id="149" w:name="_Toc39136339"/>
      <w:bookmarkStart w:id="150" w:name="_Toc3872"/>
      <w:bookmarkStart w:id="151" w:name="_Toc57"/>
      <w:bookmarkStart w:id="152" w:name="_Toc17803"/>
      <w:r>
        <w:rPr>
          <w:rFonts w:hint="eastAsia" w:asciiTheme="minorEastAsia" w:hAnsiTheme="minorEastAsia" w:eastAsiaTheme="minorEastAsia" w:cstheme="minorEastAsia"/>
          <w:b/>
          <w:bCs/>
          <w:color w:val="000000" w:themeColor="text1"/>
          <w:highlight w:val="none"/>
          <w:u w:val="single"/>
          <w:lang w:val="zh-CN"/>
          <w14:textFill>
            <w14:solidFill>
              <w14:schemeClr w14:val="tx1"/>
            </w14:solidFill>
          </w14:textFill>
        </w:rPr>
        <w:t>投标人投标报价=勘察</w:t>
      </w:r>
      <w:r>
        <w:rPr>
          <w:rFonts w:hint="eastAsia" w:asciiTheme="minorEastAsia" w:hAnsiTheme="minorEastAsia" w:eastAsiaTheme="minorEastAsia" w:cstheme="minorEastAsia"/>
          <w:b/>
          <w:bCs/>
          <w:color w:val="000000" w:themeColor="text1"/>
          <w:highlight w:val="none"/>
          <w:u w:val="single"/>
          <w:lang w:val="en-US" w:eastAsia="zh-CN"/>
          <w14:textFill>
            <w14:solidFill>
              <w14:schemeClr w14:val="tx1"/>
            </w14:solidFill>
          </w14:textFill>
        </w:rPr>
        <w:t>费（含测绘费）</w:t>
      </w:r>
      <w:r>
        <w:rPr>
          <w:rFonts w:hint="eastAsia" w:asciiTheme="minorEastAsia" w:hAnsiTheme="minorEastAsia" w:eastAsiaTheme="minorEastAsia" w:cstheme="minorEastAsia"/>
          <w:b/>
          <w:bCs/>
          <w:color w:val="000000" w:themeColor="text1"/>
          <w:highlight w:val="none"/>
          <w:u w:val="single"/>
          <w:lang w:val="zh-CN" w:eastAsia="zh-CN"/>
          <w14:textFill>
            <w14:solidFill>
              <w14:schemeClr w14:val="tx1"/>
            </w14:solidFill>
          </w14:textFill>
        </w:rPr>
        <w:t>投标报价</w:t>
      </w:r>
      <w:r>
        <w:rPr>
          <w:rFonts w:hint="eastAsia" w:asciiTheme="minorEastAsia" w:hAnsiTheme="minorEastAsia" w:eastAsiaTheme="minorEastAsia" w:cstheme="minorEastAsia"/>
          <w:b/>
          <w:bCs/>
          <w:color w:val="000000" w:themeColor="text1"/>
          <w:highlight w:val="none"/>
          <w:u w:val="single"/>
          <w:lang w:val="en-US" w:eastAsia="zh-CN"/>
          <w14:textFill>
            <w14:solidFill>
              <w14:schemeClr w14:val="tx1"/>
            </w14:solidFill>
          </w14:textFill>
        </w:rPr>
        <w:t>+</w:t>
      </w:r>
      <w:r>
        <w:rPr>
          <w:rFonts w:hint="eastAsia" w:asciiTheme="minorEastAsia" w:hAnsiTheme="minorEastAsia" w:eastAsiaTheme="minorEastAsia" w:cstheme="minorEastAsia"/>
          <w:b/>
          <w:bCs/>
          <w:color w:val="000000" w:themeColor="text1"/>
          <w:highlight w:val="none"/>
          <w:u w:val="single"/>
          <w:lang w:val="zh-CN"/>
          <w14:textFill>
            <w14:solidFill>
              <w14:schemeClr w14:val="tx1"/>
            </w14:solidFill>
          </w14:textFill>
        </w:rPr>
        <w:t>设计</w:t>
      </w:r>
      <w:r>
        <w:rPr>
          <w:rFonts w:hint="eastAsia" w:asciiTheme="minorEastAsia" w:hAnsiTheme="minorEastAsia" w:eastAsiaTheme="minorEastAsia" w:cstheme="minorEastAsia"/>
          <w:b/>
          <w:bCs/>
          <w:color w:val="000000" w:themeColor="text1"/>
          <w:highlight w:val="none"/>
          <w:u w:val="single"/>
          <w:lang w:val="zh-CN" w:eastAsia="zh-CN"/>
          <w14:textFill>
            <w14:solidFill>
              <w14:schemeClr w14:val="tx1"/>
            </w14:solidFill>
          </w14:textFill>
        </w:rPr>
        <w:t>费（</w:t>
      </w:r>
      <w:r>
        <w:rPr>
          <w:rFonts w:hint="eastAsia" w:asciiTheme="minorEastAsia" w:hAnsiTheme="minorEastAsia" w:eastAsiaTheme="minorEastAsia" w:cstheme="minorEastAsia"/>
          <w:b/>
          <w:bCs/>
          <w:color w:val="000000" w:themeColor="text1"/>
          <w:highlight w:val="none"/>
          <w:u w:val="single"/>
          <w:lang w:val="en-US" w:eastAsia="zh-CN"/>
          <w14:textFill>
            <w14:solidFill>
              <w14:schemeClr w14:val="tx1"/>
            </w14:solidFill>
          </w14:textFill>
        </w:rPr>
        <w:t>含施工图审查费</w:t>
      </w:r>
      <w:r>
        <w:rPr>
          <w:rFonts w:hint="eastAsia" w:asciiTheme="minorEastAsia" w:hAnsiTheme="minorEastAsia" w:eastAsiaTheme="minorEastAsia" w:cstheme="minorEastAsia"/>
          <w:b/>
          <w:bCs/>
          <w:color w:val="000000" w:themeColor="text1"/>
          <w:highlight w:val="none"/>
          <w:u w:val="single"/>
          <w:lang w:val="zh-CN" w:eastAsia="zh-CN"/>
          <w14:textFill>
            <w14:solidFill>
              <w14:schemeClr w14:val="tx1"/>
            </w14:solidFill>
          </w14:textFill>
        </w:rPr>
        <w:t>）投标报价+</w:t>
      </w:r>
      <w:r>
        <w:rPr>
          <w:rFonts w:hint="eastAsia" w:asciiTheme="minorEastAsia" w:hAnsiTheme="minorEastAsia" w:eastAsiaTheme="minorEastAsia" w:cstheme="minorEastAsia"/>
          <w:b/>
          <w:bCs/>
          <w:color w:val="000000" w:themeColor="text1"/>
          <w:highlight w:val="none"/>
          <w:u w:val="single"/>
          <w:lang w:val="zh-CN"/>
          <w14:textFill>
            <w14:solidFill>
              <w14:schemeClr w14:val="tx1"/>
            </w14:solidFill>
          </w14:textFill>
        </w:rPr>
        <w:t>建安工程费投标报价</w:t>
      </w:r>
      <w:bookmarkEnd w:id="141"/>
      <w:bookmarkEnd w:id="142"/>
      <w:bookmarkEnd w:id="143"/>
      <w:bookmarkEnd w:id="144"/>
      <w:bookmarkEnd w:id="145"/>
      <w:bookmarkEnd w:id="146"/>
      <w:bookmarkEnd w:id="147"/>
      <w:bookmarkEnd w:id="148"/>
      <w:bookmarkEnd w:id="149"/>
      <w:bookmarkEnd w:id="150"/>
      <w:bookmarkEnd w:id="151"/>
      <w:bookmarkEnd w:id="152"/>
    </w:p>
    <w:p w14:paraId="1868BDCF">
      <w:pPr>
        <w:spacing w:line="360" w:lineRule="auto"/>
        <w:ind w:firstLine="570"/>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.1</w:t>
      </w:r>
      <w:r>
        <w:rPr>
          <w:rFonts w:hint="eastAsia" w:hAnsi="宋体" w:eastAsia="宋体" w:cs="宋体"/>
          <w:color w:val="000000" w:themeColor="text1"/>
          <w:highlight w:val="none"/>
          <w:lang w:val="en-US" w:eastAsia="zh-CN"/>
          <w14:textFill>
            <w14:solidFill>
              <w14:schemeClr w14:val="tx1"/>
            </w14:solidFill>
          </w14:textFill>
        </w:rPr>
        <w:t>勘察</w:t>
      </w:r>
      <w:r>
        <w:rPr>
          <w:rFonts w:hint="eastAsia" w:hAnsi="宋体" w:eastAsia="宋体" w:cs="宋体"/>
          <w:color w:val="000000" w:themeColor="text1"/>
          <w:highlight w:val="none"/>
          <w14:textFill>
            <w14:solidFill>
              <w14:schemeClr w14:val="tx1"/>
            </w14:solidFill>
          </w14:textFill>
        </w:rPr>
        <w:t>设计费投标报价：在最高投标限价范围内，投标人自行报价。</w:t>
      </w:r>
      <w:r>
        <w:rPr>
          <w:rFonts w:hint="eastAsia" w:hAnsi="宋体" w:eastAsia="宋体" w:cs="宋体"/>
          <w:color w:val="000000" w:themeColor="text1"/>
          <w:highlight w:val="none"/>
          <w:lang w:val="en-US" w:eastAsia="zh-CN"/>
          <w14:textFill>
            <w14:solidFill>
              <w14:schemeClr w14:val="tx1"/>
            </w14:solidFill>
          </w14:textFill>
        </w:rPr>
        <w:t>勘察</w:t>
      </w:r>
      <w:r>
        <w:rPr>
          <w:rFonts w:hint="eastAsia" w:hAnsi="宋体" w:eastAsia="宋体" w:cs="宋体"/>
          <w:color w:val="000000" w:themeColor="text1"/>
          <w:highlight w:val="none"/>
          <w14:textFill>
            <w14:solidFill>
              <w14:schemeClr w14:val="tx1"/>
            </w14:solidFill>
          </w14:textFill>
        </w:rPr>
        <w:t>设计费的报价应包括招标文件中招标内容（范围）和可行性研究报告所规定的所有</w:t>
      </w:r>
      <w:r>
        <w:rPr>
          <w:rFonts w:hint="eastAsia" w:hAnsi="宋体" w:eastAsia="宋体" w:cs="宋体"/>
          <w:color w:val="000000" w:themeColor="text1"/>
          <w:highlight w:val="none"/>
          <w:lang w:val="en-US" w:eastAsia="zh-CN"/>
          <w14:textFill>
            <w14:solidFill>
              <w14:schemeClr w14:val="tx1"/>
            </w14:solidFill>
          </w14:textFill>
        </w:rPr>
        <w:t>勘察</w:t>
      </w:r>
      <w:r>
        <w:rPr>
          <w:rFonts w:hint="eastAsia" w:hAnsi="宋体" w:eastAsia="宋体" w:cs="宋体"/>
          <w:color w:val="000000" w:themeColor="text1"/>
          <w:highlight w:val="none"/>
          <w14:textFill>
            <w14:solidFill>
              <w14:schemeClr w14:val="tx1"/>
            </w14:solidFill>
          </w14:textFill>
        </w:rPr>
        <w:t>设计工作的所有费用，还应考虑招标人提出的与项目相关的其他要求所产生的费用</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w:t>
      </w:r>
    </w:p>
    <w:p w14:paraId="59B70A85">
      <w:pPr>
        <w:spacing w:line="360" w:lineRule="auto"/>
        <w:ind w:firstLine="570"/>
        <w:rPr>
          <w:rFonts w:hint="eastAsia" w:ascii="宋体" w:hAnsi="宋体" w:eastAsia="宋体" w:cs="宋体"/>
          <w:b/>
          <w:bCs/>
          <w:snapToGrid w:val="0"/>
          <w:color w:val="000000" w:themeColor="text1"/>
          <w:kern w:val="0"/>
          <w:highlight w:val="none"/>
          <w14:textFill>
            <w14:solidFill>
              <w14:schemeClr w14:val="tx1"/>
            </w14:solidFill>
          </w14:textFill>
        </w:rPr>
      </w:pPr>
      <w:r>
        <w:rPr>
          <w:rFonts w:hint="eastAsia" w:hAnsi="宋体" w:eastAsia="宋体" w:cs="宋体"/>
          <w:b/>
          <w:bCs/>
          <w:color w:val="000000" w:themeColor="text1"/>
          <w:szCs w:val="22"/>
          <w:highlight w:val="none"/>
          <w14:textFill>
            <w14:solidFill>
              <w14:schemeClr w14:val="tx1"/>
            </w14:solidFill>
          </w14:textFill>
        </w:rPr>
        <w:t>本次招标采用填报</w:t>
      </w:r>
      <w:r>
        <w:rPr>
          <w:rFonts w:hint="eastAsia" w:hAnsi="宋体" w:eastAsia="宋体" w:cs="宋体"/>
          <w:b/>
          <w:bCs/>
          <w:color w:val="000000" w:themeColor="text1"/>
          <w:szCs w:val="22"/>
          <w:highlight w:val="none"/>
          <w:u w:val="single"/>
          <w:lang w:val="en-US" w:eastAsia="zh-CN"/>
          <w14:textFill>
            <w14:solidFill>
              <w14:schemeClr w14:val="tx1"/>
            </w14:solidFill>
          </w14:textFill>
        </w:rPr>
        <w:t>勘察费（含测绘费）以</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投标报价</w:t>
      </w:r>
      <w:r>
        <w:rPr>
          <w:rFonts w:hint="eastAsia" w:hAnsi="宋体" w:eastAsia="宋体" w:cs="宋体"/>
          <w:b/>
          <w:bCs/>
          <w:color w:val="000000" w:themeColor="text1"/>
          <w:szCs w:val="22"/>
          <w:highlight w:val="none"/>
          <w14:textFill>
            <w14:solidFill>
              <w14:schemeClr w14:val="tx1"/>
            </w14:solidFill>
          </w14:textFill>
        </w:rPr>
        <w:t>的方式进行报价</w:t>
      </w:r>
      <w:r>
        <w:rPr>
          <w:rFonts w:hint="eastAsia" w:hAnsi="宋体" w:eastAsia="宋体" w:cs="宋体"/>
          <w:b/>
          <w:bCs/>
          <w:color w:val="000000" w:themeColor="text1"/>
          <w:szCs w:val="22"/>
          <w:highlight w:val="none"/>
          <w:lang w:eastAsia="zh-CN"/>
          <w14:textFill>
            <w14:solidFill>
              <w14:schemeClr w14:val="tx1"/>
            </w14:solidFill>
          </w14:textFill>
        </w:rPr>
        <w:t>，</w:t>
      </w:r>
      <w:r>
        <w:rPr>
          <w:rFonts w:hint="eastAsia" w:hAnsi="宋体" w:eastAsia="宋体" w:cs="宋体"/>
          <w:b/>
          <w:bCs/>
          <w:color w:val="000000" w:themeColor="text1"/>
          <w:szCs w:val="22"/>
          <w:highlight w:val="none"/>
          <w:u w:val="single"/>
          <w:lang w:val="en-US" w:eastAsia="zh-CN"/>
          <w14:textFill>
            <w14:solidFill>
              <w14:schemeClr w14:val="tx1"/>
            </w14:solidFill>
          </w14:textFill>
        </w:rPr>
        <w:t>设计费以</w:t>
      </w:r>
      <w:r>
        <w:rPr>
          <w:rFonts w:hint="eastAsia" w:ascii="宋体" w:hAnsi="宋体" w:eastAsia="宋体" w:cs="宋体"/>
          <w:b/>
          <w:bCs/>
          <w:color w:val="000000" w:themeColor="text1"/>
          <w:szCs w:val="22"/>
          <w:highlight w:val="none"/>
          <w:u w:val="single"/>
          <w14:textFill>
            <w14:solidFill>
              <w14:schemeClr w14:val="tx1"/>
            </w14:solidFill>
          </w14:textFill>
        </w:rPr>
        <w:t>投标报价</w:t>
      </w:r>
      <w:r>
        <w:rPr>
          <w:rFonts w:hint="eastAsia" w:ascii="宋体" w:hAnsi="宋体" w:eastAsia="宋体" w:cs="宋体"/>
          <w:b/>
          <w:bCs/>
          <w:color w:val="000000" w:themeColor="text1"/>
          <w:szCs w:val="22"/>
          <w:highlight w:val="none"/>
          <w:u w:val="single"/>
          <w:lang w:val="en-US" w:eastAsia="zh-CN"/>
          <w14:textFill>
            <w14:solidFill>
              <w14:schemeClr w14:val="tx1"/>
            </w14:solidFill>
          </w14:textFill>
        </w:rPr>
        <w:t>及取费费率</w:t>
      </w:r>
      <w:r>
        <w:rPr>
          <w:rFonts w:hint="eastAsia" w:hAnsi="宋体" w:eastAsia="宋体" w:cs="宋体"/>
          <w:b/>
          <w:bCs/>
          <w:color w:val="000000" w:themeColor="text1"/>
          <w:szCs w:val="22"/>
          <w:highlight w:val="none"/>
          <w14:textFill>
            <w14:solidFill>
              <w14:schemeClr w14:val="tx1"/>
            </w14:solidFill>
          </w14:textFill>
        </w:rPr>
        <w:t>的方式进行报价</w:t>
      </w:r>
      <w:r>
        <w:rPr>
          <w:rFonts w:hint="eastAsia" w:ascii="宋体" w:hAnsi="宋体" w:eastAsia="宋体" w:cs="宋体"/>
          <w:b/>
          <w:bCs/>
          <w:snapToGrid w:val="0"/>
          <w:color w:val="000000" w:themeColor="text1"/>
          <w:kern w:val="0"/>
          <w:highlight w:val="none"/>
          <w14:textFill>
            <w14:solidFill>
              <w14:schemeClr w14:val="tx1"/>
            </w14:solidFill>
          </w14:textFill>
        </w:rPr>
        <w:t>。</w:t>
      </w:r>
    </w:p>
    <w:p w14:paraId="374D821A">
      <w:pPr>
        <w:spacing w:line="360" w:lineRule="auto"/>
        <w:ind w:firstLine="570"/>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9.9.</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建安工程费用：采</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用投标</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下浮率的方式进行报价，结算时按招标文件有关结算原则计算后再按建安工程费</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投</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标下浮率下浮。</w:t>
      </w:r>
    </w:p>
    <w:p w14:paraId="4E61EC64">
      <w:pPr>
        <w:spacing w:line="360" w:lineRule="auto"/>
        <w:ind w:firstLine="570"/>
        <w:rPr>
          <w:rFonts w:hint="eastAsia" w:asciiTheme="minorEastAsia" w:hAnsiTheme="minorEastAsia" w:eastAsiaTheme="minorEastAsia" w:cstheme="minorEastAsia"/>
          <w:b/>
          <w:bCs/>
          <w:color w:val="000000" w:themeColor="text1"/>
          <w:szCs w:val="24"/>
          <w:highlight w:val="none"/>
          <w:u w:val="single"/>
          <w:lang w:val="zh-CN" w:eastAsia="zh-CN"/>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u w:val="single"/>
          <w:lang w:val="zh-CN" w:eastAsia="zh-CN"/>
          <w14:textFill>
            <w14:solidFill>
              <w14:schemeClr w14:val="tx1"/>
            </w14:solidFill>
          </w14:textFill>
        </w:rPr>
        <w:t>建安工程费投标报价=报价基数×（1-投标下浮率）</w:t>
      </w:r>
    </w:p>
    <w:p w14:paraId="64C960E0">
      <w:pPr>
        <w:spacing w:line="360" w:lineRule="auto"/>
        <w:ind w:firstLine="570"/>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如投标人的建安工程费用投标报价下浮率高于15%时，投标人必须在投标报价书中另行作出详细合理的书面说明并提供相关证明材料供评标委员会评审，否则评标委员会将认定该投标人以低于成本报价竞标。</w:t>
      </w:r>
    </w:p>
    <w:p w14:paraId="2357C26F">
      <w:pPr>
        <w:spacing w:line="360" w:lineRule="auto"/>
        <w:ind w:firstLine="570"/>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建安工程费用的报价应考虑完成招标文件中招标规模、内容及可行性研究报告所规定的所有工程及设备的费用</w:t>
      </w:r>
      <w:r>
        <w:rPr>
          <w:rFonts w:hint="eastAsia" w:asciiTheme="minorEastAsia" w:hAnsiTheme="minorEastAsia" w:eastAsiaTheme="minorEastAsia" w:cstheme="minorEastAsia"/>
          <w:color w:val="000000" w:themeColor="text1"/>
          <w:szCs w:val="24"/>
          <w:highlight w:val="none"/>
          <w:lang w:val="zh-CN" w:eastAsia="zh-CN"/>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并承担结算原则中规定的一切风险，还应考虑报建和施工时应由施工单位承担的一切费用、工程一切检测费用（除有文件规定必须招标人支付的费用外）、工程有关档案和影像等整理或制作及向相关部门交取的费用。</w:t>
      </w:r>
    </w:p>
    <w:p w14:paraId="1D5FF0F3">
      <w:pPr>
        <w:spacing w:line="360" w:lineRule="auto"/>
        <w:ind w:firstLine="588" w:firstLineChars="24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9.9.3</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预算包干费：根据2018年《广东省市政工程综合定额》、2018年《广东省房屋建筑与装饰工程综合定额》、2018年《广东省通用安装工程综合定额》、2018年《广东省园林绿化工程综合定额》，以各专业分部分项的人工费与施工机具费之和为基础计算预算包干费。本工程的预算包干内容包括：按《广东省建设工程计价依据（2018）》相关规定。</w:t>
      </w:r>
    </w:p>
    <w:p w14:paraId="0805520D">
      <w:pPr>
        <w:spacing w:line="360" w:lineRule="auto"/>
        <w:ind w:firstLine="588" w:firstLineChars="24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9.9.4</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投标人在投标报价时，自行考虑高温补贴费、施工视频监控系统费用，专业分包的总包服务及配合费，预算（含工程量清单编制费）等，并承担相应风险，结算时不另行计取。</w:t>
      </w:r>
    </w:p>
    <w:p w14:paraId="384FD12F">
      <w:pPr>
        <w:spacing w:line="360" w:lineRule="auto"/>
        <w:ind w:firstLine="588" w:firstLineChars="245"/>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w:t>
      </w:r>
      <w:r>
        <w:rPr>
          <w:rFonts w:hint="eastAsia" w:asciiTheme="minorEastAsia" w:hAnsiTheme="minorEastAsia" w:eastAsiaTheme="minorEastAsia" w:cstheme="minorEastAsia"/>
          <w:color w:val="000000" w:themeColor="text1"/>
          <w:highlight w:val="none"/>
          <w:lang w:val="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9.5 </w:t>
      </w:r>
      <w:r>
        <w:rPr>
          <w:rFonts w:hint="eastAsia" w:ascii="Arial" w:hAnsi="Arial" w:eastAsia="宋体" w:cs="Arial"/>
          <w:b/>
          <w:color w:val="000000" w:themeColor="text1"/>
          <w:sz w:val="24"/>
          <w:szCs w:val="24"/>
          <w:highlight w:val="none"/>
          <w:u w:val="double"/>
          <w14:textFill>
            <w14:solidFill>
              <w14:schemeClr w14:val="tx1"/>
            </w14:solidFill>
          </w14:textFill>
        </w:rPr>
        <w:t>招标人可根据本项目实际情况对规模及内容进行调整或减少，投标人中标后不得因此调整或减少向招标人索赔，并且必须按调整或减少后的规模及内容完成工程建设。投标人在投标报价时需综合考虑该因素并报价。</w:t>
      </w:r>
    </w:p>
    <w:p w14:paraId="5F1356C9">
      <w:pPr>
        <w:pStyle w:val="40"/>
        <w:keepNext/>
        <w:keepLines/>
        <w:ind w:firstLine="480"/>
        <w:jc w:val="both"/>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bookmarkStart w:id="153" w:name="_Toc27901"/>
      <w:bookmarkStart w:id="154" w:name="_Toc27078"/>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10、 最高</w:t>
      </w: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投标</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限价的确定</w:t>
      </w:r>
      <w:bookmarkEnd w:id="153"/>
      <w:bookmarkEnd w:id="154"/>
      <w:bookmarkStart w:id="155" w:name="_Hlt69335617"/>
      <w:bookmarkStart w:id="156" w:name="_Hlt121629839"/>
    </w:p>
    <w:p w14:paraId="25CDED77">
      <w:pPr>
        <w:spacing w:line="360" w:lineRule="auto"/>
        <w:ind w:firstLine="480" w:firstLineChars="200"/>
        <w:rPr>
          <w:rFonts w:hint="eastAsia" w:ascii="宋体" w:hAnsi="宋体" w:eastAsia="宋体" w:cs="宋体"/>
          <w:color w:val="000000" w:themeColor="text1"/>
          <w:highlight w:val="none"/>
          <w14:textFill>
            <w14:solidFill>
              <w14:schemeClr w14:val="tx1"/>
            </w14:solidFill>
          </w14:textFill>
        </w:rPr>
      </w:pPr>
      <w:bookmarkStart w:id="157" w:name="_Toc15152"/>
      <w:bookmarkStart w:id="158" w:name="_Toc7307"/>
      <w:bookmarkStart w:id="159" w:name="_Toc32578"/>
      <w:bookmarkStart w:id="160" w:name="_Toc29734"/>
      <w:bookmarkStart w:id="161" w:name="_Toc24510"/>
      <w:bookmarkStart w:id="162" w:name="_Toc13350"/>
      <w:bookmarkStart w:id="163" w:name="_Toc5483"/>
      <w:bookmarkStart w:id="164" w:name="_Toc4604"/>
      <w:r>
        <w:rPr>
          <w:rFonts w:hint="eastAsia" w:ascii="宋体" w:hAnsi="宋体" w:eastAsia="宋体" w:cs="宋体"/>
          <w:color w:val="000000" w:themeColor="text1"/>
          <w:szCs w:val="21"/>
          <w:highlight w:val="none"/>
          <w14:textFill>
            <w14:solidFill>
              <w14:schemeClr w14:val="tx1"/>
            </w14:solidFill>
          </w14:textFill>
        </w:rPr>
        <w:t>经研究确定，本</w:t>
      </w:r>
      <w:r>
        <w:rPr>
          <w:rFonts w:hint="eastAsia" w:ascii="宋体" w:hAnsi="宋体" w:eastAsia="宋体" w:cs="宋体"/>
          <w:color w:val="000000" w:themeColor="text1"/>
          <w:szCs w:val="21"/>
          <w:highlight w:val="none"/>
          <w:lang w:val="en-US" w:eastAsia="zh-CN"/>
          <w14:textFill>
            <w14:solidFill>
              <w14:schemeClr w14:val="tx1"/>
            </w14:solidFill>
          </w14:textFill>
        </w:rPr>
        <w:t>项目</w:t>
      </w:r>
      <w:r>
        <w:rPr>
          <w:rFonts w:hint="eastAsia" w:ascii="宋体" w:hAnsi="宋体" w:eastAsia="宋体" w:cs="宋体"/>
          <w:color w:val="000000" w:themeColor="text1"/>
          <w:szCs w:val="21"/>
          <w:highlight w:val="none"/>
          <w14:textFill>
            <w14:solidFill>
              <w14:schemeClr w14:val="tx1"/>
            </w14:solidFill>
          </w14:textFill>
        </w:rPr>
        <w:t>最高投标限价为人民币(大写)</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壹仟捌佰捌拾肆万贰仟陆佰陆拾肆元贰角玖分</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(小写:</w:t>
      </w:r>
      <w:r>
        <w:rPr>
          <w:rFonts w:hint="eastAsia" w:ascii="宋体" w:hAnsi="宋体" w:eastAsia="宋体" w:cs="宋体"/>
          <w:color w:val="000000" w:themeColor="text1"/>
          <w:szCs w:val="21"/>
          <w:highlight w:val="none"/>
          <w:u w:val="singl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18842664.29元</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u w:val="none"/>
          <w:lang w:eastAsia="zh-CN"/>
          <w14:textFill>
            <w14:solidFill>
              <w14:schemeClr w14:val="tx1"/>
            </w14:solidFill>
          </w14:textFill>
        </w:rPr>
        <w:t>其中：勘察</w:t>
      </w:r>
      <w:r>
        <w:rPr>
          <w:rFonts w:hint="eastAsia" w:ascii="宋体" w:hAnsi="宋体" w:eastAsia="宋体" w:cs="宋体"/>
          <w:color w:val="000000" w:themeColor="text1"/>
          <w:szCs w:val="21"/>
          <w:highlight w:val="none"/>
          <w:u w:val="none"/>
          <w:lang w:val="en-US" w:eastAsia="zh-CN"/>
          <w14:textFill>
            <w14:solidFill>
              <w14:schemeClr w14:val="tx1"/>
            </w14:solidFill>
          </w14:textFill>
        </w:rPr>
        <w:t>费</w:t>
      </w:r>
      <w:r>
        <w:rPr>
          <w:rFonts w:hint="eastAsia" w:hAnsi="宋体" w:eastAsia="宋体" w:cs="宋体"/>
          <w:color w:val="000000" w:themeColor="text1"/>
          <w:szCs w:val="21"/>
          <w:highlight w:val="none"/>
          <w:u w:val="none"/>
          <w:lang w:val="en-US" w:eastAsia="zh-CN"/>
          <w14:textFill>
            <w14:solidFill>
              <w14:schemeClr w14:val="tx1"/>
            </w14:solidFill>
          </w14:textFill>
        </w:rPr>
        <w:t>（含测绘费）</w:t>
      </w:r>
      <w:r>
        <w:rPr>
          <w:rFonts w:hint="eastAsia" w:ascii="宋体" w:hAnsi="宋体" w:eastAsia="宋体" w:cs="宋体"/>
          <w:color w:val="000000" w:themeColor="text1"/>
          <w:szCs w:val="21"/>
          <w:highlight w:val="none"/>
          <w:u w:val="none"/>
          <w:lang w:eastAsia="zh-CN"/>
          <w14:textFill>
            <w14:solidFill>
              <w14:schemeClr w14:val="tx1"/>
            </w14:solidFill>
          </w14:textFill>
        </w:rPr>
        <w:t>：</w:t>
      </w:r>
      <w:r>
        <w:rPr>
          <w:rFonts w:hint="eastAsia" w:ascii="宋体" w:hAnsi="宋体" w:eastAsia="宋体" w:cs="宋体"/>
          <w:color w:val="000000" w:themeColor="text1"/>
          <w:szCs w:val="21"/>
          <w:highlight w:val="none"/>
          <w:u w:val="single"/>
          <w:lang w:val="en-US" w:eastAsia="zh-CN"/>
          <w14:textFill>
            <w14:solidFill>
              <w14:schemeClr w14:val="tx1"/>
            </w14:solidFill>
          </w14:textFill>
        </w:rPr>
        <w:t>¥</w:t>
      </w:r>
      <w:r>
        <w:rPr>
          <w:rFonts w:hint="eastAsia" w:hAnsi="宋体" w:cs="宋体"/>
          <w:color w:val="000000" w:themeColor="text1"/>
          <w:szCs w:val="21"/>
          <w:highlight w:val="none"/>
          <w:u w:val="single"/>
          <w:lang w:val="en-US" w:eastAsia="zh-CN"/>
          <w14:textFill>
            <w14:solidFill>
              <w14:schemeClr w14:val="tx1"/>
            </w14:solidFill>
          </w14:textFill>
        </w:rPr>
        <w:t>288000.00</w:t>
      </w:r>
      <w:r>
        <w:rPr>
          <w:rFonts w:hint="eastAsia" w:ascii="宋体" w:hAnsi="宋体" w:eastAsia="宋体" w:cs="宋体"/>
          <w:color w:val="000000" w:themeColor="text1"/>
          <w:szCs w:val="21"/>
          <w:highlight w:val="none"/>
          <w:u w:val="single"/>
          <w:lang w:val="en-US" w:eastAsia="zh-CN"/>
          <w14:textFill>
            <w14:solidFill>
              <w14:schemeClr w14:val="tx1"/>
            </w14:solidFill>
          </w14:textFill>
        </w:rPr>
        <w:t>元</w:t>
      </w:r>
      <w:r>
        <w:rPr>
          <w:rFonts w:hint="eastAsia" w:hAnsi="宋体" w:cs="宋体"/>
          <w:color w:val="000000" w:themeColor="text1"/>
          <w:szCs w:val="21"/>
          <w:highlight w:val="none"/>
          <w:u w:val="none"/>
          <w:lang w:val="en-US" w:eastAsia="zh-CN"/>
          <w14:textFill>
            <w14:solidFill>
              <w14:schemeClr w14:val="tx1"/>
            </w14:solidFill>
          </w14:textFill>
        </w:rPr>
        <w:t>、</w:t>
      </w:r>
      <w:r>
        <w:rPr>
          <w:rFonts w:hint="eastAsia" w:hAnsi="宋体" w:eastAsia="宋体" w:cs="宋体"/>
          <w:color w:val="000000" w:themeColor="text1"/>
          <w:szCs w:val="21"/>
          <w:highlight w:val="none"/>
          <w:u w:val="none"/>
          <w:lang w:val="en-US" w:eastAsia="zh-CN"/>
          <w14:textFill>
            <w14:solidFill>
              <w14:schemeClr w14:val="tx1"/>
            </w14:solidFill>
          </w14:textFill>
        </w:rPr>
        <w:t>设计</w:t>
      </w:r>
      <w:r>
        <w:rPr>
          <w:rFonts w:hint="eastAsia" w:ascii="宋体" w:hAnsi="宋体" w:eastAsia="宋体" w:cs="宋体"/>
          <w:color w:val="000000" w:themeColor="text1"/>
          <w:szCs w:val="21"/>
          <w:highlight w:val="none"/>
          <w:u w:val="none"/>
          <w:lang w:eastAsia="zh-CN"/>
          <w14:textFill>
            <w14:solidFill>
              <w14:schemeClr w14:val="tx1"/>
            </w14:solidFill>
          </w14:textFill>
        </w:rPr>
        <w:t>费（</w:t>
      </w:r>
      <w:r>
        <w:rPr>
          <w:rFonts w:hint="eastAsia" w:ascii="宋体" w:hAnsi="宋体" w:eastAsia="宋体" w:cs="宋体"/>
          <w:color w:val="000000" w:themeColor="text1"/>
          <w:szCs w:val="21"/>
          <w:highlight w:val="none"/>
          <w:u w:val="none"/>
          <w:lang w:val="en-US" w:eastAsia="zh-CN"/>
          <w14:textFill>
            <w14:solidFill>
              <w14:schemeClr w14:val="tx1"/>
            </w14:solidFill>
          </w14:textFill>
        </w:rPr>
        <w:t>含施工图审查费</w:t>
      </w:r>
      <w:r>
        <w:rPr>
          <w:rFonts w:hint="eastAsia" w:ascii="宋体" w:hAnsi="宋体" w:eastAsia="宋体" w:cs="宋体"/>
          <w:color w:val="000000" w:themeColor="text1"/>
          <w:szCs w:val="21"/>
          <w:highlight w:val="none"/>
          <w:u w:val="none"/>
          <w:lang w:eastAsia="zh-CN"/>
          <w14:textFill>
            <w14:solidFill>
              <w14:schemeClr w14:val="tx1"/>
            </w14:solidFill>
          </w14:textFill>
        </w:rPr>
        <w:t>）：</w:t>
      </w:r>
      <w:r>
        <w:rPr>
          <w:rFonts w:hint="eastAsia" w:ascii="宋体" w:hAnsi="宋体" w:eastAsia="宋体" w:cs="宋体"/>
          <w:color w:val="000000" w:themeColor="text1"/>
          <w:szCs w:val="21"/>
          <w:highlight w:val="none"/>
          <w:u w:val="single"/>
          <w:lang w:val="en-US" w:eastAsia="zh-CN"/>
          <w14:textFill>
            <w14:solidFill>
              <w14:schemeClr w14:val="tx1"/>
            </w14:solidFill>
          </w14:textFill>
        </w:rPr>
        <w:t>¥</w:t>
      </w:r>
      <w:r>
        <w:rPr>
          <w:rFonts w:hint="eastAsia" w:hAnsi="宋体" w:cs="宋体"/>
          <w:color w:val="000000" w:themeColor="text1"/>
          <w:szCs w:val="21"/>
          <w:highlight w:val="none"/>
          <w:u w:val="single"/>
          <w:lang w:val="en-US" w:eastAsia="zh-CN"/>
          <w14:textFill>
            <w14:solidFill>
              <w14:schemeClr w14:val="tx1"/>
            </w14:solidFill>
          </w14:textFill>
        </w:rPr>
        <w:t>552800.00</w:t>
      </w:r>
      <w:r>
        <w:rPr>
          <w:rFonts w:hint="eastAsia" w:ascii="宋体" w:hAnsi="宋体" w:eastAsia="宋体" w:cs="宋体"/>
          <w:color w:val="000000" w:themeColor="text1"/>
          <w:szCs w:val="21"/>
          <w:highlight w:val="none"/>
          <w:u w:val="single"/>
          <w:lang w:val="en-US" w:eastAsia="zh-CN"/>
          <w14:textFill>
            <w14:solidFill>
              <w14:schemeClr w14:val="tx1"/>
            </w14:solidFill>
          </w14:textFill>
        </w:rPr>
        <w:t>元</w:t>
      </w:r>
      <w:r>
        <w:rPr>
          <w:rFonts w:hint="eastAsia" w:ascii="宋体" w:hAnsi="宋体" w:eastAsia="宋体" w:cs="宋体"/>
          <w:color w:val="000000" w:themeColor="text1"/>
          <w:szCs w:val="21"/>
          <w:highlight w:val="none"/>
          <w:u w:val="none"/>
          <w:lang w:val="en-US" w:eastAsia="zh-CN"/>
          <w14:textFill>
            <w14:solidFill>
              <w14:schemeClr w14:val="tx1"/>
            </w14:solidFill>
          </w14:textFill>
        </w:rPr>
        <w:t>、建安工程费：</w:t>
      </w:r>
      <w:r>
        <w:rPr>
          <w:rFonts w:hint="eastAsia" w:ascii="宋体" w:hAnsi="宋体" w:eastAsia="宋体" w:cs="宋体"/>
          <w:color w:val="000000" w:themeColor="text1"/>
          <w:szCs w:val="21"/>
          <w:highlight w:val="none"/>
          <w:u w:val="singl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18001864.29</w:t>
      </w:r>
      <w:r>
        <w:rPr>
          <w:rFonts w:hint="eastAsia" w:ascii="宋体" w:hAnsi="宋体" w:eastAsia="宋体" w:cs="宋体"/>
          <w:color w:val="000000" w:themeColor="text1"/>
          <w:szCs w:val="21"/>
          <w:highlight w:val="none"/>
          <w:u w:val="single"/>
          <w:lang w:val="en-US" w:eastAsia="zh-CN"/>
          <w14:textFill>
            <w14:solidFill>
              <w14:schemeClr w14:val="tx1"/>
            </w14:solidFill>
          </w14:textFill>
        </w:rPr>
        <w:t>元</w:t>
      </w:r>
      <w:r>
        <w:rPr>
          <w:rFonts w:hint="eastAsia" w:ascii="宋体" w:hAnsi="宋体" w:eastAsia="宋体" w:cs="宋体"/>
          <w:color w:val="000000" w:themeColor="text1"/>
          <w:szCs w:val="21"/>
          <w:highlight w:val="none"/>
          <w:u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具体详见下表：</w:t>
      </w:r>
    </w:p>
    <w:tbl>
      <w:tblPr>
        <w:tblStyle w:val="21"/>
        <w:tblW w:w="1106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403"/>
        <w:gridCol w:w="1941"/>
        <w:gridCol w:w="1654"/>
        <w:gridCol w:w="1714"/>
        <w:gridCol w:w="3765"/>
      </w:tblGrid>
      <w:tr w14:paraId="4ED4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583" w:type="dxa"/>
            <w:noWrap w:val="0"/>
            <w:vAlign w:val="center"/>
          </w:tcPr>
          <w:p w14:paraId="2D94BCEA">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序号</w:t>
            </w:r>
          </w:p>
        </w:tc>
        <w:tc>
          <w:tcPr>
            <w:tcW w:w="1403" w:type="dxa"/>
            <w:noWrap w:val="0"/>
            <w:vAlign w:val="center"/>
          </w:tcPr>
          <w:p w14:paraId="2305ED8E">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项目名称</w:t>
            </w:r>
          </w:p>
        </w:tc>
        <w:tc>
          <w:tcPr>
            <w:tcW w:w="1941" w:type="dxa"/>
            <w:noWrap w:val="0"/>
            <w:vAlign w:val="center"/>
          </w:tcPr>
          <w:p w14:paraId="52A2D1AE">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报价基数（元）</w:t>
            </w:r>
          </w:p>
        </w:tc>
        <w:tc>
          <w:tcPr>
            <w:tcW w:w="1654" w:type="dxa"/>
            <w:noWrap w:val="0"/>
            <w:vAlign w:val="center"/>
          </w:tcPr>
          <w:p w14:paraId="2EDA1167">
            <w:pPr>
              <w:widowControl/>
              <w:jc w:val="both"/>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1"/>
                <w:sz w:val="24"/>
                <w:szCs w:val="24"/>
                <w:highlight w:val="none"/>
                <w:lang w:val="zh-CN"/>
                <w14:textFill>
                  <w14:solidFill>
                    <w14:schemeClr w14:val="tx1"/>
                  </w14:solidFill>
                </w14:textFill>
              </w:rPr>
              <w:t>投标费率</w:t>
            </w:r>
            <w:r>
              <w:rPr>
                <w:rFonts w:hint="eastAsia" w:asciiTheme="minorEastAsia" w:hAnsiTheme="minorEastAsia" w:eastAsiaTheme="minorEastAsia" w:cstheme="minorEastAsia"/>
                <w:color w:val="000000" w:themeColor="text1"/>
                <w:kern w:val="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投标下浮率</w:t>
            </w:r>
          </w:p>
        </w:tc>
        <w:tc>
          <w:tcPr>
            <w:tcW w:w="1714" w:type="dxa"/>
            <w:noWrap w:val="0"/>
            <w:vAlign w:val="center"/>
          </w:tcPr>
          <w:p w14:paraId="7F29E108">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最高投标限价（元）</w:t>
            </w:r>
          </w:p>
        </w:tc>
        <w:tc>
          <w:tcPr>
            <w:tcW w:w="3765" w:type="dxa"/>
            <w:noWrap w:val="0"/>
            <w:vAlign w:val="center"/>
          </w:tcPr>
          <w:p w14:paraId="07408ACA">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备注</w:t>
            </w:r>
          </w:p>
        </w:tc>
      </w:tr>
      <w:tr w14:paraId="7C2A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583" w:type="dxa"/>
            <w:noWrap w:val="0"/>
            <w:vAlign w:val="center"/>
          </w:tcPr>
          <w:p w14:paraId="6B76A406">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w:t>
            </w:r>
          </w:p>
        </w:tc>
        <w:tc>
          <w:tcPr>
            <w:tcW w:w="1403" w:type="dxa"/>
            <w:noWrap w:val="0"/>
            <w:vAlign w:val="center"/>
          </w:tcPr>
          <w:p w14:paraId="5F06520E">
            <w:pPr>
              <w:widowControl/>
              <w:ind w:right="-122" w:rightChars="-51"/>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勘察费</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（含测绘费）</w:t>
            </w:r>
          </w:p>
        </w:tc>
        <w:tc>
          <w:tcPr>
            <w:tcW w:w="1941" w:type="dxa"/>
            <w:noWrap w:val="0"/>
            <w:vAlign w:val="center"/>
          </w:tcPr>
          <w:p w14:paraId="745C4D48">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288000.00</w:t>
            </w:r>
          </w:p>
        </w:tc>
        <w:tc>
          <w:tcPr>
            <w:tcW w:w="1654" w:type="dxa"/>
            <w:noWrap w:val="0"/>
            <w:vAlign w:val="center"/>
          </w:tcPr>
          <w:p w14:paraId="6D34F166">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714" w:type="dxa"/>
            <w:noWrap w:val="0"/>
            <w:vAlign w:val="center"/>
          </w:tcPr>
          <w:p w14:paraId="7A72B69A">
            <w:pPr>
              <w:widowControl/>
              <w:jc w:val="cente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288000.00</w:t>
            </w:r>
          </w:p>
        </w:tc>
        <w:tc>
          <w:tcPr>
            <w:tcW w:w="3765" w:type="dxa"/>
            <w:noWrap w:val="0"/>
            <w:vAlign w:val="center"/>
          </w:tcPr>
          <w:p w14:paraId="3ECE0DB4">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投标人在勘察费（含测绘费）的最高投标限价范围内进行自主报价，结算时勘察费、测绘费按实结算。</w:t>
            </w:r>
          </w:p>
        </w:tc>
      </w:tr>
      <w:tr w14:paraId="7A42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583" w:type="dxa"/>
            <w:noWrap w:val="0"/>
            <w:vAlign w:val="center"/>
          </w:tcPr>
          <w:p w14:paraId="31D6FCF1">
            <w:pPr>
              <w:widowControl/>
              <w:jc w:val="cente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w:t>
            </w:r>
          </w:p>
        </w:tc>
        <w:tc>
          <w:tcPr>
            <w:tcW w:w="1403" w:type="dxa"/>
            <w:noWrap w:val="0"/>
            <w:vAlign w:val="center"/>
          </w:tcPr>
          <w:p w14:paraId="6D6185D4">
            <w:pPr>
              <w:widowControl/>
              <w:ind w:right="-122" w:rightChars="-51"/>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设计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费</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含施工图审查费</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p>
        </w:tc>
        <w:tc>
          <w:tcPr>
            <w:tcW w:w="1941" w:type="dxa"/>
            <w:noWrap w:val="0"/>
            <w:vAlign w:val="center"/>
          </w:tcPr>
          <w:p w14:paraId="2B0225CF">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18001864.29</w:t>
            </w:r>
          </w:p>
        </w:tc>
        <w:tc>
          <w:tcPr>
            <w:tcW w:w="1654" w:type="dxa"/>
            <w:noWrap w:val="0"/>
            <w:vAlign w:val="center"/>
          </w:tcPr>
          <w:p w14:paraId="6D24F205">
            <w:pPr>
              <w:widowControl/>
              <w:jc w:val="center"/>
              <w:rPr>
                <w:rFonts w:hint="eastAsia" w:ascii="Arial" w:hAnsi="Arial" w:cs="Arial" w:eastAsiaTheme="minorEastAsia"/>
                <w:color w:val="000000" w:themeColor="text1"/>
                <w:kern w:val="0"/>
                <w:sz w:val="24"/>
                <w:szCs w:val="24"/>
                <w:highlight w:val="none"/>
                <w:lang w:val="en-US" w:eastAsia="zh-CN"/>
                <w14:textFill>
                  <w14:solidFill>
                    <w14:schemeClr w14:val="tx1"/>
                  </w14:solidFill>
                </w14:textFill>
              </w:rPr>
            </w:pPr>
            <w:r>
              <w:rPr>
                <w:rFonts w:hint="eastAsia" w:ascii="Arial" w:hAnsi="Arial" w:cs="Arial" w:eastAsiaTheme="minorEastAsia"/>
                <w:color w:val="000000" w:themeColor="text1"/>
                <w:kern w:val="0"/>
                <w:sz w:val="24"/>
                <w:szCs w:val="24"/>
                <w:highlight w:val="none"/>
                <w:lang w:val="en-US" w:eastAsia="zh-CN"/>
                <w14:textFill>
                  <w14:solidFill>
                    <w14:schemeClr w14:val="tx1"/>
                  </w14:solidFill>
                </w14:textFill>
              </w:rPr>
              <w:t>投标费率</w:t>
            </w:r>
            <w:r>
              <w:rPr>
                <w:rFonts w:hint="default" w:ascii="Arial" w:hAnsi="Arial" w:cs="Arial" w:eastAsia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3.071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714" w:type="dxa"/>
            <w:noWrap w:val="0"/>
            <w:vAlign w:val="center"/>
          </w:tcPr>
          <w:p w14:paraId="427275B1">
            <w:pPr>
              <w:widowControl/>
              <w:jc w:val="cente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552800.00</w:t>
            </w:r>
          </w:p>
        </w:tc>
        <w:tc>
          <w:tcPr>
            <w:tcW w:w="3765" w:type="dxa"/>
            <w:noWrap w:val="0"/>
            <w:vAlign w:val="center"/>
          </w:tcPr>
          <w:p w14:paraId="0477A642">
            <w:pPr>
              <w:widowControl/>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按最高投标限价</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范围内</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自行报</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总</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价及</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投标费</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率。报价基数作为暂定量，仅作为投标报价编制依据，不作为结算依据。</w:t>
            </w:r>
          </w:p>
        </w:tc>
      </w:tr>
      <w:tr w14:paraId="675A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trPr>
        <w:tc>
          <w:tcPr>
            <w:tcW w:w="583" w:type="dxa"/>
            <w:noWrap w:val="0"/>
            <w:vAlign w:val="center"/>
          </w:tcPr>
          <w:p w14:paraId="14F79737">
            <w:pPr>
              <w:widowControl/>
              <w:jc w:val="cente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3</w:t>
            </w:r>
          </w:p>
        </w:tc>
        <w:tc>
          <w:tcPr>
            <w:tcW w:w="1403" w:type="dxa"/>
            <w:noWrap w:val="0"/>
            <w:vAlign w:val="center"/>
          </w:tcPr>
          <w:p w14:paraId="231550D9">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建安工程费</w:t>
            </w:r>
          </w:p>
        </w:tc>
        <w:tc>
          <w:tcPr>
            <w:tcW w:w="1941" w:type="dxa"/>
            <w:noWrap w:val="0"/>
            <w:vAlign w:val="center"/>
          </w:tcPr>
          <w:p w14:paraId="07823EB0">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18001864.29</w:t>
            </w:r>
          </w:p>
        </w:tc>
        <w:tc>
          <w:tcPr>
            <w:tcW w:w="1654" w:type="dxa"/>
            <w:noWrap w:val="0"/>
            <w:vAlign w:val="center"/>
          </w:tcPr>
          <w:p w14:paraId="258BC557">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投标下浮率</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&gt;</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0.00</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714" w:type="dxa"/>
            <w:noWrap w:val="0"/>
            <w:vAlign w:val="center"/>
          </w:tcPr>
          <w:p w14:paraId="08E52D6A">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18001864.29</w:t>
            </w:r>
          </w:p>
        </w:tc>
        <w:tc>
          <w:tcPr>
            <w:tcW w:w="3765" w:type="dxa"/>
            <w:noWrap w:val="0"/>
            <w:vAlign w:val="center"/>
          </w:tcPr>
          <w:p w14:paraId="310342DF">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本项目为限额设计，</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工程结算价</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未超过建安工程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费中标价的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按实结算，超过建安工程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费中标价的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则按建安工程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中标</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价</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结算。建安工程投标报价=</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报价基数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×（1-投标下浮率）</w:t>
            </w:r>
          </w:p>
        </w:tc>
      </w:tr>
      <w:tr w14:paraId="74372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986" w:type="dxa"/>
            <w:gridSpan w:val="2"/>
            <w:noWrap w:val="0"/>
            <w:vAlign w:val="center"/>
          </w:tcPr>
          <w:p w14:paraId="53270442">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合计（1+</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2+3</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tc>
        <w:tc>
          <w:tcPr>
            <w:tcW w:w="1941" w:type="dxa"/>
            <w:noWrap w:val="0"/>
            <w:vAlign w:val="center"/>
          </w:tcPr>
          <w:p w14:paraId="5D4A2FC3">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tc>
        <w:tc>
          <w:tcPr>
            <w:tcW w:w="1654" w:type="dxa"/>
            <w:noWrap w:val="0"/>
            <w:vAlign w:val="center"/>
          </w:tcPr>
          <w:p w14:paraId="7903A0CE">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714" w:type="dxa"/>
            <w:noWrap w:val="0"/>
            <w:vAlign w:val="center"/>
          </w:tcPr>
          <w:p w14:paraId="3ED96BAD">
            <w:pPr>
              <w:widowControl/>
              <w:jc w:val="center"/>
              <w:rPr>
                <w:rFonts w:hint="default"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18842664.29</w:t>
            </w:r>
          </w:p>
        </w:tc>
        <w:tc>
          <w:tcPr>
            <w:tcW w:w="3765" w:type="dxa"/>
            <w:noWrap w:val="0"/>
            <w:vAlign w:val="center"/>
          </w:tcPr>
          <w:p w14:paraId="58E5CECB">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r>
    </w:tbl>
    <w:p w14:paraId="65BED85E">
      <w:pPr>
        <w:pStyle w:val="32"/>
        <w:rPr>
          <w:rFonts w:ascii="宋体" w:hAnsi="宋体" w:cs="宋体"/>
          <w:color w:val="000000" w:themeColor="text1"/>
          <w:sz w:val="24"/>
          <w:highlight w:val="none"/>
          <w:lang w:val="zh-CN"/>
          <w14:textFill>
            <w14:solidFill>
              <w14:schemeClr w14:val="tx1"/>
            </w14:solidFill>
          </w14:textFill>
        </w:rPr>
      </w:pPr>
    </w:p>
    <w:p w14:paraId="68640D7E">
      <w:pPr>
        <w:spacing w:line="360" w:lineRule="auto"/>
        <w:ind w:firstLine="482" w:firstLineChars="200"/>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注：投标报价、</w:t>
      </w:r>
      <w:r>
        <w:rPr>
          <w:rFonts w:hint="eastAsia" w:ascii="宋体" w:hAnsi="宋体" w:eastAsia="宋体" w:cs="宋体"/>
          <w:b/>
          <w:bCs/>
          <w:color w:val="000000" w:themeColor="text1"/>
          <w:szCs w:val="21"/>
          <w:highlight w:val="none"/>
          <w:lang w:eastAsia="zh-CN"/>
          <w14:textFill>
            <w14:solidFill>
              <w14:schemeClr w14:val="tx1"/>
            </w14:solidFill>
          </w14:textFill>
        </w:rPr>
        <w:t>投标下浮</w:t>
      </w:r>
      <w:r>
        <w:rPr>
          <w:rFonts w:hint="eastAsia" w:ascii="宋体" w:hAnsi="宋体" w:eastAsia="宋体" w:cs="宋体"/>
          <w:b/>
          <w:bCs/>
          <w:color w:val="000000" w:themeColor="text1"/>
          <w:szCs w:val="21"/>
          <w:highlight w:val="none"/>
          <w14:textFill>
            <w14:solidFill>
              <w14:schemeClr w14:val="tx1"/>
            </w14:solidFill>
          </w14:textFill>
        </w:rPr>
        <w:t>率均保留至小数点后两位</w:t>
      </w:r>
      <w:r>
        <w:rPr>
          <w:rFonts w:hint="eastAsia" w:ascii="宋体" w:hAnsi="宋体" w:eastAsia="宋体" w:cs="宋体"/>
          <w:b/>
          <w:bCs/>
          <w:color w:val="000000" w:themeColor="text1"/>
          <w:szCs w:val="21"/>
          <w:highlight w:val="none"/>
          <w:lang w:eastAsia="zh-CN"/>
          <w14:textFill>
            <w14:solidFill>
              <w14:schemeClr w14:val="tx1"/>
            </w14:solidFill>
          </w14:textFill>
        </w:rPr>
        <w:t>，投标费率保留至小数点后三位。</w:t>
      </w:r>
    </w:p>
    <w:p w14:paraId="6B5404F4">
      <w:pPr>
        <w:pStyle w:val="40"/>
        <w:keepNext/>
        <w:keepLines/>
        <w:ind w:firstLine="480"/>
        <w:jc w:val="both"/>
        <w:rPr>
          <w:rFonts w:hint="eastAsia" w:asciiTheme="minorEastAsia" w:hAnsiTheme="minorEastAsia" w:eastAsiaTheme="minorEastAsia" w:cstheme="minorEastAsia"/>
          <w:b/>
          <w:color w:val="000000" w:themeColor="text1"/>
          <w:szCs w:val="22"/>
          <w:highlight w:val="none"/>
          <w14:textFill>
            <w14:solidFill>
              <w14:schemeClr w14:val="tx1"/>
            </w14:solidFill>
          </w14:textFill>
        </w:rPr>
      </w:pPr>
      <w:bookmarkStart w:id="165" w:name="_Toc9185"/>
      <w:bookmarkStart w:id="166" w:name="_Toc16847"/>
      <w:r>
        <w:rPr>
          <w:rFonts w:hint="eastAsia" w:asciiTheme="minorEastAsia" w:hAnsiTheme="minorEastAsia" w:eastAsiaTheme="minorEastAsia" w:cstheme="minorEastAsia"/>
          <w:b/>
          <w:color w:val="000000" w:themeColor="text1"/>
          <w:szCs w:val="22"/>
          <w:highlight w:val="none"/>
          <w14:textFill>
            <w14:solidFill>
              <w14:schemeClr w14:val="tx1"/>
            </w14:solidFill>
          </w14:textFill>
        </w:rPr>
        <w:t>11</w:t>
      </w:r>
      <w:r>
        <w:rPr>
          <w:rFonts w:hint="eastAsia" w:asciiTheme="minorEastAsia" w:hAnsiTheme="minorEastAsia" w:eastAsiaTheme="minorEastAsia" w:cstheme="minorEastAsia"/>
          <w:b/>
          <w:color w:val="000000" w:themeColor="text1"/>
          <w:szCs w:val="22"/>
          <w:highlight w:val="none"/>
          <w:lang w:eastAsia="zh-CN"/>
          <w14:textFill>
            <w14:solidFill>
              <w14:schemeClr w14:val="tx1"/>
            </w14:solidFill>
          </w14:textFill>
        </w:rPr>
        <w:t>、</w:t>
      </w: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投标</w:t>
      </w:r>
      <w:r>
        <w:rPr>
          <w:rFonts w:hint="eastAsia" w:asciiTheme="minorEastAsia" w:hAnsiTheme="minorEastAsia" w:eastAsiaTheme="minorEastAsia" w:cstheme="minorEastAsia"/>
          <w:b/>
          <w:color w:val="000000" w:themeColor="text1"/>
          <w:szCs w:val="22"/>
          <w:highlight w:val="none"/>
          <w14:textFill>
            <w14:solidFill>
              <w14:schemeClr w14:val="tx1"/>
            </w14:solidFill>
          </w14:textFill>
        </w:rPr>
        <w:t>文件的编制</w:t>
      </w:r>
      <w:bookmarkStart w:id="167" w:name="_Hlt69332370"/>
      <w:bookmarkEnd w:id="167"/>
      <w:bookmarkStart w:id="168" w:name="_Hlt69208262"/>
      <w:bookmarkEnd w:id="168"/>
      <w:r>
        <w:rPr>
          <w:rFonts w:hint="eastAsia" w:asciiTheme="minorEastAsia" w:hAnsiTheme="minorEastAsia" w:eastAsiaTheme="minorEastAsia" w:cstheme="minorEastAsia"/>
          <w:b/>
          <w:color w:val="000000" w:themeColor="text1"/>
          <w:szCs w:val="22"/>
          <w:highlight w:val="none"/>
          <w14:textFill>
            <w14:solidFill>
              <w14:schemeClr w14:val="tx1"/>
            </w14:solidFill>
          </w14:textFill>
        </w:rPr>
        <w:t>要求</w:t>
      </w:r>
      <w:bookmarkEnd w:id="157"/>
      <w:bookmarkEnd w:id="158"/>
      <w:bookmarkEnd w:id="159"/>
      <w:bookmarkEnd w:id="160"/>
      <w:bookmarkEnd w:id="161"/>
      <w:bookmarkEnd w:id="162"/>
      <w:bookmarkEnd w:id="163"/>
      <w:bookmarkEnd w:id="164"/>
      <w:bookmarkEnd w:id="165"/>
      <w:bookmarkEnd w:id="166"/>
    </w:p>
    <w:p w14:paraId="4733A61A">
      <w:pPr>
        <w:pStyle w:val="47"/>
        <w:spacing w:line="360" w:lineRule="auto"/>
        <w:ind w:firstLine="482" w:firstLineChars="200"/>
        <w:jc w:val="both"/>
        <w:outlineLvl w:val="9"/>
        <w:rPr>
          <w:rFonts w:hint="eastAsia" w:asciiTheme="minorEastAsia" w:hAnsiTheme="minorEastAsia" w:eastAsiaTheme="minorEastAsia" w:cstheme="minorEastAsia"/>
          <w:b/>
          <w:bCs/>
          <w:snapToGrid w:val="0"/>
          <w:color w:val="000000" w:themeColor="text1"/>
          <w:kern w:val="0"/>
          <w:sz w:val="24"/>
          <w:highlight w:val="none"/>
          <w:lang w:val="en-US" w:eastAsia="zh-CN" w:bidi="ar-SA"/>
          <w14:textFill>
            <w14:solidFill>
              <w14:schemeClr w14:val="tx1"/>
            </w14:solidFill>
          </w14:textFill>
        </w:rPr>
      </w:pPr>
      <w:bookmarkStart w:id="169" w:name="_Hlt74497202"/>
      <w:bookmarkEnd w:id="169"/>
      <w:bookmarkStart w:id="170" w:name="_Hlt74495594"/>
      <w:bookmarkEnd w:id="170"/>
      <w:bookmarkStart w:id="171" w:name="_Hlt78768224"/>
      <w:bookmarkEnd w:id="171"/>
      <w:bookmarkStart w:id="172" w:name="_Toc31856"/>
      <w:bookmarkStart w:id="173" w:name="_Toc437"/>
      <w:bookmarkStart w:id="174" w:name="_Toc13462"/>
      <w:bookmarkStart w:id="175" w:name="_Toc20541"/>
      <w:bookmarkStart w:id="176" w:name="_Toc32061"/>
      <w:bookmarkStart w:id="177" w:name="_Toc25295"/>
      <w:bookmarkStart w:id="178" w:name="_Toc17330"/>
      <w:bookmarkStart w:id="179" w:name="_Toc6695"/>
      <w:bookmarkStart w:id="180" w:name="_Toc28215"/>
      <w:bookmarkStart w:id="181" w:name="_Toc20091"/>
      <w:bookmarkStart w:id="182" w:name="_Toc29847"/>
      <w:bookmarkStart w:id="183" w:name="_Toc2841"/>
      <w:bookmarkStart w:id="184" w:name="_Toc9696"/>
      <w:bookmarkStart w:id="185" w:name="_Toc5812"/>
      <w:bookmarkStart w:id="186" w:name="_Toc12050"/>
      <w:r>
        <w:rPr>
          <w:rFonts w:hint="eastAsia" w:asciiTheme="minorEastAsia" w:hAnsiTheme="minorEastAsia" w:eastAsiaTheme="minorEastAsia" w:cstheme="minorEastAsia"/>
          <w:b/>
          <w:bCs/>
          <w:snapToGrid w:val="0"/>
          <w:color w:val="000000" w:themeColor="text1"/>
          <w:kern w:val="0"/>
          <w:sz w:val="24"/>
          <w:highlight w:val="none"/>
          <w:lang w:val="en-US" w:eastAsia="zh-CN" w:bidi="ar-SA"/>
          <w14:textFill>
            <w14:solidFill>
              <w14:schemeClr w14:val="tx1"/>
            </w14:solidFill>
          </w14:textFill>
        </w:rPr>
        <w:t>11.1 一般要求</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7F7FE17B">
      <w:pPr>
        <w:pStyle w:val="45"/>
        <w:ind w:firstLineChars="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投标文件应按第</w:t>
      </w:r>
      <w:r>
        <w:rPr>
          <w:rFonts w:hint="eastAsia" w:asciiTheme="minorEastAsia" w:hAnsiTheme="minorEastAsia" w:eastAsiaTheme="minorEastAsia" w:cstheme="minorEastAsia"/>
          <w:snapToGrid w:val="0"/>
          <w:color w:val="000000" w:themeColor="text1"/>
          <w:kern w:val="0"/>
          <w:highlight w:val="none"/>
          <w:lang w:val="en-US" w:eastAsia="zh-CN"/>
          <w14:textFill>
            <w14:solidFill>
              <w14:schemeClr w14:val="tx1"/>
            </w14:solidFill>
          </w14:textFill>
        </w:rPr>
        <w:t>六</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章 投标文件格式规定的内容，投标人提交的投标文件应当使用招标文件所提供的投标文件全部格式。</w:t>
      </w:r>
    </w:p>
    <w:p w14:paraId="5C5A60B4">
      <w:pPr>
        <w:pStyle w:val="38"/>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11.1.1</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投标人必须响应招标文件，并在充分理解招标人提供的全部文件、设计图纸、资料及现场条件的基础上编制投标文件。因投标文件不符合招标文件的要求而造成的损失和后果，由投标人自行承担。</w:t>
      </w:r>
    </w:p>
    <w:p w14:paraId="1C313306">
      <w:pPr>
        <w:pStyle w:val="38"/>
        <w:ind w:firstLine="56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11.1.2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投标文件包含投标标书</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定标文件两册</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投标文件在电子投标时全部采用电子文档（投标人被确定为中标人后，应从交易系统打印两套纸质投标文件（含签名盖章页），内容同电子投标文件，在签订本招标项目承包合同前提交给招标人。（除招标文件约定外，纸质标书须与电子标书一致，不一致的以电子标书为准），投标文件所附证书证件均为原件彩色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 （广东省 · 韶关市）（https://ygp.gdzwfw.gov.cn/ggzy-portal/#/440200/index）交易指引。</w:t>
      </w:r>
      <w:r>
        <w:rPr>
          <w:rFonts w:hint="eastAsia" w:asciiTheme="minorEastAsia" w:hAnsiTheme="minorEastAsia" w:eastAsiaTheme="minorEastAsia" w:cstheme="minorEastAsia"/>
          <w:color w:val="000000" w:themeColor="text1"/>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highlight w:val="none"/>
          <w14:textFill>
            <w14:solidFill>
              <w14:schemeClr w14:val="tx1"/>
            </w14:solidFill>
          </w14:textFill>
        </w:rPr>
        <w:t>注：组成联合体时，只须加盖联合体牵头人的公章，联合体其它成员可不盖章</w:t>
      </w:r>
      <w:r>
        <w:rPr>
          <w:rFonts w:hint="eastAsia" w:asciiTheme="minorEastAsia" w:hAnsiTheme="minorEastAsia" w:eastAsiaTheme="minorEastAsia" w:cstheme="minorEastAsia"/>
          <w:color w:val="000000" w:themeColor="text1"/>
          <w:highlight w:val="none"/>
          <w14:textFill>
            <w14:solidFill>
              <w14:schemeClr w14:val="tx1"/>
            </w14:solidFill>
          </w14:textFill>
        </w:rPr>
        <w:t>）。</w:t>
      </w:r>
    </w:p>
    <w:p w14:paraId="6567A5AF">
      <w:pPr>
        <w:pStyle w:val="38"/>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11.1.3 投标文件需按以下要求签字、盖章：</w:t>
      </w:r>
    </w:p>
    <w:p w14:paraId="0B6E3BC9">
      <w:pPr>
        <w:pStyle w:val="38"/>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电子投标文件：</w:t>
      </w:r>
    </w:p>
    <w:p w14:paraId="2C642CB7">
      <w:pPr>
        <w:pStyle w:val="38"/>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11.1.3.1 投标文件封面、组成内容中凡注明“签字”处由要求的人员签字或电子签章；凡注明“签字或盖章”处由要求的人员签字或盖其私章（电子印章）；凡注明“签字并盖执业印章”处由要求的人员签字并盖其执业印章。</w:t>
      </w:r>
    </w:p>
    <w:p w14:paraId="3A299D90">
      <w:pPr>
        <w:pStyle w:val="38"/>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11.1.3.2 投标文件封套、封面、组成内容中凡要求录入投标人名称且注明“盖单位章”处盖单位法人公章（电子印章）</w:t>
      </w:r>
    </w:p>
    <w:p w14:paraId="154E8AFF">
      <w:pPr>
        <w:pStyle w:val="38"/>
        <w:ind w:firstLine="56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11.1.3.3 投标文件的签字均为签字人本人亲笔署名或签章（电子印章），其余部分的彩色扫描件无须另行签字、盖章。</w:t>
      </w:r>
    </w:p>
    <w:p w14:paraId="194AEBA4">
      <w:pPr>
        <w:pStyle w:val="38"/>
        <w:ind w:firstLine="560"/>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11.1.3.4 联合体投标的，除《联合体协议书》外，由联合体牵头人按以上要求签字（电子印章）、盖章（电子印章）即可。</w:t>
      </w:r>
      <w:bookmarkStart w:id="187" w:name="_Toc274313880"/>
      <w:bookmarkStart w:id="188" w:name="_Toc257031159"/>
    </w:p>
    <w:p w14:paraId="11FE250F">
      <w:pPr>
        <w:pStyle w:val="47"/>
        <w:spacing w:line="360" w:lineRule="auto"/>
        <w:ind w:firstLine="482" w:firstLineChars="200"/>
        <w:jc w:val="both"/>
        <w:outlineLvl w:val="9"/>
        <w:rPr>
          <w:rFonts w:hint="eastAsia" w:asciiTheme="minorEastAsia" w:hAnsiTheme="minorEastAsia" w:eastAsiaTheme="minorEastAsia" w:cstheme="minorEastAsia"/>
          <w:b/>
          <w:bCs/>
          <w:snapToGrid w:val="0"/>
          <w:color w:val="000000" w:themeColor="text1"/>
          <w:kern w:val="0"/>
          <w:sz w:val="24"/>
          <w:highlight w:val="none"/>
          <w:lang w:val="en-US" w:eastAsia="zh-CN" w:bidi="ar-SA"/>
          <w14:textFill>
            <w14:solidFill>
              <w14:schemeClr w14:val="tx1"/>
            </w14:solidFill>
          </w14:textFill>
        </w:rPr>
      </w:pPr>
      <w:bookmarkStart w:id="189" w:name="_Toc8355"/>
      <w:bookmarkStart w:id="190" w:name="_Toc18076"/>
      <w:bookmarkStart w:id="191" w:name="_Toc16107"/>
      <w:bookmarkStart w:id="192" w:name="_Toc27606"/>
      <w:bookmarkStart w:id="193" w:name="_Toc6622"/>
      <w:bookmarkStart w:id="194" w:name="_Toc38"/>
      <w:bookmarkStart w:id="195" w:name="_Toc27670"/>
      <w:bookmarkStart w:id="196" w:name="_Toc26859"/>
      <w:bookmarkStart w:id="197" w:name="_Toc4699"/>
      <w:bookmarkStart w:id="198" w:name="_Toc17946"/>
      <w:bookmarkStart w:id="199" w:name="_Toc26289"/>
      <w:bookmarkStart w:id="200" w:name="_Toc28070"/>
      <w:bookmarkStart w:id="201" w:name="_Toc29894"/>
      <w:bookmarkStart w:id="202" w:name="_Toc18670"/>
      <w:bookmarkStart w:id="203" w:name="_Toc23484"/>
      <w:r>
        <w:rPr>
          <w:rFonts w:hint="eastAsia" w:asciiTheme="minorEastAsia" w:hAnsiTheme="minorEastAsia" w:eastAsiaTheme="minorEastAsia" w:cstheme="minorEastAsia"/>
          <w:b/>
          <w:bCs/>
          <w:snapToGrid w:val="0"/>
          <w:color w:val="000000" w:themeColor="text1"/>
          <w:kern w:val="0"/>
          <w:sz w:val="24"/>
          <w:highlight w:val="none"/>
          <w:lang w:val="en-US" w:eastAsia="zh-CN" w:bidi="ar-SA"/>
          <w14:textFill>
            <w14:solidFill>
              <w14:schemeClr w14:val="tx1"/>
            </w14:solidFill>
          </w14:textFill>
        </w:rPr>
        <w:t xml:space="preserve">11.2 </w:t>
      </w:r>
      <w:bookmarkEnd w:id="187"/>
      <w:bookmarkEnd w:id="188"/>
      <w:bookmarkEnd w:id="189"/>
      <w:bookmarkEnd w:id="190"/>
      <w:bookmarkEnd w:id="191"/>
      <w:bookmarkEnd w:id="192"/>
      <w:bookmarkEnd w:id="193"/>
      <w:bookmarkEnd w:id="194"/>
      <w:bookmarkEnd w:id="195"/>
      <w:bookmarkEnd w:id="196"/>
      <w:r>
        <w:rPr>
          <w:rFonts w:hint="eastAsia" w:asciiTheme="minorEastAsia" w:hAnsiTheme="minorEastAsia" w:eastAsiaTheme="minorEastAsia" w:cstheme="minorEastAsia"/>
          <w:b/>
          <w:bCs/>
          <w:snapToGrid w:val="0"/>
          <w:color w:val="000000" w:themeColor="text1"/>
          <w:kern w:val="0"/>
          <w:sz w:val="24"/>
          <w:highlight w:val="none"/>
          <w:lang w:val="en-US" w:eastAsia="zh-CN" w:bidi="ar-SA"/>
          <w14:textFill>
            <w14:solidFill>
              <w14:schemeClr w14:val="tx1"/>
            </w14:solidFill>
          </w14:textFill>
        </w:rPr>
        <w:t>投标文件的编制要求</w:t>
      </w:r>
      <w:bookmarkEnd w:id="197"/>
      <w:bookmarkEnd w:id="198"/>
      <w:bookmarkEnd w:id="199"/>
      <w:bookmarkEnd w:id="200"/>
      <w:bookmarkEnd w:id="201"/>
      <w:bookmarkEnd w:id="202"/>
      <w:bookmarkEnd w:id="203"/>
    </w:p>
    <w:p w14:paraId="1FCD77D4">
      <w:pPr>
        <w:pStyle w:val="38"/>
        <w:ind w:firstLine="561"/>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11.2.1 </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投标标书的编制要求：</w:t>
      </w:r>
    </w:p>
    <w:p w14:paraId="5516FD77">
      <w:pPr>
        <w:pStyle w:val="38"/>
        <w:ind w:firstLine="561"/>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投标标书包括但不限于以下内容：</w:t>
      </w:r>
    </w:p>
    <w:p w14:paraId="16F4BF3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（1）封面（格式一）；</w:t>
      </w:r>
    </w:p>
    <w:p w14:paraId="3D596251">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（2）目录；</w:t>
      </w:r>
    </w:p>
    <w:p w14:paraId="72457639">
      <w:pPr>
        <w:wordWrap w:val="0"/>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（3）《投标函》及《工程项目总价表》（格式二）；</w:t>
      </w:r>
    </w:p>
    <w:p w14:paraId="42DD483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（4）《各项承诺一览表》（格式三）；</w:t>
      </w:r>
    </w:p>
    <w:p w14:paraId="30E6580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（5）《授权委托书》（格式四）；</w:t>
      </w:r>
    </w:p>
    <w:p w14:paraId="051A315E">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（6）《法定代表人身份证明》（格式五）；</w:t>
      </w:r>
    </w:p>
    <w:p w14:paraId="0581DFB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（7）《联合体协议书》（格式六）及所附资料；</w:t>
      </w:r>
    </w:p>
    <w:p w14:paraId="11BECBF3">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（8）投标保证缴纳证明（</w:t>
      </w:r>
      <w:r>
        <w:rPr>
          <w:rFonts w:hint="eastAsia" w:asciiTheme="minorEastAsia" w:hAnsiTheme="minorEastAsia" w:eastAsiaTheme="minorEastAsia" w:cstheme="minorEastAsia"/>
          <w:snapToGrid w:val="0"/>
          <w:color w:val="000000" w:themeColor="text1"/>
          <w:kern w:val="0"/>
          <w:szCs w:val="18"/>
          <w:highlight w:val="none"/>
          <w14:textFill>
            <w14:solidFill>
              <w14:schemeClr w14:val="tx1"/>
            </w14:solidFill>
          </w14:textFill>
        </w:rPr>
        <w:t>投标人采用投标保证金的，附建设工程交易系统《缴纳投标保证金通知书》页面截图和银行转账单</w:t>
      </w:r>
      <w:r>
        <w:rPr>
          <w:rFonts w:hint="eastAsia" w:asciiTheme="minorEastAsia" w:hAnsiTheme="minorEastAsia" w:eastAsiaTheme="minorEastAsia" w:cstheme="minorEastAsia"/>
          <w:snapToGrid w:val="0"/>
          <w:color w:val="000000" w:themeColor="text1"/>
          <w:kern w:val="0"/>
          <w:szCs w:val="18"/>
          <w:highlight w:val="none"/>
          <w:lang w:val="en-US" w:eastAsia="zh-CN"/>
          <w14:textFill>
            <w14:solidFill>
              <w14:schemeClr w14:val="tx1"/>
            </w14:solidFill>
          </w14:textFill>
        </w:rPr>
        <w:t>彩色扫描</w:t>
      </w:r>
      <w:r>
        <w:rPr>
          <w:rFonts w:hint="eastAsia" w:asciiTheme="minorEastAsia" w:hAnsiTheme="minorEastAsia" w:eastAsiaTheme="minorEastAsia" w:cstheme="minorEastAsia"/>
          <w:snapToGrid w:val="0"/>
          <w:color w:val="000000" w:themeColor="text1"/>
          <w:kern w:val="0"/>
          <w:szCs w:val="18"/>
          <w:highlight w:val="none"/>
          <w14:textFill>
            <w14:solidFill>
              <w14:schemeClr w14:val="tx1"/>
            </w14:solidFill>
          </w14:textFill>
        </w:rPr>
        <w:t>件；采用投标保证担保的，附银行保函</w:t>
      </w:r>
      <w:r>
        <w:rPr>
          <w:rFonts w:hint="eastAsia" w:asciiTheme="minorEastAsia" w:hAnsiTheme="minorEastAsia" w:eastAsiaTheme="minorEastAsia" w:cstheme="minorEastAsia"/>
          <w:snapToGrid w:val="0"/>
          <w:color w:val="000000" w:themeColor="text1"/>
          <w:kern w:val="0"/>
          <w:szCs w:val="18"/>
          <w:highlight w:val="none"/>
          <w:lang w:val="en-US" w:eastAsia="zh-CN"/>
          <w14:textFill>
            <w14:solidFill>
              <w14:schemeClr w14:val="tx1"/>
            </w14:solidFill>
          </w14:textFill>
        </w:rPr>
        <w:t>彩色扫描件</w:t>
      </w:r>
      <w:r>
        <w:rPr>
          <w:rFonts w:hint="eastAsia" w:asciiTheme="minorEastAsia" w:hAnsiTheme="minorEastAsia" w:eastAsiaTheme="minorEastAsia" w:cstheme="minorEastAsia"/>
          <w:snapToGrid w:val="0"/>
          <w:color w:val="000000" w:themeColor="text1"/>
          <w:kern w:val="0"/>
          <w:szCs w:val="18"/>
          <w:highlight w:val="none"/>
          <w14:textFill>
            <w14:solidFill>
              <w14:schemeClr w14:val="tx1"/>
            </w14:solidFill>
          </w14:textFill>
        </w:rPr>
        <w:t>；采用投标保证保险的，附电子保单和</w:t>
      </w:r>
      <w:r>
        <w:rPr>
          <w:rFonts w:hint="eastAsia" w:asciiTheme="minorEastAsia" w:hAnsiTheme="minorEastAsia" w:eastAsiaTheme="minorEastAsia" w:cstheme="minorEastAsia"/>
          <w:b w:val="0"/>
          <w:bCs w:val="0"/>
          <w:color w:val="000000" w:themeColor="text1"/>
          <w:szCs w:val="24"/>
          <w:highlight w:val="none"/>
          <w14:textFill>
            <w14:solidFill>
              <w14:schemeClr w14:val="tx1"/>
            </w14:solidFill>
          </w14:textFill>
        </w:rPr>
        <w:t>《韶关市公共资源交易一体化平台保证金缴纳信息》</w:t>
      </w:r>
      <w:r>
        <w:rPr>
          <w:rFonts w:hint="eastAsia" w:asciiTheme="minorEastAsia" w:hAnsiTheme="minorEastAsia" w:eastAsiaTheme="minorEastAsia" w:cstheme="minorEastAsia"/>
          <w:b w:val="0"/>
          <w:bCs w:val="0"/>
          <w:snapToGrid w:val="0"/>
          <w:color w:val="000000" w:themeColor="text1"/>
          <w:kern w:val="0"/>
          <w:szCs w:val="18"/>
          <w:highlight w:val="none"/>
          <w14:textFill>
            <w14:solidFill>
              <w14:schemeClr w14:val="tx1"/>
            </w14:solidFill>
          </w14:textFill>
        </w:rPr>
        <w:t>页面截图</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p w14:paraId="209ACE12">
      <w:pPr>
        <w:wordWrap w:val="0"/>
        <w:adjustRightInd w:val="0"/>
        <w:snapToGrid w:val="0"/>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（9）《投标人基本情况表》（格式七）及所附资料；</w:t>
      </w:r>
    </w:p>
    <w:p w14:paraId="46EE9D72">
      <w:pPr>
        <w:wordWrap w:val="0"/>
        <w:adjustRightInd w:val="0"/>
        <w:snapToGrid w:val="0"/>
        <w:spacing w:line="360" w:lineRule="auto"/>
        <w:ind w:firstLine="480" w:firstLineChars="200"/>
        <w:rPr>
          <w:rFonts w:hint="eastAsia" w:asciiTheme="minorEastAsia" w:hAnsiTheme="minorEastAsia" w:eastAsiaTheme="minorEastAsia" w:cstheme="minorEastAsia"/>
          <w:strike/>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（10）《项目经理简历表》（格式八）及所附资料；</w:t>
      </w:r>
    </w:p>
    <w:p w14:paraId="5BA3EC6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（11）《项目经理任职声明》（格式九）；</w:t>
      </w:r>
    </w:p>
    <w:p w14:paraId="6BAD79D1">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（12）《项目技术负责人简历表》（格式十）及所附资料；</w:t>
      </w:r>
    </w:p>
    <w:p w14:paraId="798E521F">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（13）《项目设计负责人</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/勘察负责人</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简历表简历表》（格式十一）及所附资料；</w:t>
      </w:r>
    </w:p>
    <w:p w14:paraId="13704F8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）《项目管理机构组成表》（格式十</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 xml:space="preserve">二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）及所附资料；</w:t>
      </w:r>
    </w:p>
    <w:p w14:paraId="14453957">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）本章第14.2目“评标方法”要求提供的评审资料（如有）；</w:t>
      </w:r>
    </w:p>
    <w:p w14:paraId="0FE86B70">
      <w:pPr>
        <w:pStyle w:val="38"/>
        <w:ind w:firstLine="480" w:firstLineChars="200"/>
        <w:rPr>
          <w:rFonts w:hint="eastAsia" w:asciiTheme="minorEastAsia" w:hAnsiTheme="minorEastAsia" w:eastAsiaTheme="minorEastAsia" w:cstheme="minorEastAsia"/>
          <w:color w:val="000000" w:themeColor="text1"/>
          <w:szCs w:val="18"/>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认为有必要补充的其他资料。（例如投标人已经工商变更，但其企业资质证书、安全生产许可证或其员工执业资格注册证书上的企业名称未能在投标期间完成变更的书面说明和佐证材料；外省企业所在省、地级市</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住房和城乡建设部</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门或其授权的组织（机构）关于企业资质、人员资格有效期自动顺延或延期办理的相关文件等；关于投标总价下浮率超过15%的书面说明和佐证材料）。</w:t>
      </w:r>
    </w:p>
    <w:p w14:paraId="2091977C">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11.2.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 本章第</w:t>
      </w: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11.2.1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目中所列出的投标标书组成内容中，第（1）至第（1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）项所有投标人均应提供，</w:t>
      </w: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但非联合体投标的，无需提供第（7）项内容。</w:t>
      </w:r>
    </w:p>
    <w:p w14:paraId="7154588F">
      <w:pPr>
        <w:wordWrap w:val="0"/>
        <w:adjustRightInd w:val="0"/>
        <w:snapToGrid w:val="0"/>
        <w:spacing w:line="360" w:lineRule="auto"/>
        <w:ind w:firstLine="480" w:firstLineChars="2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11.2.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 投标标书的组成内容按本章第</w:t>
      </w: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11.2.1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目规定的顺序整理、编排后，逐页（页码起始从封面开始）连续标记页码。</w:t>
      </w:r>
    </w:p>
    <w:p w14:paraId="587FF5A5">
      <w:pPr>
        <w:pStyle w:val="50"/>
        <w:ind w:firstLine="482" w:firstLineChars="200"/>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t>特别说明：</w:t>
      </w:r>
    </w:p>
    <w:p w14:paraId="61BE12F5">
      <w:pPr>
        <w:pStyle w:val="50"/>
        <w:ind w:firstLine="482" w:firstLineChars="200"/>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t>1、本次招标投标时不要求编制施工组织设计。中标人中标后先按有关规定及要求提供设计成果文件，中标人设计成果确认经有关部门的审查及经有资质的审图机构审查合格通过，中标人还应编制施工组织设计及专项施工方案报监理及招标人审批，然后依据审图合格后的设计施工图编写施工组织设计，报有关部门审查批准后方可实施；中标人须向招标人提供经批准的施工组织设计一式五份。</w:t>
      </w:r>
    </w:p>
    <w:p w14:paraId="69A0DA65">
      <w:pPr>
        <w:pStyle w:val="50"/>
        <w:ind w:firstLine="482" w:firstLineChars="200"/>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highlight w:val="none"/>
          <w:u w:val="single"/>
          <w14:textFill>
            <w14:solidFill>
              <w14:schemeClr w14:val="tx1"/>
            </w14:solidFill>
          </w14:textFill>
        </w:rPr>
        <w:t xml:space="preserve">2、本次招标投标时不要求按编制工程量清单计价模式进行投标报价。投标人若中标后依据经审图合格后的设计施工图编制施工图预算，该施工图预算必须达到办理合同备案及开工手续的要求；中标人须向招标人提供一式伍份完整的预算资料（含工程量计算表、施工图预算书及电子版）。 </w:t>
      </w:r>
      <w:bookmarkStart w:id="204" w:name="_Toc1583"/>
      <w:bookmarkStart w:id="205" w:name="_Toc11926"/>
      <w:bookmarkStart w:id="206" w:name="_Toc14130"/>
      <w:bookmarkStart w:id="207" w:name="_Toc27175"/>
      <w:bookmarkStart w:id="208" w:name="_Toc11313"/>
      <w:bookmarkStart w:id="209" w:name="_Toc17459"/>
      <w:bookmarkStart w:id="210" w:name="_Toc13003"/>
      <w:bookmarkStart w:id="211" w:name="_Toc17812"/>
    </w:p>
    <w:p w14:paraId="31F18DFB">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11.2.</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定标文件的编制要求：</w:t>
      </w:r>
    </w:p>
    <w:p w14:paraId="419DC743">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11.2.2.1 定标文件</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包括以下内容：</w:t>
      </w:r>
    </w:p>
    <w:p w14:paraId="10A248F8">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1) 定标因素评审资料（格式十四）</w:t>
      </w:r>
    </w:p>
    <w:p w14:paraId="4350E086">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11.2.2.2</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 xml:space="preserve"> 本节第11.2.</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目中所列出的组成内容中，第（1）项所有投标人均应提供。</w:t>
      </w:r>
    </w:p>
    <w:p w14:paraId="078C7FCC">
      <w:pPr>
        <w:pStyle w:val="50"/>
        <w:ind w:firstLine="482" w:firstLineChars="200"/>
        <w:rPr>
          <w:rFonts w:hint="eastAsia" w:asciiTheme="minorEastAsia" w:hAnsiTheme="minorEastAsia" w:eastAsiaTheme="minorEastAsia" w:cstheme="minorEastAsia"/>
          <w:b/>
          <w:snapToGrid w:val="0"/>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11.3</w:t>
      </w:r>
      <w:bookmarkEnd w:id="204"/>
      <w:bookmarkEnd w:id="205"/>
      <w:bookmarkEnd w:id="206"/>
      <w:bookmarkEnd w:id="207"/>
      <w:bookmarkEnd w:id="208"/>
      <w:bookmarkEnd w:id="209"/>
      <w:bookmarkEnd w:id="210"/>
      <w:bookmarkEnd w:id="211"/>
      <w:r>
        <w:rPr>
          <w:rFonts w:hint="eastAsia" w:asciiTheme="minorEastAsia" w:hAnsiTheme="minorEastAsia" w:eastAsiaTheme="minorEastAsia" w:cstheme="minorEastAsia"/>
          <w:b/>
          <w:snapToGrid w:val="0"/>
          <w:color w:val="000000" w:themeColor="text1"/>
          <w:highlight w:val="none"/>
          <w14:textFill>
            <w14:solidFill>
              <w14:schemeClr w14:val="tx1"/>
            </w14:solidFill>
          </w14:textFill>
        </w:rPr>
        <w:t>电子投标</w:t>
      </w:r>
      <w:bookmarkStart w:id="212" w:name="_Hlt66511038"/>
      <w:bookmarkEnd w:id="212"/>
      <w:bookmarkStart w:id="213" w:name="_Hlt66200498"/>
      <w:bookmarkEnd w:id="213"/>
      <w:bookmarkStart w:id="214" w:name="_Hlt88627590"/>
      <w:bookmarkEnd w:id="214"/>
      <w:bookmarkStart w:id="215" w:name="_Toc27961"/>
    </w:p>
    <w:p w14:paraId="57F688F3">
      <w:pPr>
        <w:pStyle w:val="5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11.3.1、在交易平台上传加盖了电子印章的投标文件、录入相关信息及标书页码信息，并提交投标标书（页码起始从封面开始）。提交标书为已加密投标文件。具体操作参照《韶关市公共资源建设工程交易系统-投标人操作指南（电子评标）》。</w:t>
      </w:r>
    </w:p>
    <w:p w14:paraId="77A4A8F3">
      <w:pPr>
        <w:pStyle w:val="5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本项目评标采用全流程电子化进行招标投标（投标人应在交易平台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5E5D50F7">
      <w:pPr>
        <w:pStyle w:val="5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投标文件完成上传后，投标人应使用 CA 数字证书对投标文件进行文件加密，形成加密的投标文件并提交标书。</w:t>
      </w:r>
    </w:p>
    <w:p w14:paraId="230FCD87">
      <w:pPr>
        <w:pStyle w:val="5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11.3.2电子投标文件的修改、撤回：在提交投标文件截止时间前，投标人可以修改或撤回未解密的电子投标文件，并于提交投标文件截止时间前将重新上传修改后的电子投标文件至交易平台，到达投标文件提交截止时间后投标人不得撤回、补充、修改和更换投标文件。</w:t>
      </w:r>
    </w:p>
    <w:p w14:paraId="0CE1FF3D">
      <w:pPr>
        <w:pStyle w:val="5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11.3.3电子投标及投标解密失败及突发情况的补救方案</w:t>
      </w:r>
    </w:p>
    <w:p w14:paraId="585877D1">
      <w:pPr>
        <w:pStyle w:val="5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11.3.3.1按照交易平台关于全流程电子化项目的相关指南进行操作。详见：全国公共资源交易平台（广东省·韶关市）发布的最新版操作指南。</w:t>
      </w:r>
    </w:p>
    <w:p w14:paraId="42F09261">
      <w:pPr>
        <w:pStyle w:val="5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11.3.3.2补救方案</w:t>
      </w:r>
    </w:p>
    <w:p w14:paraId="2E9342F6">
      <w:pPr>
        <w:pStyle w:val="50"/>
        <w:numPr>
          <w:ilvl w:val="0"/>
          <w:numId w:val="2"/>
        </w:numPr>
        <w:ind w:firstLine="480" w:firstLine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投标文件解密失败的补救方案：</w:t>
      </w:r>
      <w:bookmarkStart w:id="216" w:name="_Toc28927"/>
    </w:p>
    <w:p w14:paraId="5CD5D936">
      <w:pPr>
        <w:pStyle w:val="50"/>
        <w:numPr>
          <w:ilvl w:val="0"/>
          <w:numId w:val="0"/>
        </w:numPr>
        <w:ind w:firstLine="480" w:firstLine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电子投标文件解密失败且未在规定的时限内按要求成功上传未加密的备用投标文件的，视为无效投标。</w:t>
      </w:r>
      <w:bookmarkEnd w:id="216"/>
      <w:bookmarkStart w:id="217" w:name="_Toc9612"/>
    </w:p>
    <w:p w14:paraId="4A9AE2A5">
      <w:pPr>
        <w:pStyle w:val="50"/>
        <w:numPr>
          <w:ilvl w:val="0"/>
          <w:numId w:val="2"/>
        </w:numPr>
        <w:ind w:left="0" w:leftChars="0" w:firstLine="480" w:firstLine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评标时突发情况的补救方案</w:t>
      </w:r>
      <w:bookmarkEnd w:id="217"/>
      <w:bookmarkStart w:id="218" w:name="_Toc6314"/>
      <w:r>
        <w:rPr>
          <w:rFonts w:hint="eastAsia" w:asciiTheme="minorEastAsia" w:hAnsiTheme="minorEastAsia" w:eastAsiaTheme="minorEastAsia" w:cstheme="minorEastAsia"/>
          <w:bCs/>
          <w:color w:val="000000" w:themeColor="text1"/>
          <w:kern w:val="2"/>
          <w:highlight w:val="none"/>
          <w:lang w:eastAsia="zh-CN"/>
          <w14:textFill>
            <w14:solidFill>
              <w14:schemeClr w14:val="tx1"/>
            </w14:solidFill>
          </w14:textFill>
        </w:rPr>
        <w:t>：</w:t>
      </w:r>
    </w:p>
    <w:p w14:paraId="370AF792">
      <w:pPr>
        <w:pStyle w:val="50"/>
        <w:numPr>
          <w:ilvl w:val="0"/>
          <w:numId w:val="0"/>
        </w:numPr>
        <w:ind w:firstLine="480" w:firstLine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bookmarkEnd w:id="218"/>
      <w:bookmarkStart w:id="219" w:name="_Toc10157"/>
    </w:p>
    <w:p w14:paraId="1A3A30C4">
      <w:pPr>
        <w:pStyle w:val="50"/>
        <w:numPr>
          <w:ilvl w:val="0"/>
          <w:numId w:val="2"/>
        </w:numPr>
        <w:ind w:left="0" w:leftChars="0" w:firstLine="480" w:firstLine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除发生上述情况外，开标评标均以投标人通过交易平台网上递交的电子投标文件为准。</w:t>
      </w:r>
      <w:bookmarkEnd w:id="219"/>
      <w:bookmarkStart w:id="220" w:name="_Toc12675"/>
    </w:p>
    <w:p w14:paraId="1B7B6ECD">
      <w:pPr>
        <w:pStyle w:val="50"/>
        <w:numPr>
          <w:ilvl w:val="0"/>
          <w:numId w:val="0"/>
        </w:numPr>
        <w:ind w:leftChars="200"/>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11.4 投标文件的提交、修改和撤回</w:t>
      </w:r>
      <w:bookmarkEnd w:id="215"/>
      <w:bookmarkEnd w:id="220"/>
      <w:bookmarkStart w:id="221" w:name="_Hlt92512875"/>
      <w:bookmarkEnd w:id="221"/>
      <w:bookmarkStart w:id="222" w:name="_Hlt74494779"/>
      <w:bookmarkEnd w:id="222"/>
      <w:bookmarkStart w:id="223" w:name="_Hlt69699424"/>
      <w:bookmarkEnd w:id="223"/>
      <w:bookmarkStart w:id="224" w:name="_Hlt66608380"/>
      <w:bookmarkEnd w:id="224"/>
      <w:bookmarkStart w:id="225" w:name="_Hlt75685366"/>
      <w:bookmarkEnd w:id="225"/>
      <w:bookmarkStart w:id="226" w:name="_Toc24469"/>
      <w:bookmarkStart w:id="227" w:name="_Toc30635"/>
      <w:bookmarkStart w:id="228" w:name="_Toc4483"/>
      <w:bookmarkStart w:id="229" w:name="_Toc104711075"/>
      <w:bookmarkStart w:id="230" w:name="_Toc3050"/>
      <w:bookmarkStart w:id="231" w:name="_Toc9838"/>
      <w:bookmarkStart w:id="232" w:name="_Toc28454"/>
      <w:bookmarkStart w:id="233" w:name="_Toc22741"/>
      <w:bookmarkStart w:id="234" w:name="_Toc7631"/>
      <w:bookmarkStart w:id="235" w:name="_Toc24322"/>
      <w:bookmarkStart w:id="236" w:name="_Toc106418820"/>
    </w:p>
    <w:p w14:paraId="012D5A77">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11.4.1在投标文件提交截止时间前，投标人通过交易平台提交已加密投标文件。逾期提交的电子投标文件，交易平台将予以拒收。</w:t>
      </w:r>
      <w:bookmarkEnd w:id="226"/>
      <w:bookmarkStart w:id="237" w:name="_Toc25103"/>
    </w:p>
    <w:p w14:paraId="19A13F2B">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11.4.2提交时间：见本章第二节“重要事项时间地点一览表”。</w:t>
      </w:r>
      <w:bookmarkEnd w:id="237"/>
      <w:bookmarkStart w:id="238" w:name="_Toc9791"/>
    </w:p>
    <w:p w14:paraId="5D5E2591">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11.4.3投标人无须进行现场签到，如有招标文件要求提交的用于评审的证书、证件、证明原件等投标相关资料，投标人可在规定的地点、时间内递交至开标现场（附一式两份清单），无原件的不作要求。</w:t>
      </w:r>
      <w:bookmarkEnd w:id="238"/>
      <w:bookmarkStart w:id="239" w:name="_Toc25029"/>
    </w:p>
    <w:p w14:paraId="66D42C80">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11.4.4 递交时间和地点：见本章第二节“重要事项时间地点一览表”。</w:t>
      </w:r>
      <w:bookmarkEnd w:id="239"/>
      <w:bookmarkStart w:id="240" w:name="_Toc5665"/>
    </w:p>
    <w:p w14:paraId="0B2460FC">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11.4.5 投标人代表到达现场后，应出示以下身份证明材料：</w:t>
      </w:r>
      <w:bookmarkEnd w:id="240"/>
      <w:bookmarkStart w:id="241" w:name="_Toc1714"/>
    </w:p>
    <w:p w14:paraId="1D0EAFB6">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（1）本人有效的第二代居民身份证；</w:t>
      </w:r>
      <w:bookmarkEnd w:id="241"/>
      <w:bookmarkStart w:id="242" w:name="_Toc22519"/>
      <w:bookmarkStart w:id="243" w:name="_Toc30210"/>
      <w:bookmarkStart w:id="244" w:name="_Toc1212"/>
    </w:p>
    <w:p w14:paraId="7D6D8C0E">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（2）法定代表人到场的，出示《法定代表人身份证明》（格式五）；委托代理人到场的，应同时出示《授权委托书》（格式四）和《法定代表人身份证明》。</w:t>
      </w:r>
      <w:bookmarkEnd w:id="242"/>
      <w:bookmarkEnd w:id="243"/>
      <w:bookmarkEnd w:id="244"/>
      <w:bookmarkStart w:id="245" w:name="_Toc3014"/>
      <w:bookmarkStart w:id="246" w:name="_Toc8927"/>
      <w:bookmarkStart w:id="247" w:name="_Toc29016"/>
    </w:p>
    <w:p w14:paraId="31CA0B38">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11.4.6联合体投标的，由联合体牵头人按以上要求递交投标相关资料。</w:t>
      </w:r>
      <w:bookmarkEnd w:id="245"/>
      <w:bookmarkEnd w:id="246"/>
      <w:bookmarkEnd w:id="247"/>
      <w:bookmarkStart w:id="248" w:name="_Toc16539"/>
      <w:bookmarkStart w:id="249" w:name="_Toc13703"/>
      <w:bookmarkStart w:id="250" w:name="_Toc13697"/>
    </w:p>
    <w:p w14:paraId="3B5C6ACD">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11.4.7招标人或其授权的招标代理机构核对、接收投标人递交的投标相关资料后，应并妥善保管。</w:t>
      </w:r>
      <w:bookmarkEnd w:id="248"/>
      <w:bookmarkEnd w:id="249"/>
      <w:bookmarkEnd w:id="250"/>
      <w:bookmarkStart w:id="251" w:name="_Toc5287"/>
      <w:bookmarkStart w:id="252" w:name="_Toc6708"/>
      <w:bookmarkStart w:id="253" w:name="_Toc20579"/>
    </w:p>
    <w:p w14:paraId="2B4D9868">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11.4.8 投标人发生以下情形的，其投标相关资料招标人不予接收：</w:t>
      </w:r>
      <w:bookmarkEnd w:id="251"/>
      <w:bookmarkEnd w:id="252"/>
      <w:bookmarkEnd w:id="253"/>
      <w:bookmarkStart w:id="254" w:name="_Toc18916"/>
      <w:bookmarkStart w:id="255" w:name="_Toc32603"/>
      <w:bookmarkStart w:id="256" w:name="_Toc31045"/>
    </w:p>
    <w:p w14:paraId="67FFA51A">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（1）未在指定的时间和地点递交的；</w:t>
      </w:r>
      <w:bookmarkEnd w:id="254"/>
      <w:bookmarkEnd w:id="255"/>
      <w:bookmarkEnd w:id="256"/>
      <w:bookmarkStart w:id="257" w:name="_Toc17194"/>
      <w:bookmarkStart w:id="258" w:name="_Toc15823"/>
      <w:bookmarkStart w:id="259" w:name="_Toc15124"/>
    </w:p>
    <w:p w14:paraId="4CB70762">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（2）到场人员未出示身份证明材料的。</w:t>
      </w:r>
      <w:bookmarkEnd w:id="257"/>
      <w:bookmarkEnd w:id="258"/>
      <w:bookmarkEnd w:id="259"/>
      <w:bookmarkStart w:id="260" w:name="_Toc2022"/>
      <w:bookmarkStart w:id="261" w:name="_Toc17679"/>
      <w:bookmarkStart w:id="262" w:name="_Toc23037"/>
    </w:p>
    <w:p w14:paraId="6966CCDE">
      <w:pPr>
        <w:pStyle w:val="50"/>
        <w:numPr>
          <w:ilvl w:val="0"/>
          <w:numId w:val="0"/>
        </w:numPr>
        <w:ind w:leftChars="200"/>
        <w:rPr>
          <w:rFonts w:hint="eastAsia" w:asciiTheme="minorEastAsia" w:hAnsiTheme="minorEastAsia" w:eastAsiaTheme="minorEastAsia" w:cstheme="minorEastAsia"/>
          <w:bCs/>
          <w:color w:val="000000" w:themeColor="text1"/>
          <w:kern w:val="2"/>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2"/>
          <w:highlight w:val="none"/>
          <w14:textFill>
            <w14:solidFill>
              <w14:schemeClr w14:val="tx1"/>
            </w14:solidFill>
          </w14:textFill>
        </w:rPr>
        <w:t>11.4.9出现下述情形之一，属于未成功提交投标文件，按无效投标处理：</w:t>
      </w:r>
      <w:bookmarkEnd w:id="260"/>
      <w:bookmarkEnd w:id="261"/>
      <w:bookmarkEnd w:id="262"/>
      <w:bookmarkStart w:id="263" w:name="_Toc30279"/>
      <w:bookmarkStart w:id="264" w:name="_Toc22805"/>
      <w:bookmarkStart w:id="265" w:name="_Toc27579"/>
    </w:p>
    <w:p w14:paraId="3AA61B1E">
      <w:pPr>
        <w:pStyle w:val="38"/>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（1）至提交投标文件截止时，投标文件未完整上传或未提交投标；</w:t>
      </w:r>
      <w:bookmarkEnd w:id="263"/>
      <w:bookmarkEnd w:id="264"/>
      <w:bookmarkEnd w:id="265"/>
      <w:bookmarkStart w:id="266" w:name="_Toc26257"/>
      <w:bookmarkStart w:id="267" w:name="_Toc1293"/>
      <w:bookmarkStart w:id="268" w:name="_Toc17052"/>
    </w:p>
    <w:p w14:paraId="453F948A">
      <w:pPr>
        <w:pStyle w:val="38"/>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（2）投标文件未按投标格式中注明需签字盖章的要求进行签名（含电子签名）和加盖电子印章，或签名（含电子签名）或电子印章不完整的；</w:t>
      </w:r>
      <w:bookmarkEnd w:id="266"/>
      <w:bookmarkEnd w:id="267"/>
      <w:bookmarkEnd w:id="268"/>
    </w:p>
    <w:p w14:paraId="3B470C9B">
      <w:pPr>
        <w:pStyle w:val="38"/>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269" w:name="_Toc23907"/>
      <w:bookmarkStart w:id="270" w:name="_Toc7367"/>
      <w:bookmarkStart w:id="271" w:name="_Toc444"/>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（3）解密失败且在规定时间内未重新提交投标文件的；</w:t>
      </w:r>
      <w:bookmarkEnd w:id="269"/>
      <w:bookmarkEnd w:id="270"/>
      <w:bookmarkEnd w:id="271"/>
    </w:p>
    <w:p w14:paraId="1B20CC6E">
      <w:pPr>
        <w:pStyle w:val="38"/>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272" w:name="_Toc26444"/>
      <w:bookmarkStart w:id="273" w:name="_Toc13"/>
      <w:bookmarkStart w:id="274" w:name="_Toc21719"/>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（4）投标文件损坏或格式不正确的。</w:t>
      </w:r>
      <w:bookmarkEnd w:id="272"/>
      <w:bookmarkEnd w:id="273"/>
      <w:bookmarkEnd w:id="274"/>
    </w:p>
    <w:p w14:paraId="67B53C5C">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275" w:name="_Toc15060"/>
      <w:bookmarkStart w:id="276" w:name="_Toc23010"/>
      <w:bookmarkStart w:id="277" w:name="_Toc15798"/>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12、 投标有效期及对投标人的其他要求</w:t>
      </w:r>
      <w:bookmarkEnd w:id="227"/>
      <w:bookmarkEnd w:id="228"/>
      <w:bookmarkEnd w:id="229"/>
      <w:bookmarkEnd w:id="230"/>
      <w:bookmarkEnd w:id="231"/>
      <w:bookmarkEnd w:id="232"/>
      <w:bookmarkEnd w:id="233"/>
      <w:bookmarkEnd w:id="234"/>
      <w:bookmarkEnd w:id="235"/>
      <w:bookmarkEnd w:id="236"/>
      <w:bookmarkEnd w:id="275"/>
      <w:bookmarkEnd w:id="276"/>
      <w:bookmarkEnd w:id="277"/>
    </w:p>
    <w:p w14:paraId="22E1045D">
      <w:pPr>
        <w:pStyle w:val="38"/>
        <w:ind w:firstLine="480" w:firstLineChars="200"/>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本次招标投标有效期为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u w:val="single"/>
          <w:lang w:val="en-US" w:eastAsia="zh-CN"/>
          <w14:textFill>
            <w14:solidFill>
              <w14:schemeClr w14:val="tx1"/>
            </w14:solidFill>
          </w14:textFill>
        </w:rPr>
        <w:t>90</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个日历天，投标有效期从提交投标文件的截止之日起计算。在此期间，投标人不得撤销或修改其投标文件，否则其投标保证不予退还。</w:t>
      </w:r>
    </w:p>
    <w:bookmarkEnd w:id="155"/>
    <w:p w14:paraId="74CE96D9">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278" w:name="_Hlt111081624"/>
      <w:bookmarkEnd w:id="278"/>
      <w:bookmarkStart w:id="279" w:name="_Toc9358"/>
      <w:bookmarkStart w:id="280" w:name="_Toc29545"/>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13</w:t>
      </w:r>
      <w:r>
        <w:rPr>
          <w:rFonts w:hint="eastAsia" w:asciiTheme="minorEastAsia" w:hAnsiTheme="minorEastAsia" w:eastAsiaTheme="minorEastAsia" w:cstheme="minorEastAsia"/>
          <w:b/>
          <w:color w:val="000000" w:themeColor="text1"/>
          <w:kern w:val="2"/>
          <w:highlight w:val="none"/>
          <w:lang w:eastAsia="zh-CN"/>
          <w14:textFill>
            <w14:solidFill>
              <w14:schemeClr w14:val="tx1"/>
            </w14:solidFill>
          </w14:textFill>
        </w:rPr>
        <w:t>、</w:t>
      </w: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开标</w:t>
      </w:r>
      <w:bookmarkEnd w:id="279"/>
      <w:bookmarkEnd w:id="280"/>
    </w:p>
    <w:p w14:paraId="2802C55F">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13.1 招标人邀请所有正确完成了网上获取招标文件、电子投标、缴纳投标保证、递交投标文件的投标人参加开标，投标人可自主决定是否参加。投标人不参加开标的，视其默认开标结果，以及放弃在开标期间见证、监督、投诉、申辩的权利。</w:t>
      </w:r>
    </w:p>
    <w:p w14:paraId="779F69ED">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13.1.1 开标时间和地点：见本章第二节“重要事项时间地点一览表”。</w:t>
      </w:r>
    </w:p>
    <w:p w14:paraId="207269D7">
      <w:pPr>
        <w:pStyle w:val="38"/>
        <w:keepNext w:val="0"/>
        <w:keepLines w:val="0"/>
        <w:pageBreakBefore w:val="0"/>
        <w:widowControl w:val="0"/>
        <w:kinsoku/>
        <w:wordWrap w:val="0"/>
        <w:overflowPunct/>
        <w:topLinePunct w:val="0"/>
        <w:autoSpaceDE w:val="0"/>
        <w:autoSpaceDN w:val="0"/>
        <w:bidi w:val="0"/>
        <w:adjustRightInd w:val="0"/>
        <w:snapToGrid/>
        <w:ind w:firstLine="480" w:firstLineChars="200"/>
        <w:textAlignment w:val="auto"/>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13.1.2 开标前24小时，若交易平台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61F07286">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363FEF86">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13.2 开标程序</w:t>
      </w:r>
    </w:p>
    <w:p w14:paraId="0B856965">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（1）主持人（招标人代表或招标人授权的招标代理机构人员）宣读开标纪律。</w:t>
      </w:r>
    </w:p>
    <w:p w14:paraId="4ADB381C">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（2）主持人宣布唱标人、记录人、见证人、监督人等有关人员姓名。</w:t>
      </w:r>
    </w:p>
    <w:p w14:paraId="7CD8EBDF">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（3）唱标人公布在投标截止时间前进行投标文件的投标人数量和名称</w:t>
      </w:r>
    </w:p>
    <w:p w14:paraId="2ECE91B0">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（4）招标代理机构会同交易场所工作人员对投标人的电子投标信息进行解密，建设工程交易系统自动生成《投标保证缴纳情况表》和《开标一览表》。</w:t>
      </w:r>
    </w:p>
    <w:p w14:paraId="47B6CFEB">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温馨提示：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76C7969B">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778C59D1">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13.3 投标人对开标相关事项（如开标程序等）有异议的，必须在开标期间及时提出，招标人或其授权的招标代理机构应当场作出答复，并记录在案。对开标事项的异议未在开标期间及时提出的，招标人不予受理。</w:t>
      </w:r>
    </w:p>
    <w:p w14:paraId="3EF6B83F">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13.4 招标代理机构将资料原件（若有）、《开标一览表》以及其他有关资料移交评标委员会。</w:t>
      </w:r>
    </w:p>
    <w:p w14:paraId="1B0DB037">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281" w:name="_Toc6274"/>
      <w:bookmarkStart w:id="282" w:name="_Toc19630"/>
      <w:bookmarkStart w:id="283" w:name="_Toc21041"/>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14</w:t>
      </w:r>
      <w:bookmarkStart w:id="284" w:name="_Hlt127093805"/>
      <w:bookmarkEnd w:id="284"/>
      <w:r>
        <w:rPr>
          <w:rFonts w:hint="eastAsia" w:asciiTheme="minorEastAsia" w:hAnsiTheme="minorEastAsia" w:eastAsiaTheme="minorEastAsia" w:cstheme="minorEastAsia"/>
          <w:b/>
          <w:color w:val="000000" w:themeColor="text1"/>
          <w:kern w:val="2"/>
          <w:highlight w:val="none"/>
          <w:lang w:eastAsia="zh-CN"/>
          <w14:textFill>
            <w14:solidFill>
              <w14:schemeClr w14:val="tx1"/>
            </w14:solidFill>
          </w14:textFill>
        </w:rPr>
        <w:t>、</w:t>
      </w:r>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评标的方法和标准</w:t>
      </w:r>
      <w:bookmarkEnd w:id="281"/>
      <w:bookmarkEnd w:id="282"/>
      <w:bookmarkEnd w:id="283"/>
    </w:p>
    <w:p w14:paraId="354F25F3">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评标分为初步评审和详细评审两个阶段，由评标委员会在有关部门的监督下，严格按照本招标文件指定的评标方法，对投标人的投标文件进行审查、评审。评标委员会完成评标后，评标委员会按照投标人评审综合总得分由高到低的原则,向招标人推荐已明确的定标候选人数量（不标明排序），并向招标人提交由全体评标委员会成员签字的评标报告。</w:t>
      </w:r>
    </w:p>
    <w:p w14:paraId="1B3E43C8">
      <w:pPr>
        <w:pStyle w:val="38"/>
        <w:autoSpaceDE w:val="0"/>
        <w:autoSpaceDN w:val="0"/>
        <w:adjustRightInd w:val="0"/>
        <w:ind w:firstLine="482"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bookmarkStart w:id="285" w:name="_Toc32313"/>
      <w:r>
        <w:rPr>
          <w:rFonts w:hint="eastAsia" w:asciiTheme="minorEastAsia" w:hAnsiTheme="minorEastAsia" w:eastAsiaTheme="minorEastAsia" w:cstheme="minorEastAsia"/>
          <w:b/>
          <w:color w:val="000000" w:themeColor="text1"/>
          <w:highlight w:val="none"/>
          <w14:textFill>
            <w14:solidFill>
              <w14:schemeClr w14:val="tx1"/>
            </w14:solidFill>
          </w14:textFill>
        </w:rPr>
        <w:t>14.1 评标</w:t>
      </w:r>
      <w:bookmarkStart w:id="286" w:name="_Hlt69208274"/>
      <w:bookmarkEnd w:id="286"/>
      <w:r>
        <w:rPr>
          <w:rFonts w:hint="eastAsia" w:asciiTheme="minorEastAsia" w:hAnsiTheme="minorEastAsia" w:eastAsiaTheme="minorEastAsia" w:cstheme="minorEastAsia"/>
          <w:b/>
          <w:color w:val="000000" w:themeColor="text1"/>
          <w:highlight w:val="none"/>
          <w14:textFill>
            <w14:solidFill>
              <w14:schemeClr w14:val="tx1"/>
            </w14:solidFill>
          </w14:textFill>
        </w:rPr>
        <w:t>委员会</w:t>
      </w:r>
      <w:bookmarkEnd w:id="285"/>
      <w:bookmarkStart w:id="287" w:name="_Hlt69338169"/>
      <w:bookmarkEnd w:id="287"/>
    </w:p>
    <w:p w14:paraId="0F5EF10D">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14.1.1 评标委员会由5人组成。专家从</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广东省综合评标评审专家库（韶关区域）</w:t>
      </w:r>
      <w:r>
        <w:rPr>
          <w:rFonts w:hint="eastAsia" w:asciiTheme="minorEastAsia" w:hAnsiTheme="minorEastAsia" w:eastAsiaTheme="minorEastAsia" w:cstheme="minorEastAsia"/>
          <w:bCs/>
          <w:color w:val="000000" w:themeColor="text1"/>
          <w:highlight w:val="none"/>
          <w14:textFill>
            <w14:solidFill>
              <w14:schemeClr w14:val="tx1"/>
            </w14:solidFill>
          </w14:textFill>
        </w:rPr>
        <w:t>中随机抽取，其中技术类专家3人，经济类专家2人。评标委员会的负责人在评委中民主选出，负责人的权力与评委成员相等。</w:t>
      </w:r>
    </w:p>
    <w:p w14:paraId="246730F3">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14.1.2 评标委员会应认真、公正、诚实、廉洁地履行职责。有下列情形之一的，不得担任评标委员会成员：</w:t>
      </w:r>
    </w:p>
    <w:p w14:paraId="08194B7F">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14.1.2.1 投标人或者投标人主要负责人的近亲属；</w:t>
      </w:r>
    </w:p>
    <w:p w14:paraId="361CDB8D">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14.1.2.2 项目主管部门或者行政监督部门的人员；</w:t>
      </w:r>
    </w:p>
    <w:p w14:paraId="2724129D">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14.1.2.3 与投标人有经济利益关系，可能影响对投标公正评审的；</w:t>
      </w:r>
    </w:p>
    <w:p w14:paraId="4A670AE9">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14.1.2.4 曾因在</w:t>
      </w:r>
      <w:bookmarkStart w:id="288" w:name="_Hlt69700387"/>
      <w:bookmarkEnd w:id="288"/>
      <w:r>
        <w:rPr>
          <w:rFonts w:hint="eastAsia" w:asciiTheme="minorEastAsia" w:hAnsiTheme="minorEastAsia" w:eastAsiaTheme="minorEastAsia" w:cstheme="minorEastAsia"/>
          <w:bCs/>
          <w:color w:val="000000" w:themeColor="text1"/>
          <w:highlight w:val="none"/>
          <w14:textFill>
            <w14:solidFill>
              <w14:schemeClr w14:val="tx1"/>
            </w14:solidFill>
          </w14:textFill>
        </w:rPr>
        <w:t>招标、评标以及其他与招标投标有关活动中从事违法行为而受过行政处罚或刑事处罚的。</w:t>
      </w:r>
    </w:p>
    <w:p w14:paraId="48BBEE64">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14.1.3 评标委员会成员有前款规定情形之一的，应主动提出回避。</w:t>
      </w:r>
    </w:p>
    <w:p w14:paraId="37A18F78">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14.1.4 评标全过程实行封闭式管理，在中标结果公布前，禁止评标委员会成员以任何方式私下接触投标人。</w:t>
      </w:r>
    </w:p>
    <w:p w14:paraId="36DE5152">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14.1.5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248EF759">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14.1.6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17BE0C71">
      <w:pPr>
        <w:pStyle w:val="38"/>
        <w:autoSpaceDE w:val="0"/>
        <w:autoSpaceDN w:val="0"/>
        <w:adjustRightInd w:val="0"/>
        <w:ind w:firstLine="482" w:firstLineChars="200"/>
        <w:rPr>
          <w:rFonts w:hint="eastAsia" w:asciiTheme="minorEastAsia" w:hAnsiTheme="minorEastAsia" w:eastAsiaTheme="minorEastAsia" w:cstheme="minorEastAsia"/>
          <w:b/>
          <w:color w:val="000000" w:themeColor="text1"/>
          <w:highlight w:val="none"/>
          <w14:textFill>
            <w14:solidFill>
              <w14:schemeClr w14:val="tx1"/>
            </w14:solidFill>
          </w14:textFill>
        </w:rPr>
      </w:pPr>
      <w:bookmarkStart w:id="289" w:name="_Toc106418823"/>
      <w:bookmarkStart w:id="290" w:name="_Toc104711078"/>
      <w:bookmarkStart w:id="291" w:name="_Toc17385"/>
      <w:r>
        <w:rPr>
          <w:rFonts w:hint="eastAsia" w:asciiTheme="minorEastAsia" w:hAnsiTheme="minorEastAsia" w:eastAsiaTheme="minorEastAsia" w:cstheme="minorEastAsia"/>
          <w:b/>
          <w:color w:val="000000" w:themeColor="text1"/>
          <w:highlight w:val="none"/>
          <w14:textFill>
            <w14:solidFill>
              <w14:schemeClr w14:val="tx1"/>
            </w14:solidFill>
          </w14:textFill>
        </w:rPr>
        <w:t>14.2</w:t>
      </w:r>
      <w:bookmarkEnd w:id="289"/>
      <w:bookmarkEnd w:id="290"/>
      <w:r>
        <w:rPr>
          <w:rFonts w:hint="eastAsia" w:asciiTheme="minorEastAsia" w:hAnsiTheme="minorEastAsia" w:eastAsiaTheme="minorEastAsia" w:cstheme="minorEastAsia"/>
          <w:b w:val="0"/>
          <w:bCs/>
          <w:color w:val="000000" w:themeColor="text1"/>
          <w:highlight w:val="none"/>
          <w14:textFill>
            <w14:solidFill>
              <w14:schemeClr w14:val="tx1"/>
            </w14:solidFill>
          </w14:textFill>
        </w:rPr>
        <w:t>评标方法</w:t>
      </w:r>
      <w:bookmarkEnd w:id="291"/>
    </w:p>
    <w:p w14:paraId="46B94855">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bookmarkStart w:id="292" w:name="_Hlt66591657"/>
      <w:bookmarkEnd w:id="292"/>
      <w:r>
        <w:rPr>
          <w:rFonts w:hint="eastAsia" w:asciiTheme="minorEastAsia" w:hAnsiTheme="minorEastAsia" w:eastAsiaTheme="minorEastAsia" w:cstheme="minorEastAsia"/>
          <w:bCs/>
          <w:color w:val="000000" w:themeColor="text1"/>
          <w:highlight w:val="none"/>
          <w14:textFill>
            <w14:solidFill>
              <w14:schemeClr w14:val="tx1"/>
            </w14:solidFill>
          </w14:textFill>
        </w:rPr>
        <w:t>根据有关法律、法规的相关规定，结合本招标项目资金来源和规模特点，本次招标采用综合评估法进行评标。</w:t>
      </w:r>
    </w:p>
    <w:p w14:paraId="336B55D1">
      <w:pPr>
        <w:pStyle w:val="38"/>
        <w:autoSpaceDE w:val="0"/>
        <w:autoSpaceDN w:val="0"/>
        <w:adjustRightInd w:val="0"/>
        <w:ind w:firstLine="482"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highlight w:val="none"/>
          <w14:textFill>
            <w14:solidFill>
              <w14:schemeClr w14:val="tx1"/>
            </w14:solidFill>
          </w14:textFill>
        </w:rPr>
        <w:t>14.</w:t>
      </w:r>
      <w:r>
        <w:rPr>
          <w:rFonts w:hint="eastAsia" w:asciiTheme="minorEastAsia" w:hAnsiTheme="minorEastAsia" w:eastAsiaTheme="minorEastAsia" w:cstheme="minorEastAsia"/>
          <w:b/>
          <w:bCs w:val="0"/>
          <w:color w:val="000000" w:themeColor="text1"/>
          <w:highlight w:val="none"/>
          <w:lang w:val="en-US" w:eastAsia="zh-CN"/>
          <w14:textFill>
            <w14:solidFill>
              <w14:schemeClr w14:val="tx1"/>
            </w14:solidFill>
          </w14:textFill>
        </w:rPr>
        <w:t>3</w:t>
      </w:r>
      <w:r>
        <w:rPr>
          <w:rFonts w:hint="eastAsia" w:asciiTheme="minorEastAsia" w:hAnsiTheme="minorEastAsia" w:eastAsiaTheme="minorEastAsia" w:cstheme="minorEastAsia"/>
          <w:b w:val="0"/>
          <w:bCs/>
          <w:color w:val="000000" w:themeColor="text1"/>
          <w:highlight w:val="none"/>
          <w14:textFill>
            <w14:solidFill>
              <w14:schemeClr w14:val="tx1"/>
            </w14:solidFill>
          </w14:textFill>
        </w:rPr>
        <w:t>评审范围</w:t>
      </w:r>
      <w:r>
        <w:rPr>
          <w:rFonts w:hint="eastAsia" w:asciiTheme="minorEastAsia" w:hAnsiTheme="minorEastAsia" w:eastAsiaTheme="minorEastAsia" w:cstheme="minorEastAsia"/>
          <w:b/>
          <w:bCs w:val="0"/>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14:textFill>
            <w14:solidFill>
              <w14:schemeClr w14:val="tx1"/>
            </w14:solidFill>
          </w14:textFill>
        </w:rPr>
        <w:t>评标委员会应对所有投标人的投标文件进行评审。</w:t>
      </w:r>
    </w:p>
    <w:p w14:paraId="33F2CCB7">
      <w:pPr>
        <w:pStyle w:val="38"/>
        <w:autoSpaceDE w:val="0"/>
        <w:autoSpaceDN w:val="0"/>
        <w:adjustRightInd w:val="0"/>
        <w:ind w:firstLine="482"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highlight w:val="none"/>
          <w14:textFill>
            <w14:solidFill>
              <w14:schemeClr w14:val="tx1"/>
            </w14:solidFill>
          </w14:textFill>
        </w:rPr>
        <w:t>14.</w:t>
      </w:r>
      <w:r>
        <w:rPr>
          <w:rFonts w:hint="eastAsia" w:asciiTheme="minorEastAsia" w:hAnsiTheme="minorEastAsia" w:eastAsiaTheme="minorEastAsia" w:cstheme="minorEastAsia"/>
          <w:b/>
          <w:bCs w:val="0"/>
          <w:color w:val="000000" w:themeColor="text1"/>
          <w:highlight w:val="none"/>
          <w:lang w:val="en-US" w:eastAsia="zh-CN"/>
          <w14:textFill>
            <w14:solidFill>
              <w14:schemeClr w14:val="tx1"/>
            </w14:solidFill>
          </w14:textFill>
        </w:rPr>
        <w:t>4</w:t>
      </w: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初步评审阶段</w:t>
      </w:r>
    </w:p>
    <w:p w14:paraId="7A48C448">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初步评审阶段分为资格评审、形式评审和响应性评审三个环节。</w:t>
      </w:r>
    </w:p>
    <w:p w14:paraId="64ADCB47">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highlight w:val="none"/>
          <w14:textFill>
            <w14:solidFill>
              <w14:schemeClr w14:val="tx1"/>
            </w14:solidFill>
          </w14:textFill>
        </w:rPr>
        <w:t>14.</w:t>
      </w:r>
      <w:r>
        <w:rPr>
          <w:rFonts w:hint="eastAsia" w:asciiTheme="minorEastAsia" w:hAnsiTheme="minorEastAsia" w:eastAsiaTheme="minorEastAsia" w:cstheme="minorEastAsia"/>
          <w:b w:val="0"/>
          <w:bCs/>
          <w:color w:val="000000" w:themeColor="text1"/>
          <w:highlight w:val="none"/>
          <w:lang w:val="en-US" w:eastAsia="zh-CN"/>
          <w14:textFill>
            <w14:solidFill>
              <w14:schemeClr w14:val="tx1"/>
            </w14:solidFill>
          </w14:textFill>
        </w:rPr>
        <w:t>4.1</w:t>
      </w:r>
      <w:r>
        <w:rPr>
          <w:rFonts w:hint="eastAsia" w:asciiTheme="minorEastAsia" w:hAnsiTheme="minorEastAsia" w:eastAsiaTheme="minorEastAsia" w:cstheme="minorEastAsia"/>
          <w:bCs/>
          <w:color w:val="000000" w:themeColor="text1"/>
          <w:highlight w:val="none"/>
          <w14:textFill>
            <w14:solidFill>
              <w14:schemeClr w14:val="tx1"/>
            </w14:solidFill>
          </w14:textFill>
        </w:rPr>
        <w:t>资格评审环节</w:t>
      </w:r>
    </w:p>
    <w:p w14:paraId="19A97792">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资格评审事项包括：</w:t>
      </w:r>
    </w:p>
    <w:p w14:paraId="7E7F5972">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（1）投标人是否符合本章第三节第 4.4条“禁止投标条款”规定。</w:t>
      </w:r>
    </w:p>
    <w:p w14:paraId="40095529">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（2）投标人名称是否与营业执照、资质证书、安全生产许可证一致。</w:t>
      </w:r>
    </w:p>
    <w:p w14:paraId="3EB53AA3">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（3）投标人的资质是否符合招标文件规定；其营业执照、资质证书、安全生产许可证是否合法、有效、准确。</w:t>
      </w:r>
    </w:p>
    <w:p w14:paraId="1854720B">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（4）《项目经理简历表》中拟派项目经理是否与《开标一览表》一致。</w:t>
      </w:r>
    </w:p>
    <w:p w14:paraId="2B305B71">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（5）拟派项目经理、项目技术负责人、专职安全员、设计负责人</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勘察负责人</w:t>
      </w:r>
      <w:r>
        <w:rPr>
          <w:rFonts w:hint="eastAsia" w:asciiTheme="minorEastAsia" w:hAnsiTheme="minorEastAsia" w:eastAsiaTheme="minorEastAsia" w:cstheme="minorEastAsia"/>
          <w:bCs/>
          <w:color w:val="000000" w:themeColor="text1"/>
          <w:highlight w:val="none"/>
          <w14:textFill>
            <w14:solidFill>
              <w14:schemeClr w14:val="tx1"/>
            </w14:solidFill>
          </w14:textFill>
        </w:rPr>
        <w:t>的条件是否符合招标文件规定；项目管理机构组成人员的各类证书、证件、证明是否合法、有效、准确；是否擅自修改、遗漏《项目经理任职声明》的实质性内容。</w:t>
      </w:r>
    </w:p>
    <w:p w14:paraId="0D85F41D">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6）联合体投标的，是否提交《联合体协议书》；是否擅自修改、遗漏《联合体协议书》的实质性内容；联合体成员的数量、资质是否符合招标文件规定；联合体成员是否以自己名义单独或者参加其他联合体参与本招标工程投标。</w:t>
      </w:r>
    </w:p>
    <w:p w14:paraId="6CAE2E4E">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（7）投标人为外省建筑企业的，是否按规定在“进粤企业和人员诚信信息登记平台”录入企业及其拟派人员有关信息并通过数据规范检查。</w:t>
      </w:r>
    </w:p>
    <w:p w14:paraId="75B20E25">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4.2</w:t>
      </w: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形式评审环节</w:t>
      </w:r>
    </w:p>
    <w:p w14:paraId="056BB61C">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形式评审事项包括：</w:t>
      </w:r>
    </w:p>
    <w:p w14:paraId="15DF92F8">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1</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14:textFill>
            <w14:solidFill>
              <w14:schemeClr w14:val="tx1"/>
            </w14:solidFill>
          </w14:textFill>
        </w:rPr>
        <w:t>投标文件是否按招标文件规定加盖电子印章。</w:t>
      </w:r>
    </w:p>
    <w:p w14:paraId="2080954B">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14:textFill>
            <w14:solidFill>
              <w14:schemeClr w14:val="tx1"/>
            </w14:solidFill>
          </w14:textFill>
        </w:rPr>
        <w:t>本节第11.2.2目中规定的“所有投标人均应提供”的组成内容（包括该组成内容的所附资料）是否完整、齐全。</w:t>
      </w:r>
    </w:p>
    <w:p w14:paraId="3FD1877A">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4.3</w:t>
      </w: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响应性评审环节</w:t>
      </w:r>
    </w:p>
    <w:p w14:paraId="6771CE76">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响应性评审事项包括：</w:t>
      </w:r>
    </w:p>
    <w:p w14:paraId="04FB26F9">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（1）投标有效期、质量标准、工期等是否响应招标文件实质性要求；是否擅自修改、遗漏《投标函》《各项承诺一览表》的实质性内容。</w:t>
      </w:r>
    </w:p>
    <w:p w14:paraId="42C032E1">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（2）编投标总价是否唯一；投标总价是否超出最高投标限价；投标人是否以低于成本的价格竞标。</w:t>
      </w:r>
    </w:p>
    <w:p w14:paraId="601591BE">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注：如果某投标人的投标总价下浮率（投标总价下浮率＝100%－投标总价÷</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最高投标限价</w:t>
      </w:r>
      <w:r>
        <w:rPr>
          <w:rFonts w:hint="eastAsia" w:asciiTheme="minorEastAsia" w:hAnsiTheme="minorEastAsia" w:eastAsiaTheme="minorEastAsia" w:cstheme="minorEastAsia"/>
          <w:bCs/>
          <w:color w:val="000000" w:themeColor="text1"/>
          <w:highlight w:val="none"/>
          <w14:textFill>
            <w14:solidFill>
              <w14:schemeClr w14:val="tx1"/>
            </w14:solidFill>
          </w14:textFill>
        </w:rPr>
        <w:t>×100%）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4EA572DE">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14.</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4.4</w:t>
      </w: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否决投标说明</w:t>
      </w:r>
    </w:p>
    <w:p w14:paraId="09CB7FDB">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初步评审阶段各个环节否决投标的全部条件，在本章第四节“否决投标条件”第1条至第4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47761881">
      <w:pPr>
        <w:pStyle w:val="38"/>
        <w:autoSpaceDE w:val="0"/>
        <w:autoSpaceDN w:val="0"/>
        <w:adjustRightInd w:val="0"/>
        <w:ind w:firstLine="482"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bookmarkStart w:id="293" w:name="_Toc18413"/>
      <w:r>
        <w:rPr>
          <w:rFonts w:hint="eastAsia" w:asciiTheme="minorEastAsia" w:hAnsiTheme="minorEastAsia" w:eastAsiaTheme="minorEastAsia" w:cstheme="minorEastAsia"/>
          <w:b/>
          <w:color w:val="000000" w:themeColor="text1"/>
          <w:highlight w:val="none"/>
          <w14:textFill>
            <w14:solidFill>
              <w14:schemeClr w14:val="tx1"/>
            </w14:solidFill>
          </w14:textFill>
        </w:rPr>
        <w:t>14.</w:t>
      </w:r>
      <w:r>
        <w:rPr>
          <w:rFonts w:hint="eastAsia" w:asciiTheme="minorEastAsia" w:hAnsiTheme="minorEastAsia" w:eastAsiaTheme="minorEastAsia" w:cstheme="minorEastAsia"/>
          <w:b/>
          <w:color w:val="000000" w:themeColor="text1"/>
          <w:highlight w:val="none"/>
          <w:lang w:val="en-US" w:eastAsia="zh-CN"/>
          <w14:textFill>
            <w14:solidFill>
              <w14:schemeClr w14:val="tx1"/>
            </w14:solidFill>
          </w14:textFill>
        </w:rPr>
        <w:t>5</w:t>
      </w:r>
      <w:r>
        <w:rPr>
          <w:rFonts w:hint="eastAsia" w:asciiTheme="minorEastAsia" w:hAnsiTheme="minorEastAsia" w:eastAsiaTheme="minorEastAsia" w:cstheme="minorEastAsia"/>
          <w:b/>
          <w:color w:val="000000" w:themeColor="text1"/>
          <w:highlight w:val="none"/>
          <w14:textFill>
            <w14:solidFill>
              <w14:schemeClr w14:val="tx1"/>
            </w14:solidFill>
          </w14:textFill>
        </w:rPr>
        <w:t>详细评审阶段</w:t>
      </w:r>
      <w:bookmarkEnd w:id="293"/>
    </w:p>
    <w:p w14:paraId="1BF2C010">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 xml:space="preserve"> 14.</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5</w:t>
      </w:r>
      <w:r>
        <w:rPr>
          <w:rFonts w:hint="eastAsia" w:asciiTheme="minorEastAsia" w:hAnsiTheme="minorEastAsia" w:eastAsiaTheme="minorEastAsia" w:cstheme="minorEastAsia"/>
          <w:bCs/>
          <w:color w:val="000000" w:themeColor="text1"/>
          <w:highlight w:val="none"/>
          <w14:textFill>
            <w14:solidFill>
              <w14:schemeClr w14:val="tx1"/>
            </w14:solidFill>
          </w14:textFill>
        </w:rPr>
        <w:t>.1 “综合评估法”评审程序</w:t>
      </w:r>
    </w:p>
    <w:p w14:paraId="5EB98105">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评审内容分为商务部分</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技术部分</w:t>
      </w:r>
      <w:r>
        <w:rPr>
          <w:rFonts w:hint="eastAsia" w:asciiTheme="minorEastAsia" w:hAnsiTheme="minorEastAsia" w:eastAsiaTheme="minorEastAsia" w:cstheme="minorEastAsia"/>
          <w:bCs/>
          <w:color w:val="000000" w:themeColor="text1"/>
          <w:highlight w:val="none"/>
          <w14:textFill>
            <w14:solidFill>
              <w14:schemeClr w14:val="tx1"/>
            </w14:solidFill>
          </w14:textFill>
        </w:rPr>
        <w:t>和经济部分</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三</w:t>
      </w:r>
      <w:r>
        <w:rPr>
          <w:rFonts w:hint="eastAsia" w:asciiTheme="minorEastAsia" w:hAnsiTheme="minorEastAsia" w:eastAsiaTheme="minorEastAsia" w:cstheme="minorEastAsia"/>
          <w:bCs/>
          <w:color w:val="000000" w:themeColor="text1"/>
          <w:highlight w:val="none"/>
          <w14:textFill>
            <w14:solidFill>
              <w14:schemeClr w14:val="tx1"/>
            </w14:solidFill>
          </w14:textFill>
        </w:rPr>
        <w:t>大部分，实行分项计分，以100分为满分。具体分值详见《综合评分表》。</w:t>
      </w:r>
    </w:p>
    <w:p w14:paraId="2B222D1E">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除特别注明外，综合得分以及商务部分得分</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技术部分</w:t>
      </w:r>
      <w:r>
        <w:rPr>
          <w:rFonts w:hint="eastAsia" w:asciiTheme="minorEastAsia" w:hAnsiTheme="minorEastAsia" w:eastAsiaTheme="minorEastAsia" w:cstheme="minorEastAsia"/>
          <w:bCs/>
          <w:color w:val="000000" w:themeColor="text1"/>
          <w:highlight w:val="none"/>
          <w14:textFill>
            <w14:solidFill>
              <w14:schemeClr w14:val="tx1"/>
            </w14:solidFill>
          </w14:textFill>
        </w:rPr>
        <w:t>、经济部分得分的中间过程计算值和最终值，均按“四舍五入”原则精确到两位小数。</w:t>
      </w:r>
    </w:p>
    <w:p w14:paraId="6677DFA1">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（1）商务部分得分</w:t>
      </w:r>
    </w:p>
    <w:p w14:paraId="63B59F20">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①评标委员会各成员独立按照《综合评分表》商务部分指定的评分标准对各评分因素进行打分。各评分因素得分之和即为某投标人的商务部分得分。</w:t>
      </w:r>
    </w:p>
    <w:p w14:paraId="4209B01D">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②全体评委对该投标人的商务部分总评分取平均值，按“四舍五入”原则精确到两位小数即为该投标人商务部分的最终得分。</w:t>
      </w:r>
    </w:p>
    <w:p w14:paraId="76A359A2">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2</w:t>
      </w:r>
      <w:r>
        <w:rPr>
          <w:rFonts w:hint="eastAsia" w:asciiTheme="minorEastAsia" w:hAnsiTheme="minorEastAsia" w:eastAsiaTheme="minorEastAsia" w:cstheme="minorEastAsia"/>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技术</w:t>
      </w:r>
      <w:r>
        <w:rPr>
          <w:rFonts w:hint="eastAsia" w:asciiTheme="minorEastAsia" w:hAnsiTheme="minorEastAsia" w:eastAsiaTheme="minorEastAsia" w:cstheme="minorEastAsia"/>
          <w:bCs/>
          <w:color w:val="000000" w:themeColor="text1"/>
          <w:highlight w:val="none"/>
          <w14:textFill>
            <w14:solidFill>
              <w14:schemeClr w14:val="tx1"/>
            </w14:solidFill>
          </w14:textFill>
        </w:rPr>
        <w:t>部分得分</w:t>
      </w:r>
    </w:p>
    <w:p w14:paraId="156A89F3">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①评标委员会各成员独立按照《综合评分表》</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技术</w:t>
      </w:r>
      <w:r>
        <w:rPr>
          <w:rFonts w:hint="eastAsia" w:asciiTheme="minorEastAsia" w:hAnsiTheme="minorEastAsia" w:eastAsiaTheme="minorEastAsia" w:cstheme="minorEastAsia"/>
          <w:bCs/>
          <w:color w:val="000000" w:themeColor="text1"/>
          <w:highlight w:val="none"/>
          <w14:textFill>
            <w14:solidFill>
              <w14:schemeClr w14:val="tx1"/>
            </w14:solidFill>
          </w14:textFill>
        </w:rPr>
        <w:t>部分指定的评分标准对各评分因素进行打分。各评分因素得分之和即为某投标人的</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技术</w:t>
      </w:r>
      <w:r>
        <w:rPr>
          <w:rFonts w:hint="eastAsia" w:asciiTheme="minorEastAsia" w:hAnsiTheme="minorEastAsia" w:eastAsiaTheme="minorEastAsia" w:cstheme="minorEastAsia"/>
          <w:bCs/>
          <w:color w:val="000000" w:themeColor="text1"/>
          <w:highlight w:val="none"/>
          <w14:textFill>
            <w14:solidFill>
              <w14:schemeClr w14:val="tx1"/>
            </w14:solidFill>
          </w14:textFill>
        </w:rPr>
        <w:t>部分得分。</w:t>
      </w:r>
    </w:p>
    <w:p w14:paraId="5CEBE3DF">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②将评标委员会所有成员的技术评分去掉最高分和最低分后，按“四舍五入”原则精确到两位小数即为该投标人</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技术</w:t>
      </w:r>
      <w:r>
        <w:rPr>
          <w:rFonts w:hint="eastAsia" w:asciiTheme="minorEastAsia" w:hAnsiTheme="minorEastAsia" w:eastAsiaTheme="minorEastAsia" w:cstheme="minorEastAsia"/>
          <w:bCs/>
          <w:color w:val="000000" w:themeColor="text1"/>
          <w:highlight w:val="none"/>
          <w14:textFill>
            <w14:solidFill>
              <w14:schemeClr w14:val="tx1"/>
            </w14:solidFill>
          </w14:textFill>
        </w:rPr>
        <w:t>部分的最终得分。</w:t>
      </w:r>
    </w:p>
    <w:p w14:paraId="0794734A">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3</w:t>
      </w:r>
      <w:r>
        <w:rPr>
          <w:rFonts w:hint="eastAsia" w:asciiTheme="minorEastAsia" w:hAnsiTheme="minorEastAsia" w:eastAsiaTheme="minorEastAsia" w:cstheme="minorEastAsia"/>
          <w:bCs/>
          <w:color w:val="000000" w:themeColor="text1"/>
          <w:highlight w:val="none"/>
          <w14:textFill>
            <w14:solidFill>
              <w14:schemeClr w14:val="tx1"/>
            </w14:solidFill>
          </w14:textFill>
        </w:rPr>
        <w:t>）经济部分得分</w:t>
      </w:r>
    </w:p>
    <w:p w14:paraId="1B6DD527">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经济部分评分方法详见《综合评分表》。</w:t>
      </w:r>
    </w:p>
    <w:p w14:paraId="11ADE137">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4</w:t>
      </w:r>
      <w:r>
        <w:rPr>
          <w:rFonts w:hint="eastAsia" w:asciiTheme="minorEastAsia" w:hAnsiTheme="minorEastAsia" w:eastAsiaTheme="minorEastAsia" w:cstheme="minorEastAsia"/>
          <w:bCs/>
          <w:color w:val="000000" w:themeColor="text1"/>
          <w:highlight w:val="none"/>
          <w14:textFill>
            <w14:solidFill>
              <w14:schemeClr w14:val="tx1"/>
            </w14:solidFill>
          </w14:textFill>
        </w:rPr>
        <w:t>）综合得分</w:t>
      </w:r>
    </w:p>
    <w:p w14:paraId="232BC4DF">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综合得分=商务部分得分+</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技术</w:t>
      </w:r>
      <w:r>
        <w:rPr>
          <w:rFonts w:hint="eastAsia" w:asciiTheme="minorEastAsia" w:hAnsiTheme="minorEastAsia" w:eastAsiaTheme="minorEastAsia" w:cstheme="minorEastAsia"/>
          <w:bCs/>
          <w:color w:val="000000" w:themeColor="text1"/>
          <w:highlight w:val="none"/>
          <w14:textFill>
            <w14:solidFill>
              <w14:schemeClr w14:val="tx1"/>
            </w14:solidFill>
          </w14:textFill>
        </w:rPr>
        <w:t>部分得分+经济部分得分</w:t>
      </w:r>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w:t>
      </w:r>
    </w:p>
    <w:p w14:paraId="21FDBF10">
      <w:pPr>
        <w:pStyle w:val="38"/>
        <w:autoSpaceDE w:val="0"/>
        <w:autoSpaceDN w:val="0"/>
        <w:adjustRightInd w:val="0"/>
        <w:ind w:firstLine="480" w:firstLineChars="200"/>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highlight w:val="none"/>
          <w14:textFill>
            <w14:solidFill>
              <w14:schemeClr w14:val="tx1"/>
            </w14:solidFill>
          </w14:textFill>
        </w:rPr>
        <w:t>（</w:t>
      </w:r>
      <w:r>
        <w:rPr>
          <w:rFonts w:hint="eastAsia" w:asciiTheme="minorEastAsia" w:hAnsiTheme="minorEastAsia" w:eastAsiaTheme="minorEastAsia" w:cstheme="minorEastAsia"/>
          <w:bCs/>
          <w:color w:val="000000" w:themeColor="text1"/>
          <w:highlight w:val="none"/>
          <w:lang w:val="en-US" w:eastAsia="zh-CN"/>
          <w14:textFill>
            <w14:solidFill>
              <w14:schemeClr w14:val="tx1"/>
            </w14:solidFill>
          </w14:textFill>
        </w:rPr>
        <w:t>5</w:t>
      </w:r>
      <w:r>
        <w:rPr>
          <w:rFonts w:hint="eastAsia" w:asciiTheme="minorEastAsia" w:hAnsiTheme="minorEastAsia" w:eastAsiaTheme="minorEastAsia" w:cstheme="minorEastAsia"/>
          <w:bCs/>
          <w:color w:val="000000" w:themeColor="text1"/>
          <w:highlight w:val="none"/>
          <w14:textFill>
            <w14:solidFill>
              <w14:schemeClr w14:val="tx1"/>
            </w14:solidFill>
          </w14:textFill>
        </w:rPr>
        <w:t>）</w:t>
      </w:r>
      <w:bookmarkEnd w:id="156"/>
      <w:r>
        <w:rPr>
          <w:rFonts w:hint="eastAsia" w:asciiTheme="minorEastAsia" w:hAnsiTheme="minorEastAsia" w:eastAsiaTheme="minorEastAsia" w:cstheme="minorEastAsia"/>
          <w:bCs/>
          <w:color w:val="000000" w:themeColor="text1"/>
          <w:highlight w:val="none"/>
          <w:lang w:eastAsia="zh-CN"/>
          <w14:textFill>
            <w14:solidFill>
              <w14:schemeClr w14:val="tx1"/>
            </w14:solidFill>
          </w14:textFill>
        </w:rPr>
        <w:t>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4072407E">
      <w:pPr>
        <w:pStyle w:val="38"/>
        <w:autoSpaceDE w:val="0"/>
        <w:autoSpaceDN w:val="0"/>
        <w:adjustRightInd w:val="0"/>
        <w:ind w:firstLine="442" w:firstLineChars="200"/>
        <w:rPr>
          <w:rFonts w:hint="eastAsia" w:asciiTheme="minorEastAsia" w:hAnsiTheme="minorEastAsia" w:eastAsiaTheme="minorEastAsia" w:cstheme="minorEastAsia"/>
          <w:b/>
          <w:bCs w:val="0"/>
          <w:color w:val="000000" w:themeColor="text1"/>
          <w:sz w:val="22"/>
          <w:szCs w:val="18"/>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sz w:val="22"/>
          <w:szCs w:val="18"/>
          <w:highlight w:val="none"/>
          <w:lang w:eastAsia="zh-CN"/>
          <w14:textFill>
            <w14:solidFill>
              <w14:schemeClr w14:val="tx1"/>
            </w14:solidFill>
          </w14:textFill>
        </w:rPr>
        <w:t>定标候选人得分只作为评标委员会的推荐依据，不作为定标委员会对中标候选人排序的依据。</w:t>
      </w:r>
      <w:r>
        <w:rPr>
          <w:rFonts w:hint="eastAsia" w:asciiTheme="minorEastAsia" w:hAnsiTheme="minorEastAsia" w:eastAsiaTheme="minorEastAsia" w:cstheme="minorEastAsia"/>
          <w:b/>
          <w:bCs w:val="0"/>
          <w:color w:val="000000" w:themeColor="text1"/>
          <w:sz w:val="22"/>
          <w:szCs w:val="18"/>
          <w:highlight w:val="none"/>
          <w:lang w:val="en-US" w:eastAsia="zh-CN"/>
          <w14:textFill>
            <w14:solidFill>
              <w14:schemeClr w14:val="tx1"/>
            </w14:solidFill>
          </w14:textFill>
        </w:rPr>
        <w:t>当有效投标人数量不足5名但满足法定要求时，所有通过评审的有效投标人均应作为定标候选人。</w:t>
      </w:r>
    </w:p>
    <w:p w14:paraId="45138ACC">
      <w:pPr>
        <w:pStyle w:val="38"/>
        <w:autoSpaceDE w:val="0"/>
        <w:autoSpaceDN w:val="0"/>
        <w:adjustRightInd w:val="0"/>
        <w:ind w:firstLine="562" w:firstLineChars="200"/>
        <w:rPr>
          <w:rFonts w:hint="eastAsia" w:hAnsi="宋体" w:cs="宋体"/>
          <w:b/>
          <w:bCs/>
          <w:color w:val="000000" w:themeColor="text1"/>
          <w:kern w:val="0"/>
          <w:sz w:val="28"/>
          <w:szCs w:val="30"/>
          <w:highlight w:val="none"/>
          <w14:textFill>
            <w14:solidFill>
              <w14:schemeClr w14:val="tx1"/>
            </w14:solidFill>
          </w14:textFill>
        </w:rPr>
      </w:pPr>
      <w:r>
        <w:rPr>
          <w:rFonts w:hint="eastAsia" w:hAnsi="宋体" w:cs="宋体"/>
          <w:b/>
          <w:bCs/>
          <w:color w:val="000000" w:themeColor="text1"/>
          <w:kern w:val="0"/>
          <w:sz w:val="28"/>
          <w:szCs w:val="30"/>
          <w:highlight w:val="none"/>
          <w14:textFill>
            <w14:solidFill>
              <w14:schemeClr w14:val="tx1"/>
            </w14:solidFill>
          </w14:textFill>
        </w:rPr>
        <w:br w:type="page"/>
      </w:r>
    </w:p>
    <w:p w14:paraId="5492FD46">
      <w:pPr>
        <w:pStyle w:val="38"/>
        <w:autoSpaceDE w:val="0"/>
        <w:autoSpaceDN w:val="0"/>
        <w:adjustRightInd w:val="0"/>
        <w:jc w:val="center"/>
        <w:outlineLvl w:val="9"/>
        <w:rPr>
          <w:rFonts w:hAnsi="宋体" w:cs="宋体"/>
          <w:b/>
          <w:bCs/>
          <w:color w:val="000000" w:themeColor="text1"/>
          <w:kern w:val="0"/>
          <w:sz w:val="28"/>
          <w:szCs w:val="30"/>
          <w:highlight w:val="none"/>
          <w14:textFill>
            <w14:solidFill>
              <w14:schemeClr w14:val="tx1"/>
            </w14:solidFill>
          </w14:textFill>
        </w:rPr>
      </w:pPr>
      <w:r>
        <w:rPr>
          <w:rFonts w:hint="eastAsia" w:hAnsi="宋体" w:cs="宋体"/>
          <w:b/>
          <w:bCs/>
          <w:color w:val="000000" w:themeColor="text1"/>
          <w:kern w:val="0"/>
          <w:sz w:val="28"/>
          <w:szCs w:val="30"/>
          <w:highlight w:val="none"/>
          <w14:textFill>
            <w14:solidFill>
              <w14:schemeClr w14:val="tx1"/>
            </w14:solidFill>
          </w14:textFill>
        </w:rPr>
        <w:t>综合评分表</w:t>
      </w:r>
    </w:p>
    <w:tbl>
      <w:tblPr>
        <w:tblStyle w:val="21"/>
        <w:tblW w:w="11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714"/>
        <w:gridCol w:w="949"/>
        <w:gridCol w:w="400"/>
        <w:gridCol w:w="709"/>
        <w:gridCol w:w="3869"/>
        <w:gridCol w:w="3971"/>
      </w:tblGrid>
      <w:tr w14:paraId="3766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446" w:type="dxa"/>
            <w:vAlign w:val="center"/>
          </w:tcPr>
          <w:p w14:paraId="3CEC071A">
            <w:pPr>
              <w:widowControl/>
              <w:jc w:val="center"/>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序号</w:t>
            </w:r>
          </w:p>
        </w:tc>
        <w:tc>
          <w:tcPr>
            <w:tcW w:w="714" w:type="dxa"/>
            <w:vAlign w:val="center"/>
          </w:tcPr>
          <w:p w14:paraId="7963FABB">
            <w:pPr>
              <w:widowControl/>
              <w:jc w:val="center"/>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评标内容</w:t>
            </w:r>
          </w:p>
        </w:tc>
        <w:tc>
          <w:tcPr>
            <w:tcW w:w="9898" w:type="dxa"/>
            <w:gridSpan w:val="5"/>
            <w:vAlign w:val="center"/>
          </w:tcPr>
          <w:p w14:paraId="0B7F7C33">
            <w:pPr>
              <w:widowControl/>
              <w:jc w:val="center"/>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说    明</w:t>
            </w:r>
          </w:p>
        </w:tc>
      </w:tr>
      <w:tr w14:paraId="46CA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5" w:hRule="atLeast"/>
          <w:jc w:val="center"/>
        </w:trPr>
        <w:tc>
          <w:tcPr>
            <w:tcW w:w="446" w:type="dxa"/>
            <w:vMerge w:val="restart"/>
            <w:vAlign w:val="center"/>
          </w:tcPr>
          <w:p w14:paraId="0C821BBD">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1</w:t>
            </w:r>
          </w:p>
        </w:tc>
        <w:tc>
          <w:tcPr>
            <w:tcW w:w="714" w:type="dxa"/>
            <w:vMerge w:val="restart"/>
            <w:vAlign w:val="center"/>
          </w:tcPr>
          <w:p w14:paraId="7A5EDAE2">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商务得分（50分）</w:t>
            </w:r>
          </w:p>
        </w:tc>
        <w:tc>
          <w:tcPr>
            <w:tcW w:w="949" w:type="dxa"/>
            <w:vMerge w:val="restart"/>
            <w:vAlign w:val="center"/>
          </w:tcPr>
          <w:p w14:paraId="35FFFB71">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施工企业（17 分）</w:t>
            </w:r>
          </w:p>
        </w:tc>
        <w:tc>
          <w:tcPr>
            <w:tcW w:w="1109" w:type="dxa"/>
            <w:gridSpan w:val="2"/>
            <w:vAlign w:val="center"/>
          </w:tcPr>
          <w:p w14:paraId="3CB5FF07">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项目经理综合素质（5分）</w:t>
            </w:r>
          </w:p>
        </w:tc>
        <w:tc>
          <w:tcPr>
            <w:tcW w:w="3869" w:type="dxa"/>
            <w:shd w:val="clear" w:color="auto" w:fill="auto"/>
            <w:vAlign w:val="center"/>
          </w:tcPr>
          <w:p w14:paraId="30D41FDF">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项目经理工程类技术职称情况：</w:t>
            </w:r>
          </w:p>
          <w:p w14:paraId="61BB266C">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1.具备</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bidi="ar-SA"/>
                <w14:textFill>
                  <w14:solidFill>
                    <w14:schemeClr w14:val="tx1"/>
                  </w14:solidFill>
                </w14:textFill>
              </w:rPr>
              <w:t xml:space="preserve"> 助理工程师 </w:t>
            </w: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或以上职称的，得 5分；</w:t>
            </w:r>
          </w:p>
          <w:p w14:paraId="331D2137">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2.具备</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bidi="ar-SA"/>
                <w14:textFill>
                  <w14:solidFill>
                    <w14:schemeClr w14:val="tx1"/>
                  </w14:solidFill>
                </w14:textFill>
              </w:rPr>
              <w:t xml:space="preserve"> 技术员 </w:t>
            </w: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职称的，得 2分；</w:t>
            </w:r>
          </w:p>
          <w:p w14:paraId="2B466038">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不具备以上职称的，不予计分</w:t>
            </w:r>
          </w:p>
        </w:tc>
        <w:tc>
          <w:tcPr>
            <w:tcW w:w="3971" w:type="dxa"/>
            <w:shd w:val="clear" w:color="auto" w:fill="auto"/>
            <w:vAlign w:val="center"/>
          </w:tcPr>
          <w:p w14:paraId="578CDEDF">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需附职称证彩色扫描件</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（或电子职称证），并加盖投标人公章</w:t>
            </w: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w:t>
            </w:r>
          </w:p>
        </w:tc>
      </w:tr>
      <w:tr w14:paraId="7A2E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5" w:hRule="atLeast"/>
          <w:jc w:val="center"/>
        </w:trPr>
        <w:tc>
          <w:tcPr>
            <w:tcW w:w="446" w:type="dxa"/>
            <w:vMerge w:val="continue"/>
            <w:vAlign w:val="center"/>
          </w:tcPr>
          <w:p w14:paraId="7C7C715A">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4" w:type="dxa"/>
            <w:vMerge w:val="continue"/>
            <w:vAlign w:val="center"/>
          </w:tcPr>
          <w:p w14:paraId="63255E94">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49" w:type="dxa"/>
            <w:vMerge w:val="continue"/>
            <w:vAlign w:val="center"/>
          </w:tcPr>
          <w:p w14:paraId="6236776D">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09" w:type="dxa"/>
            <w:gridSpan w:val="2"/>
            <w:vAlign w:val="center"/>
          </w:tcPr>
          <w:p w14:paraId="39951CA8">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企业业绩（5分）</w:t>
            </w:r>
          </w:p>
        </w:tc>
        <w:tc>
          <w:tcPr>
            <w:tcW w:w="3869" w:type="dxa"/>
            <w:vAlign w:val="center"/>
          </w:tcPr>
          <w:p w14:paraId="4DD7C4FE">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企业近5年来（2021年1月1日至今）业绩情况：</w:t>
            </w:r>
          </w:p>
          <w:p w14:paraId="03644E30">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bidi="ar-SA"/>
                <w14:textFill>
                  <w14:solidFill>
                    <w14:schemeClr w14:val="tx1"/>
                  </w14:solidFill>
                </w14:textFill>
              </w:rPr>
              <w:t>承接</w:t>
            </w: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过类似工程的，每个得 2.5分；</w:t>
            </w:r>
          </w:p>
          <w:p w14:paraId="54A63A3B">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2.未</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bidi="ar-SA"/>
                <w14:textFill>
                  <w14:solidFill>
                    <w14:schemeClr w14:val="tx1"/>
                  </w14:solidFill>
                </w14:textFill>
              </w:rPr>
              <w:t>承接</w:t>
            </w: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过类似工程的，不予计分。</w:t>
            </w:r>
          </w:p>
          <w:p w14:paraId="2D55D4D7">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本项最高得5分。</w:t>
            </w:r>
          </w:p>
        </w:tc>
        <w:tc>
          <w:tcPr>
            <w:tcW w:w="3971" w:type="dxa"/>
            <w:vAlign w:val="center"/>
          </w:tcPr>
          <w:p w14:paraId="66ED9517">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1．类似工程指：</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bidi="ar-SA"/>
                <w14:textFill>
                  <w14:solidFill>
                    <w14:schemeClr w14:val="tx1"/>
                  </w14:solidFill>
                </w14:textFill>
              </w:rPr>
              <w:t>市政工程类项目（含施工总承包，设计施工总承包，勘察设计施工总承包项目）</w:t>
            </w: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w:t>
            </w:r>
          </w:p>
          <w:p w14:paraId="2305D529">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2．需附有关业绩中标通知书或合同协议书彩色扫描件。</w:t>
            </w:r>
          </w:p>
          <w:p w14:paraId="2190EAFB">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3．业绩时间以中标通知书或合同协议书日期为准。</w:t>
            </w:r>
          </w:p>
          <w:p w14:paraId="243B6BDD">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4.任一业绩有以下情形之一的，该业绩视为无效，不予计分：</w:t>
            </w:r>
          </w:p>
          <w:p w14:paraId="51F25869">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①业绩不属于类似工程的；</w:t>
            </w:r>
          </w:p>
          <w:p w14:paraId="666BD669">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②业绩时间不符合要求的。</w:t>
            </w:r>
          </w:p>
        </w:tc>
      </w:tr>
      <w:tr w14:paraId="298B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jc w:val="center"/>
        </w:trPr>
        <w:tc>
          <w:tcPr>
            <w:tcW w:w="446" w:type="dxa"/>
            <w:vMerge w:val="continue"/>
            <w:vAlign w:val="center"/>
          </w:tcPr>
          <w:p w14:paraId="606CB252">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4" w:type="dxa"/>
            <w:vMerge w:val="continue"/>
            <w:vAlign w:val="center"/>
          </w:tcPr>
          <w:p w14:paraId="7278AC05">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49" w:type="dxa"/>
            <w:vMerge w:val="continue"/>
            <w:vAlign w:val="center"/>
          </w:tcPr>
          <w:p w14:paraId="2C0406E9">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09" w:type="dxa"/>
            <w:gridSpan w:val="2"/>
            <w:vAlign w:val="center"/>
          </w:tcPr>
          <w:p w14:paraId="669E33DA">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企业管理体系认证（3分）</w:t>
            </w:r>
          </w:p>
        </w:tc>
        <w:tc>
          <w:tcPr>
            <w:tcW w:w="3869" w:type="dxa"/>
            <w:vAlign w:val="center"/>
          </w:tcPr>
          <w:p w14:paraId="4D0233D2">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1.质量管理体系认证、职业健康安全管理体系认证、环境管理体系认证中，每获得1项认证得1分，最高得3分。</w:t>
            </w:r>
          </w:p>
        </w:tc>
        <w:tc>
          <w:tcPr>
            <w:tcW w:w="3971" w:type="dxa"/>
            <w:vAlign w:val="center"/>
          </w:tcPr>
          <w:p w14:paraId="2C153867">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1.需附在有效期内的认证证书彩色扫描件。</w:t>
            </w:r>
          </w:p>
          <w:p w14:paraId="4BDF78F0">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2.任一认证证书有以下情形之一的，该认证证书视为无效，不予计分：</w:t>
            </w:r>
          </w:p>
          <w:p w14:paraId="1244C80B">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①认证证书不在有效期内的。</w:t>
            </w:r>
          </w:p>
        </w:tc>
      </w:tr>
      <w:tr w14:paraId="6D47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5" w:hRule="atLeast"/>
          <w:jc w:val="center"/>
        </w:trPr>
        <w:tc>
          <w:tcPr>
            <w:tcW w:w="446" w:type="dxa"/>
            <w:vMerge w:val="continue"/>
            <w:vAlign w:val="center"/>
          </w:tcPr>
          <w:p w14:paraId="65D9872A">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4" w:type="dxa"/>
            <w:vMerge w:val="continue"/>
            <w:vAlign w:val="center"/>
          </w:tcPr>
          <w:p w14:paraId="1F7825DB">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49" w:type="dxa"/>
            <w:vMerge w:val="continue"/>
            <w:vAlign w:val="center"/>
          </w:tcPr>
          <w:p w14:paraId="7924C9B4">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09" w:type="dxa"/>
            <w:gridSpan w:val="2"/>
            <w:vAlign w:val="center"/>
          </w:tcPr>
          <w:p w14:paraId="6AEA9659">
            <w:pPr>
              <w:keepNext w:val="0"/>
              <w:keepLines w:val="0"/>
              <w:pageBreakBefore w:val="0"/>
              <w:widowControl w:val="0"/>
              <w:kinsoku/>
              <w:wordWrap w:val="0"/>
              <w:overflowPunct/>
              <w:topLinePunct w:val="0"/>
              <w:autoSpaceDN/>
              <w:bidi w:val="0"/>
              <w:adjustRightInd w:val="0"/>
              <w:snapToGrid w:val="0"/>
              <w:spacing w:after="0" w:line="360" w:lineRule="exact"/>
              <w:jc w:val="center"/>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企业财务状况</w:t>
            </w:r>
          </w:p>
          <w:p w14:paraId="54764E49">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（2分）</w:t>
            </w:r>
          </w:p>
        </w:tc>
        <w:tc>
          <w:tcPr>
            <w:tcW w:w="3869" w:type="dxa"/>
            <w:vAlign w:val="center"/>
          </w:tcPr>
          <w:p w14:paraId="509368EB">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企业连续</w:t>
            </w:r>
            <w:r>
              <w:rPr>
                <w:rFonts w:hint="eastAsia" w:asciiTheme="minorEastAsia" w:hAnsiTheme="minorEastAsia" w:eastAsiaTheme="minorEastAsia" w:cstheme="minorEastAsia"/>
                <w:snapToGrid w:val="0"/>
                <w:color w:val="000000" w:themeColor="text1"/>
                <w:kern w:val="0"/>
                <w:sz w:val="22"/>
                <w:szCs w:val="22"/>
                <w:highlight w:val="none"/>
                <w:u w:val="single"/>
                <w:lang w:val="en-US" w:eastAsia="zh-CN" w:bidi="ar-SA"/>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年（其中必须有2024年）获得纳税信用A级纳税人的，得2分。</w:t>
            </w:r>
          </w:p>
        </w:tc>
        <w:tc>
          <w:tcPr>
            <w:tcW w:w="3971" w:type="dxa"/>
            <w:vAlign w:val="center"/>
          </w:tcPr>
          <w:p w14:paraId="314B76ED">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1.必须提供企业纳税信用A级纳税人证明材料（或证书）彩色扫描件及国家税务总局（或省级电子税务局）网上查询截图彩色扫描件，否则不得分。</w:t>
            </w:r>
          </w:p>
          <w:p w14:paraId="49F80453">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2.只计算投标人自身（不计算投标人的分公司、子公司及分值机构）</w:t>
            </w:r>
          </w:p>
        </w:tc>
      </w:tr>
      <w:tr w14:paraId="0C0B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446" w:type="dxa"/>
            <w:vMerge w:val="continue"/>
            <w:vAlign w:val="center"/>
          </w:tcPr>
          <w:p w14:paraId="75762F80">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4" w:type="dxa"/>
            <w:vMerge w:val="continue"/>
            <w:vAlign w:val="center"/>
          </w:tcPr>
          <w:p w14:paraId="533D7711">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49" w:type="dxa"/>
            <w:vMerge w:val="continue"/>
            <w:vAlign w:val="center"/>
          </w:tcPr>
          <w:p w14:paraId="0DB5C4ED">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09" w:type="dxa"/>
            <w:gridSpan w:val="2"/>
            <w:vAlign w:val="center"/>
          </w:tcPr>
          <w:p w14:paraId="59C0942A">
            <w:pPr>
              <w:keepNext w:val="0"/>
              <w:keepLines w:val="0"/>
              <w:pageBreakBefore w:val="0"/>
              <w:kinsoku/>
              <w:overflowPunct/>
              <w:topLinePunct w:val="0"/>
              <w:autoSpaceDN/>
              <w:bidi w:val="0"/>
              <w:spacing w:line="360" w:lineRule="exact"/>
              <w:jc w:val="center"/>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14:textFill>
                  <w14:solidFill>
                    <w14:schemeClr w14:val="tx1"/>
                  </w14:solidFill>
                </w14:textFill>
              </w:rPr>
              <w:t>行业管理类</w:t>
            </w:r>
          </w:p>
          <w:p w14:paraId="1A70453E">
            <w:pPr>
              <w:keepNext w:val="0"/>
              <w:keepLines w:val="0"/>
              <w:pageBreakBefore w:val="0"/>
              <w:kinsoku/>
              <w:overflowPunct/>
              <w:topLinePunct w:val="0"/>
              <w:autoSpaceDN/>
              <w:bidi w:val="0"/>
              <w:spacing w:line="360" w:lineRule="exact"/>
              <w:jc w:val="center"/>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14:textFill>
                  <w14:solidFill>
                    <w14:schemeClr w14:val="tx1"/>
                  </w14:solidFill>
                </w14:textFill>
              </w:rPr>
              <w:t>（2分）</w:t>
            </w:r>
          </w:p>
        </w:tc>
        <w:tc>
          <w:tcPr>
            <w:tcW w:w="3869" w:type="dxa"/>
            <w:vAlign w:val="center"/>
          </w:tcPr>
          <w:p w14:paraId="061E7382">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近5年来（2021年1月1日至今）投标人未发生事故等级为一般事故及以上的生产安全事故、一般质量事故及以上的工程质量事故的，得2分。</w:t>
            </w:r>
          </w:p>
        </w:tc>
        <w:tc>
          <w:tcPr>
            <w:tcW w:w="3971" w:type="dxa"/>
            <w:vAlign w:val="center"/>
          </w:tcPr>
          <w:p w14:paraId="57909AE1">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1.需提供本单位承诺书（格式自定）并加盖本单位公章。</w:t>
            </w:r>
          </w:p>
          <w:p w14:paraId="668B075D">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default"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2"/>
                <w:szCs w:val="22"/>
                <w:highlight w:val="none"/>
                <w:lang w:val="en-US" w:eastAsia="zh-CN" w:bidi="ar-SA"/>
                <w14:textFill>
                  <w14:solidFill>
                    <w14:schemeClr w14:val="tx1"/>
                  </w14:solidFill>
                </w14:textFill>
              </w:rPr>
              <w:t>2.未提供本单位承诺书并加盖本单位公章的，不予得分。</w:t>
            </w:r>
          </w:p>
        </w:tc>
      </w:tr>
      <w:tr w14:paraId="34A8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6" w:type="dxa"/>
            <w:vMerge w:val="continue"/>
            <w:vAlign w:val="center"/>
          </w:tcPr>
          <w:p w14:paraId="34086E9C">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4" w:type="dxa"/>
            <w:vMerge w:val="continue"/>
            <w:vAlign w:val="center"/>
          </w:tcPr>
          <w:p w14:paraId="3C8AC9FD">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49" w:type="dxa"/>
            <w:vMerge w:val="restart"/>
            <w:vAlign w:val="center"/>
          </w:tcPr>
          <w:p w14:paraId="2B5950CA">
            <w:pPr>
              <w:widowControl/>
              <w:jc w:val="center"/>
              <w:rPr>
                <w:rFonts w:hint="eastAsia" w:asciiTheme="minorEastAsia" w:hAnsiTheme="minorEastAsia" w:eastAsiaTheme="minorEastAsia" w:cstheme="minorEastAsia"/>
                <w:color w:val="000000" w:themeColor="text1"/>
                <w:kern w:val="0"/>
                <w:sz w:val="22"/>
                <w:szCs w:val="22"/>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2"/>
                <w:szCs w:val="22"/>
                <w:highlight w:val="none"/>
                <w14:textFill>
                  <w14:solidFill>
                    <w14:schemeClr w14:val="tx1"/>
                  </w14:solidFill>
                </w14:textFill>
              </w:rPr>
              <w:t>设计企</w:t>
            </w:r>
            <w:r>
              <w:rPr>
                <w:rFonts w:hint="eastAsia" w:asciiTheme="minorEastAsia" w:hAnsiTheme="minorEastAsia" w:eastAsiaTheme="minorEastAsia" w:cstheme="minorEastAsia"/>
                <w:color w:val="000000" w:themeColor="text1"/>
                <w:kern w:val="0"/>
                <w:sz w:val="22"/>
                <w:szCs w:val="22"/>
                <w:highlight w:val="none"/>
                <w:lang w:val="en-US" w:eastAsia="zh-CN"/>
                <w14:textFill>
                  <w14:solidFill>
                    <w14:schemeClr w14:val="tx1"/>
                  </w14:solidFill>
                </w14:textFill>
              </w:rPr>
              <w:t>业</w:t>
            </w:r>
          </w:p>
          <w:p w14:paraId="3A308127">
            <w:pPr>
              <w:widowControl/>
              <w:jc w:val="center"/>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2"/>
                <w:szCs w:val="22"/>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sz w:val="22"/>
                <w:szCs w:val="22"/>
                <w:highlight w:val="none"/>
                <w:lang w:val="en-US" w:eastAsia="zh-CN"/>
                <w14:textFill>
                  <w14:solidFill>
                    <w14:schemeClr w14:val="tx1"/>
                  </w14:solidFill>
                </w14:textFill>
              </w:rPr>
              <w:t>27</w:t>
            </w:r>
            <w:r>
              <w:rPr>
                <w:rFonts w:hint="eastAsia" w:asciiTheme="minorEastAsia" w:hAnsiTheme="minorEastAsia" w:eastAsiaTheme="minorEastAsia" w:cstheme="minorEastAsia"/>
                <w:color w:val="000000" w:themeColor="text1"/>
                <w:kern w:val="0"/>
                <w:sz w:val="22"/>
                <w:szCs w:val="22"/>
                <w:highlight w:val="none"/>
                <w14:textFill>
                  <w14:solidFill>
                    <w14:schemeClr w14:val="tx1"/>
                  </w14:solidFill>
                </w14:textFill>
              </w:rPr>
              <w:t>分）</w:t>
            </w:r>
          </w:p>
        </w:tc>
        <w:tc>
          <w:tcPr>
            <w:tcW w:w="1109" w:type="dxa"/>
            <w:gridSpan w:val="2"/>
            <w:vAlign w:val="center"/>
          </w:tcPr>
          <w:p w14:paraId="3B7E0509">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设计</w:t>
            </w:r>
            <w:r>
              <w:rPr>
                <w:rFonts w:hint="eastAsia" w:ascii="宋体" w:hAnsi="宋体" w:eastAsia="宋体" w:cs="宋体"/>
                <w:color w:val="000000" w:themeColor="text1"/>
                <w:sz w:val="22"/>
                <w:szCs w:val="22"/>
                <w:highlight w:val="none"/>
                <w14:textFill>
                  <w14:solidFill>
                    <w14:schemeClr w14:val="tx1"/>
                  </w14:solidFill>
                </w14:textFill>
              </w:rPr>
              <w:t>企业</w:t>
            </w:r>
          </w:p>
          <w:p w14:paraId="77BCECBB">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奖项</w:t>
            </w:r>
          </w:p>
          <w:p w14:paraId="68407887">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分）</w:t>
            </w:r>
          </w:p>
        </w:tc>
        <w:tc>
          <w:tcPr>
            <w:tcW w:w="3869" w:type="dxa"/>
            <w:vAlign w:val="center"/>
          </w:tcPr>
          <w:p w14:paraId="2F7542B7">
            <w:pPr>
              <w:keepNext w:val="0"/>
              <w:keepLines w:val="0"/>
              <w:pageBreakBefore w:val="0"/>
              <w:kinsoku/>
              <w:overflowPunct/>
              <w:topLinePunct w:val="0"/>
              <w:autoSpaceDN/>
              <w:bidi w:val="0"/>
              <w:spacing w:line="360" w:lineRule="auto"/>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20</w:t>
            </w:r>
            <w:r>
              <w:rPr>
                <w:rFonts w:hint="eastAsia" w:ascii="宋体" w:hAnsi="宋体" w:cs="宋体" w:eastAsiaTheme="minorEastAsia"/>
                <w:color w:val="000000" w:themeColor="text1"/>
                <w:sz w:val="22"/>
                <w:szCs w:val="22"/>
                <w:highlight w:val="none"/>
                <w:lang w:val="en-US" w:eastAsia="zh-CN"/>
                <w14:textFill>
                  <w14:solidFill>
                    <w14:schemeClr w14:val="tx1"/>
                  </w14:solidFill>
                </w14:textFill>
              </w:rPr>
              <w:t>2</w:t>
            </w:r>
            <w:r>
              <w:rPr>
                <w:rFonts w:hint="eastAsia" w:hAnsi="宋体" w:cs="宋体" w:eastAsiaTheme="minorEastAsia"/>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年1月1日至今获得工程类优秀工程勘察设计奖</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市政</w:t>
            </w:r>
            <w:r>
              <w:rPr>
                <w:rFonts w:hint="eastAsia" w:hAnsi="宋体" w:eastAsia="宋体" w:cs="宋体"/>
                <w:color w:val="000000" w:themeColor="text1"/>
                <w:sz w:val="22"/>
                <w:szCs w:val="22"/>
                <w:highlight w:val="none"/>
                <w:u w:val="single"/>
                <w:lang w:val="en-US" w:eastAsia="zh-CN"/>
                <w14:textFill>
                  <w14:solidFill>
                    <w14:schemeClr w14:val="tx1"/>
                  </w14:solidFill>
                </w14:textFill>
              </w:rPr>
              <w:t>工程</w:t>
            </w:r>
            <w:r>
              <w:rPr>
                <w:rFonts w:hint="eastAsia" w:ascii="宋体" w:hAnsi="宋体" w:eastAsia="宋体" w:cs="宋体"/>
                <w:color w:val="000000" w:themeColor="text1"/>
                <w:sz w:val="22"/>
                <w:szCs w:val="22"/>
                <w:highlight w:val="none"/>
                <w:u w:val="single"/>
                <w:lang w:val="en-US" w:eastAsia="zh-CN"/>
                <w14:textFill>
                  <w14:solidFill>
                    <w14:schemeClr w14:val="tx1"/>
                  </w14:solidFill>
                </w14:textFill>
              </w:rPr>
              <w:t>类</w:t>
            </w:r>
            <w:r>
              <w:rPr>
                <w:rFonts w:hint="eastAsia" w:ascii="宋体" w:hAnsi="宋体" w:eastAsia="宋体" w:cs="宋体"/>
                <w:color w:val="000000" w:themeColor="text1"/>
                <w:sz w:val="22"/>
                <w:szCs w:val="22"/>
                <w:highlight w:val="none"/>
                <w14:textFill>
                  <w14:solidFill>
                    <w14:schemeClr w14:val="tx1"/>
                  </w14:solidFill>
                </w14:textFill>
              </w:rPr>
              <w:t>奖</w:t>
            </w:r>
            <w:r>
              <w:rPr>
                <w:rFonts w:hint="eastAsia" w:hAnsi="宋体" w:eastAsia="宋体" w:cs="宋体"/>
                <w:color w:val="000000" w:themeColor="text1"/>
                <w:sz w:val="22"/>
                <w:szCs w:val="22"/>
                <w:highlight w:val="none"/>
                <w:lang w:val="en-US" w:eastAsia="zh-CN"/>
                <w14:textFill>
                  <w14:solidFill>
                    <w14:schemeClr w14:val="tx1"/>
                  </w14:solidFill>
                </w14:textFill>
              </w:rPr>
              <w:t>项</w:t>
            </w:r>
            <w:r>
              <w:rPr>
                <w:rFonts w:hint="eastAsia" w:ascii="宋体" w:hAnsi="宋体" w:eastAsia="宋体" w:cs="宋体"/>
                <w:color w:val="000000" w:themeColor="text1"/>
                <w:sz w:val="22"/>
                <w:szCs w:val="22"/>
                <w:highlight w:val="none"/>
                <w14:textFill>
                  <w14:solidFill>
                    <w14:schemeClr w14:val="tx1"/>
                  </w14:solidFill>
                </w14:textFill>
              </w:rPr>
              <w:t>情况：</w:t>
            </w:r>
          </w:p>
          <w:p w14:paraId="2F44DE35">
            <w:pPr>
              <w:keepNext w:val="0"/>
              <w:keepLines w:val="0"/>
              <w:pageBreakBefore w:val="0"/>
              <w:kinsoku/>
              <w:overflowPunct/>
              <w:topLinePunct w:val="0"/>
              <w:autoSpaceDN/>
              <w:bidi w:val="0"/>
              <w:spacing w:line="360" w:lineRule="auto"/>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1.获得国家级奖项的，每项得</w:t>
            </w:r>
            <w:r>
              <w:rPr>
                <w:rFonts w:hint="eastAsia" w:ascii="宋体" w:hAnsi="宋体" w:eastAsia="宋体" w:cs="宋体"/>
                <w:color w:val="000000" w:themeColor="text1"/>
                <w:sz w:val="22"/>
                <w:szCs w:val="22"/>
                <w:highlight w:val="none"/>
                <w:lang w:val="en-US" w:eastAsia="zh-CN"/>
                <w14:textFill>
                  <w14:solidFill>
                    <w14:schemeClr w14:val="tx1"/>
                  </w14:solidFill>
                </w14:textFill>
              </w:rPr>
              <w:t>3</w:t>
            </w:r>
            <w:r>
              <w:rPr>
                <w:rFonts w:hint="eastAsia" w:ascii="宋体" w:hAnsi="宋体" w:eastAsia="宋体" w:cs="宋体"/>
                <w:color w:val="000000" w:themeColor="text1"/>
                <w:sz w:val="22"/>
                <w:szCs w:val="22"/>
                <w:highlight w:val="none"/>
                <w14:textFill>
                  <w14:solidFill>
                    <w14:schemeClr w14:val="tx1"/>
                  </w14:solidFill>
                </w14:textFill>
              </w:rPr>
              <w:t>分</w:t>
            </w:r>
          </w:p>
          <w:p w14:paraId="5C03A64C">
            <w:pPr>
              <w:keepNext w:val="0"/>
              <w:keepLines w:val="0"/>
              <w:pageBreakBefore w:val="0"/>
              <w:kinsoku/>
              <w:overflowPunct/>
              <w:topLinePunct w:val="0"/>
              <w:autoSpaceDN/>
              <w:bidi w:val="0"/>
              <w:spacing w:line="360" w:lineRule="auto"/>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2获得省级奖项的，每项得</w:t>
            </w:r>
            <w:r>
              <w:rPr>
                <w:rFonts w:hint="eastAsia" w:ascii="宋体" w:hAnsi="宋体" w:eastAsia="宋体" w:cs="宋体"/>
                <w:color w:val="000000" w:themeColor="text1"/>
                <w:sz w:val="22"/>
                <w:szCs w:val="22"/>
                <w:highlight w:val="none"/>
                <w:lang w:val="en-US" w:eastAsia="zh-CN"/>
                <w14:textFill>
                  <w14:solidFill>
                    <w14:schemeClr w14:val="tx1"/>
                  </w14:solidFill>
                </w14:textFill>
              </w:rPr>
              <w:t>2</w:t>
            </w:r>
            <w:r>
              <w:rPr>
                <w:rFonts w:hint="eastAsia" w:ascii="宋体" w:hAnsi="宋体" w:eastAsia="宋体" w:cs="宋体"/>
                <w:color w:val="000000" w:themeColor="text1"/>
                <w:sz w:val="22"/>
                <w:szCs w:val="22"/>
                <w:highlight w:val="none"/>
                <w14:textFill>
                  <w14:solidFill>
                    <w14:schemeClr w14:val="tx1"/>
                  </w14:solidFill>
                </w14:textFill>
              </w:rPr>
              <w:t>分；</w:t>
            </w:r>
          </w:p>
          <w:p w14:paraId="1DF555A0">
            <w:pPr>
              <w:keepNext w:val="0"/>
              <w:keepLines w:val="0"/>
              <w:pageBreakBefore w:val="0"/>
              <w:kinsoku/>
              <w:overflowPunct/>
              <w:topLinePunct w:val="0"/>
              <w:autoSpaceDN/>
              <w:bidi w:val="0"/>
              <w:spacing w:line="360" w:lineRule="auto"/>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3.获得地市级奖项的，每项得</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分；</w:t>
            </w:r>
          </w:p>
          <w:p w14:paraId="2DEE3E30">
            <w:pPr>
              <w:keepNext w:val="0"/>
              <w:keepLines w:val="0"/>
              <w:pageBreakBefore w:val="0"/>
              <w:kinsoku/>
              <w:overflowPunct/>
              <w:topLinePunct w:val="0"/>
              <w:autoSpaceDN/>
              <w:bidi w:val="0"/>
              <w:spacing w:line="360" w:lineRule="auto"/>
              <w:textAlignment w:val="auto"/>
              <w:rPr>
                <w:rFonts w:hint="eastAsia" w:ascii="宋体" w:hAnsi="宋体" w:eastAsia="宋体" w:cs="宋体"/>
                <w:snapToGrid w:val="0"/>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本项最高得</w:t>
            </w: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分。</w:t>
            </w:r>
          </w:p>
        </w:tc>
        <w:tc>
          <w:tcPr>
            <w:tcW w:w="3971" w:type="dxa"/>
            <w:vAlign w:val="center"/>
          </w:tcPr>
          <w:p w14:paraId="44A9D1BC">
            <w:pPr>
              <w:keepNext w:val="0"/>
              <w:keepLines w:val="0"/>
              <w:pageBreakBefore w:val="0"/>
              <w:widowControl w:val="0"/>
              <w:kinsoku/>
              <w:wordWrap w:val="0"/>
              <w:overflowPunct/>
              <w:topLinePunct w:val="0"/>
              <w:autoSpaceDE/>
              <w:autoSpaceDN/>
              <w:bidi w:val="0"/>
              <w:adjustRightInd w:val="0"/>
              <w:snapToGrid w:val="0"/>
              <w:spacing w:after="0" w:line="34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1.允许投标人提交多个业绩，但同一业绩只按最高级别奖项计分一次。</w:t>
            </w:r>
          </w:p>
          <w:p w14:paraId="4D87EA2E">
            <w:pPr>
              <w:keepNext w:val="0"/>
              <w:keepLines w:val="0"/>
              <w:pageBreakBefore w:val="0"/>
              <w:widowControl w:val="0"/>
              <w:kinsoku/>
              <w:wordWrap w:val="0"/>
              <w:overflowPunct/>
              <w:topLinePunct w:val="0"/>
              <w:autoSpaceDE/>
              <w:autoSpaceDN/>
              <w:bidi w:val="0"/>
              <w:adjustRightInd w:val="0"/>
              <w:snapToGrid w:val="0"/>
              <w:spacing w:after="0" w:line="34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2.需附有关奖项证明彩色扫描件并加盖投标人公章。</w:t>
            </w:r>
          </w:p>
          <w:p w14:paraId="5674C402">
            <w:pPr>
              <w:keepNext w:val="0"/>
              <w:keepLines w:val="0"/>
              <w:pageBreakBefore w:val="0"/>
              <w:widowControl w:val="0"/>
              <w:kinsoku/>
              <w:wordWrap w:val="0"/>
              <w:overflowPunct/>
              <w:topLinePunct w:val="0"/>
              <w:autoSpaceDE/>
              <w:autoSpaceDN/>
              <w:bidi w:val="0"/>
              <w:adjustRightInd w:val="0"/>
              <w:snapToGrid w:val="0"/>
              <w:spacing w:after="0" w:line="34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3．颁发机构限定以下范围：</w:t>
            </w:r>
          </w:p>
          <w:p w14:paraId="463A22ED">
            <w:pPr>
              <w:keepNext w:val="0"/>
              <w:keepLines w:val="0"/>
              <w:pageBreakBefore w:val="0"/>
              <w:widowControl w:val="0"/>
              <w:kinsoku/>
              <w:wordWrap w:val="0"/>
              <w:overflowPunct/>
              <w:topLinePunct w:val="0"/>
              <w:autoSpaceDE/>
              <w:autoSpaceDN/>
              <w:bidi w:val="0"/>
              <w:adjustRightInd w:val="0"/>
              <w:snapToGrid w:val="0"/>
              <w:spacing w:after="0" w:line="340" w:lineRule="exact"/>
              <w:jc w:val="both"/>
              <w:textAlignment w:val="auto"/>
              <w:rPr>
                <w:rFonts w:hint="eastAsia" w:ascii="宋体" w:hAnsi="宋体" w:eastAsia="宋体" w:cs="宋体"/>
                <w:b/>
                <w:bCs/>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①国家级奖项：</w:t>
            </w:r>
            <w:r>
              <w:rPr>
                <w:rFonts w:hint="eastAsia" w:ascii="宋体" w:hAnsi="宋体" w:eastAsia="宋体" w:cs="宋体"/>
                <w:snapToGrid w:val="0"/>
                <w:color w:val="000000" w:themeColor="text1"/>
                <w:kern w:val="0"/>
                <w:sz w:val="22"/>
                <w:szCs w:val="22"/>
                <w:highlight w:val="none"/>
                <w:u w:val="single"/>
                <w:lang w:val="en-US" w:eastAsia="zh-CN" w:bidi="ar-SA"/>
                <w14:textFill>
                  <w14:solidFill>
                    <w14:schemeClr w14:val="tx1"/>
                  </w14:solidFill>
                </w14:textFill>
              </w:rPr>
              <w:t>国务院、住建部、中国勘察设计协会或工程勘察设计行业协会、中国建筑业协会；</w:t>
            </w:r>
          </w:p>
          <w:p w14:paraId="62407E41">
            <w:pPr>
              <w:keepNext w:val="0"/>
              <w:keepLines w:val="0"/>
              <w:pageBreakBefore w:val="0"/>
              <w:widowControl w:val="0"/>
              <w:kinsoku/>
              <w:wordWrap w:val="0"/>
              <w:overflowPunct/>
              <w:topLinePunct w:val="0"/>
              <w:autoSpaceDE/>
              <w:autoSpaceDN/>
              <w:bidi w:val="0"/>
              <w:adjustRightInd w:val="0"/>
              <w:snapToGrid w:val="0"/>
              <w:spacing w:after="0" w:line="340" w:lineRule="exact"/>
              <w:jc w:val="both"/>
              <w:textAlignment w:val="auto"/>
              <w:rPr>
                <w:rFonts w:hint="eastAsia" w:ascii="宋体" w:hAnsi="宋体" w:eastAsia="宋体" w:cs="宋体"/>
                <w:snapToGrid w:val="0"/>
                <w:color w:val="000000" w:themeColor="text1"/>
                <w:kern w:val="0"/>
                <w:sz w:val="22"/>
                <w:szCs w:val="22"/>
                <w:highlight w:val="none"/>
                <w:u w:val="singl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②省级奖项：</w:t>
            </w:r>
            <w:r>
              <w:rPr>
                <w:rFonts w:hint="eastAsia" w:ascii="宋体" w:hAnsi="宋体" w:eastAsia="宋体" w:cs="宋体"/>
                <w:snapToGrid w:val="0"/>
                <w:color w:val="000000" w:themeColor="text1"/>
                <w:kern w:val="0"/>
                <w:sz w:val="22"/>
                <w:szCs w:val="22"/>
                <w:highlight w:val="none"/>
                <w:u w:val="single"/>
                <w:lang w:val="en-US" w:eastAsia="zh-CN" w:bidi="ar-SA"/>
                <w14:textFill>
                  <w14:solidFill>
                    <w14:schemeClr w14:val="tx1"/>
                  </w14:solidFill>
                </w14:textFill>
              </w:rPr>
              <w:t>省级人民政府、省级住建部门、省级勘察设计协会或工程勘察设计行业协会、省级建筑业协会；</w:t>
            </w:r>
          </w:p>
          <w:p w14:paraId="096C5D92">
            <w:pPr>
              <w:keepNext w:val="0"/>
              <w:keepLines w:val="0"/>
              <w:pageBreakBefore w:val="0"/>
              <w:widowControl w:val="0"/>
              <w:kinsoku/>
              <w:wordWrap w:val="0"/>
              <w:overflowPunct/>
              <w:topLinePunct w:val="0"/>
              <w:autoSpaceDE/>
              <w:autoSpaceDN/>
              <w:bidi w:val="0"/>
              <w:adjustRightInd w:val="0"/>
              <w:snapToGrid w:val="0"/>
              <w:spacing w:after="0" w:line="34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③地市级奖项：</w:t>
            </w:r>
            <w:r>
              <w:rPr>
                <w:rFonts w:hint="eastAsia" w:ascii="宋体" w:hAnsi="宋体" w:eastAsia="宋体" w:cs="宋体"/>
                <w:snapToGrid w:val="0"/>
                <w:color w:val="000000" w:themeColor="text1"/>
                <w:kern w:val="0"/>
                <w:sz w:val="22"/>
                <w:szCs w:val="22"/>
                <w:highlight w:val="none"/>
                <w:u w:val="single"/>
                <w:lang w:val="en-US" w:eastAsia="zh-CN" w:bidi="ar-SA"/>
                <w14:textFill>
                  <w14:solidFill>
                    <w14:schemeClr w14:val="tx1"/>
                  </w14:solidFill>
                </w14:textFill>
              </w:rPr>
              <w:t xml:space="preserve"> 地市级人民政府、地市级勘察设计协会或工程勘察设计行业协会、地市级建筑协会</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w:t>
            </w:r>
          </w:p>
          <w:p w14:paraId="18DD14A0">
            <w:pPr>
              <w:keepNext w:val="0"/>
              <w:keepLines w:val="0"/>
              <w:pageBreakBefore w:val="0"/>
              <w:widowControl w:val="0"/>
              <w:kinsoku/>
              <w:wordWrap w:val="0"/>
              <w:overflowPunct/>
              <w:topLinePunct w:val="0"/>
              <w:autoSpaceDE/>
              <w:autoSpaceDN/>
              <w:bidi w:val="0"/>
              <w:adjustRightInd w:val="0"/>
              <w:snapToGrid w:val="0"/>
              <w:spacing w:after="0" w:line="34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4．获奖时间以奖项证明的落款日期为准。</w:t>
            </w:r>
          </w:p>
          <w:p w14:paraId="43668F62">
            <w:pPr>
              <w:keepNext w:val="0"/>
              <w:keepLines w:val="0"/>
              <w:pageBreakBefore w:val="0"/>
              <w:widowControl w:val="0"/>
              <w:kinsoku/>
              <w:wordWrap w:val="0"/>
              <w:overflowPunct/>
              <w:topLinePunct w:val="0"/>
              <w:autoSpaceDE/>
              <w:autoSpaceDN/>
              <w:bidi w:val="0"/>
              <w:adjustRightInd w:val="0"/>
              <w:snapToGrid w:val="0"/>
              <w:spacing w:after="0" w:line="34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5．任一奖项有以下情形之一的，该奖项视为无效，不予计分：</w:t>
            </w:r>
          </w:p>
          <w:p w14:paraId="0AF4E343">
            <w:pPr>
              <w:keepNext w:val="0"/>
              <w:keepLines w:val="0"/>
              <w:pageBreakBefore w:val="0"/>
              <w:widowControl w:val="0"/>
              <w:kinsoku/>
              <w:overflowPunct/>
              <w:topLinePunct w:val="0"/>
              <w:autoSpaceDE/>
              <w:autoSpaceDN/>
              <w:bidi w:val="0"/>
              <w:spacing w:line="34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snapToGrid w:val="0"/>
                <w:color w:val="000000" w:themeColor="text1"/>
                <w:kern w:val="0"/>
                <w:sz w:val="22"/>
                <w:szCs w:val="22"/>
                <w:highlight w:val="none"/>
                <w14:textFill>
                  <w14:solidFill>
                    <w14:schemeClr w14:val="tx1"/>
                  </w14:solidFill>
                </w14:textFill>
              </w:rPr>
              <w:t>①奖项不属于指定类别的；</w:t>
            </w:r>
          </w:p>
          <w:p w14:paraId="133CDBE3">
            <w:pPr>
              <w:keepNext w:val="0"/>
              <w:keepLines w:val="0"/>
              <w:pageBreakBefore w:val="0"/>
              <w:widowControl w:val="0"/>
              <w:kinsoku/>
              <w:wordWrap w:val="0"/>
              <w:overflowPunct/>
              <w:topLinePunct w:val="0"/>
              <w:autoSpaceDE/>
              <w:autoSpaceDN/>
              <w:bidi w:val="0"/>
              <w:adjustRightInd w:val="0"/>
              <w:snapToGrid w:val="0"/>
              <w:spacing w:after="0" w:line="34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②颁发机构不符合要求的；</w:t>
            </w:r>
          </w:p>
          <w:p w14:paraId="5D3CFB51">
            <w:pPr>
              <w:keepNext w:val="0"/>
              <w:keepLines w:val="0"/>
              <w:pageBreakBefore w:val="0"/>
              <w:widowControl w:val="0"/>
              <w:kinsoku/>
              <w:wordWrap w:val="0"/>
              <w:overflowPunct/>
              <w:topLinePunct w:val="0"/>
              <w:autoSpaceDE/>
              <w:autoSpaceDN/>
              <w:bidi w:val="0"/>
              <w:adjustRightInd w:val="0"/>
              <w:snapToGrid w:val="0"/>
              <w:spacing w:after="0" w:line="34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③获奖时间不符合要求的。</w:t>
            </w:r>
          </w:p>
        </w:tc>
      </w:tr>
      <w:tr w14:paraId="2A26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7" w:hRule="atLeast"/>
          <w:jc w:val="center"/>
        </w:trPr>
        <w:tc>
          <w:tcPr>
            <w:tcW w:w="446" w:type="dxa"/>
            <w:vMerge w:val="continue"/>
            <w:vAlign w:val="center"/>
          </w:tcPr>
          <w:p w14:paraId="3959F9A5">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4" w:type="dxa"/>
            <w:vMerge w:val="continue"/>
            <w:vAlign w:val="center"/>
          </w:tcPr>
          <w:p w14:paraId="6A30FB96">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49" w:type="dxa"/>
            <w:vMerge w:val="continue"/>
            <w:vAlign w:val="center"/>
          </w:tcPr>
          <w:p w14:paraId="18F30886">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09" w:type="dxa"/>
            <w:gridSpan w:val="2"/>
            <w:vAlign w:val="center"/>
          </w:tcPr>
          <w:p w14:paraId="3D2C5E79">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设计</w:t>
            </w:r>
            <w:r>
              <w:rPr>
                <w:rFonts w:hint="eastAsia" w:ascii="宋体" w:hAnsi="宋体" w:eastAsia="宋体" w:cs="宋体"/>
                <w:color w:val="000000" w:themeColor="text1"/>
                <w:sz w:val="22"/>
                <w:szCs w:val="22"/>
                <w:highlight w:val="none"/>
                <w14:textFill>
                  <w14:solidFill>
                    <w14:schemeClr w14:val="tx1"/>
                  </w14:solidFill>
                </w14:textFill>
              </w:rPr>
              <w:t>企业</w:t>
            </w:r>
          </w:p>
          <w:p w14:paraId="088587C8">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业绩</w:t>
            </w:r>
          </w:p>
          <w:p w14:paraId="48DDCA1A">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分）</w:t>
            </w:r>
          </w:p>
        </w:tc>
        <w:tc>
          <w:tcPr>
            <w:tcW w:w="3869" w:type="dxa"/>
            <w:vAlign w:val="center"/>
          </w:tcPr>
          <w:p w14:paraId="276D6798">
            <w:pPr>
              <w:pStyle w:val="79"/>
              <w:keepNext w:val="0"/>
              <w:keepLines w:val="0"/>
              <w:pageBreakBefore w:val="0"/>
              <w:kinsoku/>
              <w:overflowPunct/>
              <w:topLinePunct w:val="0"/>
              <w:autoSpaceDN/>
              <w:bidi w:val="0"/>
              <w:spacing w:before="63" w:line="360" w:lineRule="exact"/>
              <w:ind w:right="28"/>
              <w:jc w:val="left"/>
              <w:textAlignment w:val="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cs="宋体"/>
                <w:color w:val="000000" w:themeColor="text1"/>
                <w:sz w:val="22"/>
                <w:szCs w:val="22"/>
                <w:highlight w:val="none"/>
                <w:lang w:val="en-US" w:eastAsia="zh-CN"/>
                <w14:textFill>
                  <w14:solidFill>
                    <w14:schemeClr w14:val="tx1"/>
                  </w14:solidFill>
                </w14:textFill>
              </w:rPr>
              <w:t>企业近5年来（2021</w:t>
            </w:r>
            <w:r>
              <w:rPr>
                <w:rFonts w:hint="eastAsia" w:ascii="宋体" w:hAnsi="宋体" w:eastAsia="宋体" w:cs="宋体"/>
                <w:color w:val="000000" w:themeColor="text1"/>
                <w:sz w:val="22"/>
                <w:szCs w:val="22"/>
                <w:highlight w:val="none"/>
                <w:lang w:eastAsia="zh-CN"/>
                <w14:textFill>
                  <w14:solidFill>
                    <w14:schemeClr w14:val="tx1"/>
                  </w14:solidFill>
                </w14:textFill>
              </w:rPr>
              <w:t>年1月1日至今</w:t>
            </w:r>
            <w:r>
              <w:rPr>
                <w:rFonts w:hint="eastAsia" w:cs="宋体"/>
                <w:color w:val="000000" w:themeColor="text1"/>
                <w:sz w:val="22"/>
                <w:szCs w:val="22"/>
                <w:highlight w:val="none"/>
                <w:lang w:val="en-US" w:eastAsia="zh-CN"/>
                <w14:textFill>
                  <w14:solidFill>
                    <w14:schemeClr w14:val="tx1"/>
                  </w14:solidFill>
                </w14:textFill>
              </w:rPr>
              <w:t>）</w:t>
            </w:r>
            <w:r>
              <w:rPr>
                <w:rFonts w:hint="eastAsia" w:ascii="宋体" w:hAnsi="宋体" w:eastAsia="宋体" w:cs="宋体"/>
                <w:color w:val="000000" w:themeColor="text1"/>
                <w:sz w:val="22"/>
                <w:szCs w:val="22"/>
                <w:highlight w:val="none"/>
                <w:lang w:eastAsia="zh-CN"/>
                <w14:textFill>
                  <w14:solidFill>
                    <w14:schemeClr w14:val="tx1"/>
                  </w14:solidFill>
                </w14:textFill>
              </w:rPr>
              <w:t>业绩情况：</w:t>
            </w:r>
          </w:p>
          <w:p w14:paraId="0C3F6C2B">
            <w:pPr>
              <w:pStyle w:val="79"/>
              <w:keepNext w:val="0"/>
              <w:keepLines w:val="0"/>
              <w:pageBreakBefore w:val="0"/>
              <w:kinsoku/>
              <w:overflowPunct/>
              <w:topLinePunct w:val="0"/>
              <w:autoSpaceDN/>
              <w:bidi w:val="0"/>
              <w:spacing w:before="63" w:line="360" w:lineRule="exact"/>
              <w:ind w:right="28"/>
              <w:jc w:val="left"/>
              <w:textAlignment w:val="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lang w:eastAsia="zh-CN"/>
                <w14:textFill>
                  <w14:solidFill>
                    <w14:schemeClr w14:val="tx1"/>
                  </w14:solidFill>
                </w14:textFill>
              </w:rPr>
              <w:t>1.</w:t>
            </w:r>
            <w:r>
              <w:rPr>
                <w:rFonts w:hint="eastAsia" w:ascii="宋体" w:hAnsi="宋体" w:eastAsia="宋体" w:cs="宋体"/>
                <w:color w:val="000000" w:themeColor="text1"/>
                <w:sz w:val="22"/>
                <w:szCs w:val="22"/>
                <w:highlight w:val="none"/>
                <w:u w:val="single"/>
                <w:lang w:eastAsia="zh-CN"/>
                <w14:textFill>
                  <w14:solidFill>
                    <w14:schemeClr w14:val="tx1"/>
                  </w14:solidFill>
                </w14:textFill>
              </w:rPr>
              <w:t>承接</w:t>
            </w:r>
            <w:r>
              <w:rPr>
                <w:rFonts w:hint="eastAsia" w:ascii="宋体" w:hAnsi="宋体" w:eastAsia="宋体" w:cs="宋体"/>
                <w:color w:val="000000" w:themeColor="text1"/>
                <w:sz w:val="22"/>
                <w:szCs w:val="22"/>
                <w:highlight w:val="none"/>
                <w:lang w:eastAsia="zh-CN"/>
                <w14:textFill>
                  <w14:solidFill>
                    <w14:schemeClr w14:val="tx1"/>
                  </w14:solidFill>
                </w14:textFill>
              </w:rPr>
              <w:t>过类似项目的，每个得</w:t>
            </w:r>
            <w:r>
              <w:rPr>
                <w:rFonts w:hint="eastAsia" w:cs="宋体"/>
                <w:color w:val="000000" w:themeColor="text1"/>
                <w:sz w:val="22"/>
                <w:szCs w:val="22"/>
                <w:highlight w:val="none"/>
                <w:lang w:val="en-US" w:eastAsia="zh-CN"/>
                <w14:textFill>
                  <w14:solidFill>
                    <w14:schemeClr w14:val="tx1"/>
                  </w14:solidFill>
                </w14:textFill>
              </w:rPr>
              <w:t>2.5</w:t>
            </w:r>
            <w:r>
              <w:rPr>
                <w:rFonts w:hint="eastAsia" w:ascii="宋体" w:hAnsi="宋体" w:eastAsia="宋体" w:cs="宋体"/>
                <w:color w:val="000000" w:themeColor="text1"/>
                <w:sz w:val="22"/>
                <w:szCs w:val="22"/>
                <w:highlight w:val="none"/>
                <w:lang w:eastAsia="zh-CN"/>
                <w14:textFill>
                  <w14:solidFill>
                    <w14:schemeClr w14:val="tx1"/>
                  </w14:solidFill>
                </w14:textFill>
              </w:rPr>
              <w:t>分。</w:t>
            </w:r>
          </w:p>
          <w:p w14:paraId="6D8FC94C">
            <w:pPr>
              <w:pStyle w:val="79"/>
              <w:keepNext w:val="0"/>
              <w:keepLines w:val="0"/>
              <w:pageBreakBefore w:val="0"/>
              <w:kinsoku/>
              <w:overflowPunct/>
              <w:topLinePunct w:val="0"/>
              <w:autoSpaceDN/>
              <w:bidi w:val="0"/>
              <w:spacing w:before="63" w:line="360" w:lineRule="exact"/>
              <w:ind w:right="28"/>
              <w:jc w:val="left"/>
              <w:textAlignment w:val="auto"/>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sz w:val="22"/>
                <w:szCs w:val="22"/>
                <w:highlight w:val="none"/>
                <w:lang w:eastAsia="zh-CN"/>
                <w14:textFill>
                  <w14:solidFill>
                    <w14:schemeClr w14:val="tx1"/>
                  </w14:solidFill>
                </w14:textFill>
              </w:rPr>
              <w:t>2．未</w:t>
            </w:r>
            <w:r>
              <w:rPr>
                <w:rFonts w:hint="eastAsia" w:ascii="宋体" w:hAnsi="宋体" w:eastAsia="宋体" w:cs="宋体"/>
                <w:color w:val="000000" w:themeColor="text1"/>
                <w:sz w:val="22"/>
                <w:szCs w:val="22"/>
                <w:highlight w:val="none"/>
                <w:u w:val="single"/>
                <w:lang w:eastAsia="zh-CN"/>
                <w14:textFill>
                  <w14:solidFill>
                    <w14:schemeClr w14:val="tx1"/>
                  </w14:solidFill>
                </w14:textFill>
              </w:rPr>
              <w:t>承接</w:t>
            </w:r>
            <w:r>
              <w:rPr>
                <w:rFonts w:hint="eastAsia" w:ascii="宋体" w:hAnsi="宋体" w:eastAsia="宋体" w:cs="宋体"/>
                <w:color w:val="000000" w:themeColor="text1"/>
                <w:sz w:val="22"/>
                <w:szCs w:val="22"/>
                <w:highlight w:val="none"/>
                <w:lang w:eastAsia="zh-CN"/>
                <w14:textFill>
                  <w14:solidFill>
                    <w14:schemeClr w14:val="tx1"/>
                  </w14:solidFill>
                </w14:textFill>
              </w:rPr>
              <w:t>过类似项目的，不予计分。</w:t>
            </w:r>
          </w:p>
          <w:p w14:paraId="035A67FE">
            <w:pPr>
              <w:pStyle w:val="79"/>
              <w:keepNext w:val="0"/>
              <w:keepLines w:val="0"/>
              <w:pageBreakBefore w:val="0"/>
              <w:kinsoku/>
              <w:overflowPunct/>
              <w:topLinePunct w:val="0"/>
              <w:autoSpaceDN/>
              <w:bidi w:val="0"/>
              <w:spacing w:before="63" w:line="360" w:lineRule="exact"/>
              <w:ind w:right="28" w:rightChars="0"/>
              <w:jc w:val="left"/>
              <w:textAlignment w:val="auto"/>
              <w:rPr>
                <w:rFonts w:hint="eastAsia" w:ascii="宋体" w:hAnsi="宋体" w:eastAsia="宋体" w:cs="宋体"/>
                <w:snapToGrid w:val="0"/>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本项最高得</w:t>
            </w:r>
            <w:r>
              <w:rPr>
                <w:rFonts w:hint="eastAsia"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分。</w:t>
            </w:r>
          </w:p>
        </w:tc>
        <w:tc>
          <w:tcPr>
            <w:tcW w:w="3971" w:type="dxa"/>
            <w:vAlign w:val="center"/>
          </w:tcPr>
          <w:p w14:paraId="45DB9080">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1．类似项目指：</w:t>
            </w:r>
            <w:r>
              <w:rPr>
                <w:rFonts w:hint="eastAsia" w:ascii="宋体" w:hAnsi="宋体" w:eastAsia="宋体" w:cs="宋体"/>
                <w:snapToGrid w:val="0"/>
                <w:color w:val="000000" w:themeColor="text1"/>
                <w:kern w:val="0"/>
                <w:sz w:val="22"/>
                <w:szCs w:val="22"/>
                <w:highlight w:val="none"/>
                <w:u w:val="single"/>
                <w:lang w:val="en-US" w:eastAsia="zh-CN" w:bidi="ar-SA"/>
                <w14:textFill>
                  <w14:solidFill>
                    <w14:schemeClr w14:val="tx1"/>
                  </w14:solidFill>
                </w14:textFill>
              </w:rPr>
              <w:t>市政工程类项目</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（含设计，勘察设计，勘察设计施工总承包项目、业绩成果）。</w:t>
            </w:r>
          </w:p>
          <w:p w14:paraId="0148F5D4">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2．需附有关业绩合同协议书关键页或中标通知书彩色扫描件，并加盖投标人公章。</w:t>
            </w:r>
          </w:p>
          <w:p w14:paraId="3C58D67C">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3．业绩时间以中标通知书或合同协议书为准。</w:t>
            </w:r>
          </w:p>
          <w:p w14:paraId="2F3807A7">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4．任一业绩有以下情形之一的，该业绩视为无效，不予计分：</w:t>
            </w:r>
          </w:p>
          <w:p w14:paraId="23B76BDC">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①业绩不属于类似工程的；</w:t>
            </w:r>
          </w:p>
          <w:p w14:paraId="071A5C77">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②业绩时间不符合要求的。</w:t>
            </w:r>
          </w:p>
        </w:tc>
      </w:tr>
      <w:tr w14:paraId="19EB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446" w:type="dxa"/>
            <w:vMerge w:val="continue"/>
            <w:vAlign w:val="center"/>
          </w:tcPr>
          <w:p w14:paraId="034ABE90">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4" w:type="dxa"/>
            <w:vMerge w:val="continue"/>
            <w:vAlign w:val="center"/>
          </w:tcPr>
          <w:p w14:paraId="62483175">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49" w:type="dxa"/>
            <w:vMerge w:val="continue"/>
            <w:vAlign w:val="center"/>
          </w:tcPr>
          <w:p w14:paraId="3AD3F7E8">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09" w:type="dxa"/>
            <w:gridSpan w:val="2"/>
            <w:vAlign w:val="center"/>
          </w:tcPr>
          <w:p w14:paraId="5E3CDC08">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设计负责人综合素质</w:t>
            </w:r>
          </w:p>
          <w:p w14:paraId="43C5EE27">
            <w:pPr>
              <w:keepNext w:val="0"/>
              <w:keepLines w:val="0"/>
              <w:pageBreakBefore w:val="0"/>
              <w:kinsoku/>
              <w:overflowPunct/>
              <w:topLinePunct w:val="0"/>
              <w:autoSpaceDN/>
              <w:bidi w:val="0"/>
              <w:spacing w:line="360" w:lineRule="exact"/>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w:t>
            </w:r>
            <w:r>
              <w:rPr>
                <w:rFonts w:hint="eastAsia" w:hAnsi="宋体" w:eastAsia="宋体" w:cs="宋体"/>
                <w:color w:val="000000" w:themeColor="text1"/>
                <w:kern w:val="2"/>
                <w:sz w:val="22"/>
                <w:szCs w:val="22"/>
                <w:highlight w:val="none"/>
                <w:lang w:val="en-US" w:eastAsia="zh-CN" w:bidi="ar-SA"/>
                <w14:textFill>
                  <w14:solidFill>
                    <w14:schemeClr w14:val="tx1"/>
                  </w14:solidFill>
                </w14:textFill>
              </w:rPr>
              <w:t>4</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分）</w:t>
            </w:r>
          </w:p>
        </w:tc>
        <w:tc>
          <w:tcPr>
            <w:tcW w:w="3869" w:type="dxa"/>
            <w:vAlign w:val="center"/>
          </w:tcPr>
          <w:p w14:paraId="4D621F6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1.同时具有注册土木工程师（道路工程）及高级</w:t>
            </w:r>
            <w:r>
              <w:rPr>
                <w:rFonts w:hint="eastAsia" w:hAnsi="宋体" w:eastAsia="宋体" w:cs="宋体"/>
                <w:color w:val="000000" w:themeColor="text1"/>
                <w:kern w:val="2"/>
                <w:sz w:val="22"/>
                <w:szCs w:val="22"/>
                <w:highlight w:val="none"/>
                <w:lang w:val="en-US" w:eastAsia="zh-CN" w:bidi="ar-SA"/>
                <w14:textFill>
                  <w14:solidFill>
                    <w14:schemeClr w14:val="tx1"/>
                  </w14:solidFill>
                </w14:textFill>
              </w:rPr>
              <w:t>工程师</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（或以上）</w:t>
            </w:r>
            <w:r>
              <w:rPr>
                <w:rFonts w:hint="eastAsia" w:hAnsi="宋体" w:eastAsia="宋体" w:cs="宋体"/>
                <w:color w:val="000000" w:themeColor="text1"/>
                <w:kern w:val="2"/>
                <w:sz w:val="22"/>
                <w:szCs w:val="22"/>
                <w:highlight w:val="none"/>
                <w:lang w:val="en-US" w:eastAsia="zh-CN" w:bidi="ar-SA"/>
                <w14:textFill>
                  <w14:solidFill>
                    <w14:schemeClr w14:val="tx1"/>
                  </w14:solidFill>
                </w14:textFill>
              </w:rPr>
              <w:t>技术</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职称</w:t>
            </w:r>
            <w:r>
              <w:rPr>
                <w:rFonts w:hint="eastAsia" w:hAnsi="宋体" w:eastAsia="宋体" w:cs="宋体"/>
                <w:color w:val="000000" w:themeColor="text1"/>
                <w:kern w:val="2"/>
                <w:sz w:val="22"/>
                <w:szCs w:val="22"/>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得</w:t>
            </w:r>
            <w:r>
              <w:rPr>
                <w:rFonts w:hint="eastAsia" w:hAnsi="宋体" w:eastAsia="宋体" w:cs="宋体"/>
                <w:color w:val="000000" w:themeColor="text1"/>
                <w:kern w:val="2"/>
                <w:sz w:val="22"/>
                <w:szCs w:val="22"/>
                <w:highlight w:val="none"/>
                <w:lang w:val="en-US" w:eastAsia="zh-CN" w:bidi="ar-SA"/>
                <w14:textFill>
                  <w14:solidFill>
                    <w14:schemeClr w14:val="tx1"/>
                  </w14:solidFill>
                </w14:textFill>
              </w:rPr>
              <w:t>4</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分。</w:t>
            </w:r>
          </w:p>
          <w:p w14:paraId="771FE4E0">
            <w:pPr>
              <w:pStyle w:val="79"/>
              <w:keepNext w:val="0"/>
              <w:keepLines w:val="0"/>
              <w:pageBreakBefore w:val="0"/>
              <w:kinsoku/>
              <w:overflowPunct/>
              <w:topLinePunct w:val="0"/>
              <w:autoSpaceDN/>
              <w:bidi w:val="0"/>
              <w:spacing w:before="63" w:line="360" w:lineRule="exact"/>
              <w:ind w:right="28" w:rightChars="0"/>
              <w:jc w:val="left"/>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cs="宋体"/>
                <w:color w:val="000000" w:themeColor="text1"/>
                <w:kern w:val="2"/>
                <w:sz w:val="22"/>
                <w:szCs w:val="22"/>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本项最高得</w:t>
            </w:r>
            <w:r>
              <w:rPr>
                <w:rFonts w:hint="eastAsia" w:cs="宋体"/>
                <w:color w:val="000000" w:themeColor="text1"/>
                <w:kern w:val="2"/>
                <w:sz w:val="22"/>
                <w:szCs w:val="22"/>
                <w:highlight w:val="none"/>
                <w:lang w:val="en-US" w:eastAsia="zh-CN" w:bidi="ar-SA"/>
                <w14:textFill>
                  <w14:solidFill>
                    <w14:schemeClr w14:val="tx1"/>
                  </w14:solidFill>
                </w14:textFill>
              </w:rPr>
              <w:t>4</w:t>
            </w:r>
            <w:r>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t>分。</w:t>
            </w:r>
          </w:p>
        </w:tc>
        <w:tc>
          <w:tcPr>
            <w:tcW w:w="3971" w:type="dxa"/>
            <w:vAlign w:val="top"/>
          </w:tcPr>
          <w:p w14:paraId="794406EE">
            <w:pPr>
              <w:keepNext w:val="0"/>
              <w:keepLines w:val="0"/>
              <w:pageBreakBefore w:val="0"/>
              <w:widowControl w:val="0"/>
              <w:kinsoku/>
              <w:wordWrap w:val="0"/>
              <w:overflowPunct/>
              <w:topLinePunct w:val="0"/>
              <w:autoSpaceDE/>
              <w:autoSpaceDN/>
              <w:bidi w:val="0"/>
              <w:adjustRightInd w:val="0"/>
              <w:snapToGrid w:val="0"/>
              <w:spacing w:after="0" w:line="34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1.需附</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证书彩色扫描件</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（或电子</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打印件</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）并加盖投标人公章。</w:t>
            </w:r>
          </w:p>
          <w:p w14:paraId="10D7BB77">
            <w:pPr>
              <w:keepNext w:val="0"/>
              <w:keepLines w:val="0"/>
              <w:pageBreakBefore w:val="0"/>
              <w:widowControl w:val="0"/>
              <w:kinsoku/>
              <w:wordWrap w:val="0"/>
              <w:overflowPunct/>
              <w:topLinePunct w:val="0"/>
              <w:autoSpaceDE/>
              <w:autoSpaceDN/>
              <w:bidi w:val="0"/>
              <w:adjustRightInd w:val="0"/>
              <w:snapToGrid w:val="0"/>
              <w:spacing w:after="0" w:line="34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2.需提供</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设计负责人</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在本单位缴纳近三个月社保的证明（其中必须有202</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6</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年</w:t>
            </w:r>
            <w:r>
              <w:rPr>
                <w:rFonts w:hint="eastAsia" w:ascii="宋体" w:hAnsi="宋体" w:cs="宋体" w:eastAsiaTheme="minorEastAsia"/>
                <w:snapToGrid w:val="0"/>
                <w:color w:val="000000" w:themeColor="text1"/>
                <w:kern w:val="0"/>
                <w:sz w:val="22"/>
                <w:szCs w:val="22"/>
                <w:highlight w:val="none"/>
                <w:lang w:val="en-US" w:eastAsia="zh-CN" w:bidi="ar-SA"/>
                <w14:textFill>
                  <w14:solidFill>
                    <w14:schemeClr w14:val="tx1"/>
                  </w14:solidFill>
                </w14:textFill>
              </w:rPr>
              <w:t>0</w:t>
            </w:r>
            <w:r>
              <w:rPr>
                <w:rFonts w:hint="eastAsia" w:hAnsi="宋体" w:cs="宋体" w:eastAsiaTheme="minorEastAsia"/>
                <w:snapToGrid w:val="0"/>
                <w:color w:val="000000" w:themeColor="text1"/>
                <w:kern w:val="0"/>
                <w:sz w:val="22"/>
                <w:szCs w:val="22"/>
                <w:highlight w:val="none"/>
                <w:lang w:val="en-US" w:eastAsia="zh-CN" w:bidi="ar-SA"/>
                <w14:textFill>
                  <w14:solidFill>
                    <w14:schemeClr w14:val="tx1"/>
                  </w14:solidFill>
                </w14:textFill>
              </w:rPr>
              <w:t>2</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月）</w:t>
            </w:r>
            <w:r>
              <w:rPr>
                <w:rFonts w:hint="eastAsia" w:ascii="宋体" w:hAnsi="宋体" w:eastAsia="宋体" w:cs="宋体"/>
                <w:snapToGrid w:val="0"/>
                <w:color w:val="000000" w:themeColor="text1"/>
                <w:kern w:val="0"/>
                <w:sz w:val="22"/>
                <w:szCs w:val="22"/>
                <w:highlight w:val="none"/>
                <w14:textFill>
                  <w14:solidFill>
                    <w14:schemeClr w14:val="tx1"/>
                  </w14:solidFill>
                </w14:textFill>
              </w:rPr>
              <w:t>彩色扫描件</w:t>
            </w:r>
            <w:r>
              <w:rPr>
                <w:rFonts w:hint="eastAsia" w:hAnsi="宋体" w:eastAsia="宋体" w:cs="宋体"/>
                <w:snapToGrid w:val="0"/>
                <w:color w:val="000000" w:themeColor="text1"/>
                <w:kern w:val="0"/>
                <w:sz w:val="22"/>
                <w:szCs w:val="22"/>
                <w:highlight w:val="none"/>
                <w:lang w:eastAsia="zh-CN"/>
                <w14:textFill>
                  <w14:solidFill>
                    <w14:schemeClr w14:val="tx1"/>
                  </w14:solidFill>
                </w14:textFill>
              </w:rPr>
              <w:t>（</w:t>
            </w:r>
            <w:r>
              <w:rPr>
                <w:rFonts w:hint="eastAsia" w:hAnsi="宋体" w:eastAsia="宋体" w:cs="宋体"/>
                <w:snapToGrid w:val="0"/>
                <w:color w:val="000000" w:themeColor="text1"/>
                <w:kern w:val="0"/>
                <w:sz w:val="22"/>
                <w:szCs w:val="22"/>
                <w:highlight w:val="none"/>
                <w:lang w:val="en-US" w:eastAsia="zh-CN"/>
                <w14:textFill>
                  <w14:solidFill>
                    <w14:schemeClr w14:val="tx1"/>
                  </w14:solidFill>
                </w14:textFill>
              </w:rPr>
              <w:t>或打印件</w:t>
            </w:r>
            <w:r>
              <w:rPr>
                <w:rFonts w:hint="eastAsia" w:hAnsi="宋体" w:eastAsia="宋体" w:cs="宋体"/>
                <w:snapToGrid w:val="0"/>
                <w:color w:val="000000" w:themeColor="text1"/>
                <w:kern w:val="0"/>
                <w:sz w:val="22"/>
                <w:szCs w:val="22"/>
                <w:highlight w:val="none"/>
                <w:lang w:eastAsia="zh-CN"/>
                <w14:textFill>
                  <w14:solidFill>
                    <w14:schemeClr w14:val="tx1"/>
                  </w14:solidFill>
                </w14:textFill>
              </w:rPr>
              <w:t>）</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若是退休人员需提供退休证和返聘合同（协议）彩色扫描件。</w:t>
            </w:r>
          </w:p>
          <w:p w14:paraId="6822F484">
            <w:pPr>
              <w:pStyle w:val="2"/>
              <w:rPr>
                <w:rFonts w:hint="eastAsia"/>
                <w:color w:val="000000" w:themeColor="text1"/>
                <w:highlight w:val="none"/>
                <w:lang w:val="en-US" w:eastAsia="zh-CN"/>
                <w14:textFill>
                  <w14:solidFill>
                    <w14:schemeClr w14:val="tx1"/>
                  </w14:solidFill>
                </w14:textFill>
              </w:rPr>
            </w:pPr>
            <w:r>
              <w:rPr>
                <w:rFonts w:hint="eastAsia" w:ascii="宋体" w:hAnsi="宋体" w:eastAsia="宋体" w:cs="宋体"/>
                <w:b w:val="0"/>
                <w:snapToGrid w:val="0"/>
                <w:color w:val="000000" w:themeColor="text1"/>
                <w:kern w:val="0"/>
                <w:sz w:val="22"/>
                <w:szCs w:val="22"/>
                <w:highlight w:val="none"/>
                <w:lang w:val="en-US" w:eastAsia="zh-CN" w:bidi="ar-SA"/>
                <w14:textFill>
                  <w14:solidFill>
                    <w14:schemeClr w14:val="tx1"/>
                  </w14:solidFill>
                </w14:textFill>
              </w:rPr>
              <w:t>3.非独立法人分支机构出具社保，予以认可</w:t>
            </w:r>
          </w:p>
        </w:tc>
      </w:tr>
      <w:tr w14:paraId="1D6C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9" w:hRule="atLeast"/>
          <w:jc w:val="center"/>
        </w:trPr>
        <w:tc>
          <w:tcPr>
            <w:tcW w:w="446" w:type="dxa"/>
            <w:vMerge w:val="continue"/>
            <w:vAlign w:val="center"/>
          </w:tcPr>
          <w:p w14:paraId="7FE410CA">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4" w:type="dxa"/>
            <w:vMerge w:val="continue"/>
            <w:vAlign w:val="center"/>
          </w:tcPr>
          <w:p w14:paraId="1908FF74">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49" w:type="dxa"/>
            <w:vMerge w:val="continue"/>
            <w:vAlign w:val="center"/>
          </w:tcPr>
          <w:p w14:paraId="1FF07C78">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09" w:type="dxa"/>
            <w:gridSpan w:val="2"/>
            <w:vAlign w:val="center"/>
          </w:tcPr>
          <w:p w14:paraId="4A329C46">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其他人员综合素质</w:t>
            </w:r>
          </w:p>
          <w:p w14:paraId="59CF55F2">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分）</w:t>
            </w:r>
          </w:p>
        </w:tc>
        <w:tc>
          <w:tcPr>
            <w:tcW w:w="3869" w:type="dxa"/>
            <w:vAlign w:val="center"/>
          </w:tcPr>
          <w:p w14:paraId="780DE481">
            <w:pPr>
              <w:keepNext w:val="0"/>
              <w:keepLines w:val="0"/>
              <w:pageBreakBefore w:val="0"/>
              <w:kinsoku/>
              <w:overflowPunct/>
              <w:topLinePunct w:val="0"/>
              <w:autoSpaceDN/>
              <w:bidi w:val="0"/>
              <w:spacing w:line="3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拟投入本项目的</w:t>
            </w:r>
            <w:r>
              <w:rPr>
                <w:rFonts w:hint="eastAsia" w:hAnsi="宋体" w:eastAsia="宋体" w:cs="宋体"/>
                <w:color w:val="000000" w:themeColor="text1"/>
                <w:sz w:val="22"/>
                <w:szCs w:val="22"/>
                <w:highlight w:val="none"/>
                <w:lang w:val="en-US" w:eastAsia="zh-CN"/>
                <w14:textFill>
                  <w14:solidFill>
                    <w14:schemeClr w14:val="tx1"/>
                  </w14:solidFill>
                </w14:textFill>
              </w:rPr>
              <w:t>专业技术</w:t>
            </w:r>
            <w:r>
              <w:rPr>
                <w:rFonts w:hint="eastAsia" w:ascii="宋体" w:hAnsi="宋体" w:eastAsia="宋体" w:cs="宋体"/>
                <w:color w:val="000000" w:themeColor="text1"/>
                <w:sz w:val="22"/>
                <w:szCs w:val="22"/>
                <w:highlight w:val="none"/>
                <w14:textFill>
                  <w14:solidFill>
                    <w14:schemeClr w14:val="tx1"/>
                  </w14:solidFill>
                </w14:textFill>
              </w:rPr>
              <w:t>人员（设计负责人除外）情况：</w:t>
            </w:r>
          </w:p>
          <w:p w14:paraId="5032DFD9">
            <w:pPr>
              <w:keepNext w:val="0"/>
              <w:keepLines w:val="0"/>
              <w:pageBreakBefore w:val="0"/>
              <w:kinsoku/>
              <w:overflowPunct/>
              <w:topLinePunct w:val="0"/>
              <w:autoSpaceDN/>
              <w:bidi w:val="0"/>
              <w:spacing w:line="3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w:t>
            </w:r>
            <w:r>
              <w:rPr>
                <w:rFonts w:hint="eastAsia" w:ascii="宋体" w:hAnsi="宋体" w:eastAsia="宋体" w:cs="宋体"/>
                <w:color w:val="000000" w:themeColor="text1"/>
                <w:sz w:val="22"/>
                <w:szCs w:val="22"/>
                <w:highlight w:val="none"/>
                <w:lang w:val="en-US" w:eastAsia="zh-CN"/>
                <w14:textFill>
                  <w14:solidFill>
                    <w14:schemeClr w14:val="tx1"/>
                  </w14:solidFill>
                </w14:textFill>
              </w:rPr>
              <w:t>市政路桥</w:t>
            </w:r>
            <w:r>
              <w:rPr>
                <w:rFonts w:hint="eastAsia" w:ascii="宋体" w:hAnsi="宋体" w:eastAsia="宋体" w:cs="宋体"/>
                <w:color w:val="000000" w:themeColor="text1"/>
                <w:sz w:val="22"/>
                <w:szCs w:val="22"/>
                <w:highlight w:val="none"/>
                <w14:textFill>
                  <w14:solidFill>
                    <w14:schemeClr w14:val="tx1"/>
                  </w14:solidFill>
                </w14:textFill>
              </w:rPr>
              <w:t>专业负责人：具有</w:t>
            </w:r>
            <w:r>
              <w:rPr>
                <w:rFonts w:hint="eastAsia" w:ascii="宋体" w:hAnsi="宋体" w:eastAsia="宋体" w:cs="宋体"/>
                <w:color w:val="000000" w:themeColor="text1"/>
                <w:sz w:val="22"/>
                <w:szCs w:val="22"/>
                <w:highlight w:val="none"/>
                <w:lang w:val="en-US" w:eastAsia="zh-CN"/>
                <w14:textFill>
                  <w14:solidFill>
                    <w14:schemeClr w14:val="tx1"/>
                  </w14:solidFill>
                </w14:textFill>
              </w:rPr>
              <w:t>市政路桥</w:t>
            </w:r>
            <w:r>
              <w:rPr>
                <w:rFonts w:hint="eastAsia" w:hAnsi="宋体" w:eastAsia="宋体" w:cs="宋体"/>
                <w:color w:val="000000" w:themeColor="text1"/>
                <w:sz w:val="22"/>
                <w:szCs w:val="22"/>
                <w:highlight w:val="none"/>
                <w:lang w:val="en-US" w:eastAsia="zh-CN"/>
                <w14:textFill>
                  <w14:solidFill>
                    <w14:schemeClr w14:val="tx1"/>
                  </w14:solidFill>
                </w14:textFill>
              </w:rPr>
              <w:t>相关</w:t>
            </w:r>
            <w:r>
              <w:rPr>
                <w:rFonts w:hint="eastAsia" w:ascii="宋体" w:hAnsi="宋体" w:eastAsia="宋体" w:cs="宋体"/>
                <w:color w:val="000000" w:themeColor="text1"/>
                <w:sz w:val="22"/>
                <w:szCs w:val="22"/>
                <w:highlight w:val="none"/>
                <w14:textFill>
                  <w14:solidFill>
                    <w14:schemeClr w14:val="tx1"/>
                  </w14:solidFill>
                </w14:textFill>
              </w:rPr>
              <w:t>专业</w:t>
            </w:r>
            <w:r>
              <w:rPr>
                <w:rFonts w:hint="eastAsia" w:hAnsi="宋体" w:eastAsia="宋体" w:cs="宋体"/>
                <w:color w:val="000000" w:themeColor="text1"/>
                <w:sz w:val="22"/>
                <w:szCs w:val="22"/>
                <w:highlight w:val="none"/>
                <w:lang w:val="en-US" w:eastAsia="zh-CN"/>
                <w14:textFill>
                  <w14:solidFill>
                    <w14:schemeClr w14:val="tx1"/>
                  </w14:solidFill>
                </w14:textFill>
              </w:rPr>
              <w:t>中级或以上技术</w:t>
            </w:r>
            <w:r>
              <w:rPr>
                <w:rFonts w:hint="eastAsia" w:ascii="宋体" w:hAnsi="宋体" w:eastAsia="宋体" w:cs="宋体"/>
                <w:color w:val="000000" w:themeColor="text1"/>
                <w:sz w:val="22"/>
                <w:szCs w:val="22"/>
                <w:highlight w:val="none"/>
                <w14:textFill>
                  <w14:solidFill>
                    <w14:schemeClr w14:val="tx1"/>
                  </w14:solidFill>
                </w14:textFill>
              </w:rPr>
              <w:t>职称的，得</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分。</w:t>
            </w:r>
          </w:p>
          <w:p w14:paraId="00C462AD">
            <w:pPr>
              <w:keepNext w:val="0"/>
              <w:keepLines w:val="0"/>
              <w:pageBreakBefore w:val="0"/>
              <w:kinsoku/>
              <w:overflowPunct/>
              <w:topLinePunct w:val="0"/>
              <w:autoSpaceDN/>
              <w:bidi w:val="0"/>
              <w:spacing w:line="3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2.给排水专业负责人：具有给排水</w:t>
            </w:r>
            <w:r>
              <w:rPr>
                <w:rFonts w:hint="eastAsia" w:hAnsi="宋体" w:eastAsia="宋体" w:cs="宋体"/>
                <w:color w:val="000000" w:themeColor="text1"/>
                <w:sz w:val="22"/>
                <w:szCs w:val="22"/>
                <w:highlight w:val="none"/>
                <w:lang w:val="en-US" w:eastAsia="zh-CN"/>
                <w14:textFill>
                  <w14:solidFill>
                    <w14:schemeClr w14:val="tx1"/>
                  </w14:solidFill>
                </w14:textFill>
              </w:rPr>
              <w:t>相关</w:t>
            </w:r>
            <w:r>
              <w:rPr>
                <w:rFonts w:hint="eastAsia" w:ascii="宋体" w:hAnsi="宋体" w:eastAsia="宋体" w:cs="宋体"/>
                <w:color w:val="000000" w:themeColor="text1"/>
                <w:sz w:val="22"/>
                <w:szCs w:val="22"/>
                <w:highlight w:val="none"/>
                <w14:textFill>
                  <w14:solidFill>
                    <w14:schemeClr w14:val="tx1"/>
                  </w14:solidFill>
                </w14:textFill>
              </w:rPr>
              <w:t>专业</w:t>
            </w:r>
            <w:r>
              <w:rPr>
                <w:rFonts w:hint="eastAsia" w:ascii="宋体" w:hAnsi="宋体" w:eastAsia="宋体" w:cs="宋体"/>
                <w:color w:val="000000" w:themeColor="text1"/>
                <w:sz w:val="22"/>
                <w:szCs w:val="22"/>
                <w:highlight w:val="none"/>
                <w:lang w:val="en-US" w:eastAsia="zh-CN"/>
                <w14:textFill>
                  <w14:solidFill>
                    <w14:schemeClr w14:val="tx1"/>
                  </w14:solidFill>
                </w14:textFill>
              </w:rPr>
              <w:t>中级或以上技术</w:t>
            </w:r>
            <w:r>
              <w:rPr>
                <w:rFonts w:hint="eastAsia" w:ascii="宋体" w:hAnsi="宋体" w:eastAsia="宋体" w:cs="宋体"/>
                <w:color w:val="000000" w:themeColor="text1"/>
                <w:sz w:val="22"/>
                <w:szCs w:val="22"/>
                <w:highlight w:val="none"/>
                <w14:textFill>
                  <w14:solidFill>
                    <w14:schemeClr w14:val="tx1"/>
                  </w14:solidFill>
                </w14:textFill>
              </w:rPr>
              <w:t>职称的，得</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分。</w:t>
            </w:r>
          </w:p>
          <w:p w14:paraId="67166A1B">
            <w:pPr>
              <w:keepNext w:val="0"/>
              <w:keepLines w:val="0"/>
              <w:pageBreakBefore w:val="0"/>
              <w:kinsoku/>
              <w:overflowPunct/>
              <w:topLinePunct w:val="0"/>
              <w:autoSpaceDN/>
              <w:bidi w:val="0"/>
              <w:spacing w:line="3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3.结构专业负责人：具有结构</w:t>
            </w:r>
            <w:r>
              <w:rPr>
                <w:rFonts w:hint="eastAsia" w:hAnsi="宋体" w:eastAsia="宋体" w:cs="宋体"/>
                <w:color w:val="000000" w:themeColor="text1"/>
                <w:sz w:val="22"/>
                <w:szCs w:val="22"/>
                <w:highlight w:val="none"/>
                <w:lang w:val="en-US" w:eastAsia="zh-CN"/>
                <w14:textFill>
                  <w14:solidFill>
                    <w14:schemeClr w14:val="tx1"/>
                  </w14:solidFill>
                </w14:textFill>
              </w:rPr>
              <w:t>相关</w:t>
            </w:r>
            <w:r>
              <w:rPr>
                <w:rFonts w:hint="eastAsia" w:ascii="宋体" w:hAnsi="宋体" w:eastAsia="宋体" w:cs="宋体"/>
                <w:color w:val="000000" w:themeColor="text1"/>
                <w:sz w:val="22"/>
                <w:szCs w:val="22"/>
                <w:highlight w:val="none"/>
                <w14:textFill>
                  <w14:solidFill>
                    <w14:schemeClr w14:val="tx1"/>
                  </w14:solidFill>
                </w14:textFill>
              </w:rPr>
              <w:t>专业</w:t>
            </w:r>
            <w:r>
              <w:rPr>
                <w:rFonts w:hint="eastAsia" w:ascii="宋体" w:hAnsi="宋体" w:eastAsia="宋体" w:cs="宋体"/>
                <w:color w:val="000000" w:themeColor="text1"/>
                <w:sz w:val="22"/>
                <w:szCs w:val="22"/>
                <w:highlight w:val="none"/>
                <w:lang w:val="en-US" w:eastAsia="zh-CN"/>
                <w14:textFill>
                  <w14:solidFill>
                    <w14:schemeClr w14:val="tx1"/>
                  </w14:solidFill>
                </w14:textFill>
              </w:rPr>
              <w:t>中级或以上技术</w:t>
            </w:r>
            <w:r>
              <w:rPr>
                <w:rFonts w:hint="eastAsia" w:ascii="宋体" w:hAnsi="宋体" w:eastAsia="宋体" w:cs="宋体"/>
                <w:color w:val="000000" w:themeColor="text1"/>
                <w:sz w:val="22"/>
                <w:szCs w:val="22"/>
                <w:highlight w:val="none"/>
                <w14:textFill>
                  <w14:solidFill>
                    <w14:schemeClr w14:val="tx1"/>
                  </w14:solidFill>
                </w14:textFill>
              </w:rPr>
              <w:t>职称的，得</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分。</w:t>
            </w:r>
          </w:p>
          <w:p w14:paraId="19BE2F2C">
            <w:pPr>
              <w:keepNext w:val="0"/>
              <w:keepLines w:val="0"/>
              <w:pageBreakBefore w:val="0"/>
              <w:kinsoku/>
              <w:overflowPunct/>
              <w:topLinePunct w:val="0"/>
              <w:autoSpaceDN/>
              <w:bidi w:val="0"/>
              <w:spacing w:line="3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4.电气专业负责人：具有电气</w:t>
            </w:r>
            <w:r>
              <w:rPr>
                <w:rFonts w:hint="eastAsia" w:hAnsi="宋体" w:eastAsia="宋体" w:cs="宋体"/>
                <w:color w:val="000000" w:themeColor="text1"/>
                <w:sz w:val="22"/>
                <w:szCs w:val="22"/>
                <w:highlight w:val="none"/>
                <w:lang w:val="en-US" w:eastAsia="zh-CN"/>
                <w14:textFill>
                  <w14:solidFill>
                    <w14:schemeClr w14:val="tx1"/>
                  </w14:solidFill>
                </w14:textFill>
              </w:rPr>
              <w:t>相关</w:t>
            </w:r>
            <w:r>
              <w:rPr>
                <w:rFonts w:hint="eastAsia" w:ascii="宋体" w:hAnsi="宋体" w:eastAsia="宋体" w:cs="宋体"/>
                <w:color w:val="000000" w:themeColor="text1"/>
                <w:sz w:val="22"/>
                <w:szCs w:val="22"/>
                <w:highlight w:val="none"/>
                <w14:textFill>
                  <w14:solidFill>
                    <w14:schemeClr w14:val="tx1"/>
                  </w14:solidFill>
                </w14:textFill>
              </w:rPr>
              <w:t>专业</w:t>
            </w:r>
            <w:r>
              <w:rPr>
                <w:rFonts w:hint="eastAsia" w:ascii="宋体" w:hAnsi="宋体" w:eastAsia="宋体" w:cs="宋体"/>
                <w:color w:val="000000" w:themeColor="text1"/>
                <w:sz w:val="22"/>
                <w:szCs w:val="22"/>
                <w:highlight w:val="none"/>
                <w:lang w:val="en-US" w:eastAsia="zh-CN"/>
                <w14:textFill>
                  <w14:solidFill>
                    <w14:schemeClr w14:val="tx1"/>
                  </w14:solidFill>
                </w14:textFill>
              </w:rPr>
              <w:t>中级或以上技术</w:t>
            </w:r>
            <w:r>
              <w:rPr>
                <w:rFonts w:hint="eastAsia" w:ascii="宋体" w:hAnsi="宋体" w:eastAsia="宋体" w:cs="宋体"/>
                <w:color w:val="000000" w:themeColor="text1"/>
                <w:sz w:val="22"/>
                <w:szCs w:val="22"/>
                <w:highlight w:val="none"/>
                <w14:textFill>
                  <w14:solidFill>
                    <w14:schemeClr w14:val="tx1"/>
                  </w14:solidFill>
                </w14:textFill>
              </w:rPr>
              <w:t>职称的，得</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分。</w:t>
            </w:r>
          </w:p>
          <w:p w14:paraId="3F9073DC">
            <w:pPr>
              <w:keepNext w:val="0"/>
              <w:keepLines w:val="0"/>
              <w:pageBreakBefore w:val="0"/>
              <w:kinsoku/>
              <w:overflowPunct/>
              <w:topLinePunct w:val="0"/>
              <w:autoSpaceDN/>
              <w:bidi w:val="0"/>
              <w:spacing w:line="3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5.</w:t>
            </w:r>
            <w:r>
              <w:rPr>
                <w:rFonts w:hint="eastAsia" w:ascii="宋体" w:hAnsi="宋体" w:eastAsia="宋体" w:cs="宋体"/>
                <w:color w:val="000000" w:themeColor="text1"/>
                <w:sz w:val="22"/>
                <w:szCs w:val="22"/>
                <w:highlight w:val="none"/>
                <w:lang w:val="en-US" w:eastAsia="zh-CN"/>
                <w14:textFill>
                  <w14:solidFill>
                    <w14:schemeClr w14:val="tx1"/>
                  </w14:solidFill>
                </w14:textFill>
              </w:rPr>
              <w:t>建筑</w:t>
            </w:r>
            <w:r>
              <w:rPr>
                <w:rFonts w:hint="eastAsia" w:ascii="宋体" w:hAnsi="宋体" w:eastAsia="宋体" w:cs="宋体"/>
                <w:color w:val="000000" w:themeColor="text1"/>
                <w:sz w:val="22"/>
                <w:szCs w:val="22"/>
                <w:highlight w:val="none"/>
                <w14:textFill>
                  <w14:solidFill>
                    <w14:schemeClr w14:val="tx1"/>
                  </w14:solidFill>
                </w14:textFill>
              </w:rPr>
              <w:t>专业负责人：具有</w:t>
            </w:r>
            <w:r>
              <w:rPr>
                <w:rFonts w:hint="eastAsia" w:ascii="宋体" w:hAnsi="宋体" w:eastAsia="宋体" w:cs="宋体"/>
                <w:color w:val="000000" w:themeColor="text1"/>
                <w:sz w:val="22"/>
                <w:szCs w:val="22"/>
                <w:highlight w:val="none"/>
                <w:lang w:val="en-US" w:eastAsia="zh-CN"/>
                <w14:textFill>
                  <w14:solidFill>
                    <w14:schemeClr w14:val="tx1"/>
                  </w14:solidFill>
                </w14:textFill>
              </w:rPr>
              <w:t>建筑</w:t>
            </w:r>
            <w:r>
              <w:rPr>
                <w:rFonts w:hint="eastAsia" w:hAnsi="宋体" w:eastAsia="宋体" w:cs="宋体"/>
                <w:color w:val="000000" w:themeColor="text1"/>
                <w:sz w:val="22"/>
                <w:szCs w:val="22"/>
                <w:highlight w:val="none"/>
                <w:lang w:val="en-US" w:eastAsia="zh-CN"/>
                <w14:textFill>
                  <w14:solidFill>
                    <w14:schemeClr w14:val="tx1"/>
                  </w14:solidFill>
                </w14:textFill>
              </w:rPr>
              <w:t>相关</w:t>
            </w:r>
            <w:r>
              <w:rPr>
                <w:rFonts w:hint="eastAsia" w:ascii="宋体" w:hAnsi="宋体" w:eastAsia="宋体" w:cs="宋体"/>
                <w:color w:val="000000" w:themeColor="text1"/>
                <w:sz w:val="22"/>
                <w:szCs w:val="22"/>
                <w:highlight w:val="none"/>
                <w14:textFill>
                  <w14:solidFill>
                    <w14:schemeClr w14:val="tx1"/>
                  </w14:solidFill>
                </w14:textFill>
              </w:rPr>
              <w:t>专业</w:t>
            </w:r>
            <w:r>
              <w:rPr>
                <w:rFonts w:hint="eastAsia" w:ascii="宋体" w:hAnsi="宋体" w:eastAsia="宋体" w:cs="宋体"/>
                <w:color w:val="000000" w:themeColor="text1"/>
                <w:sz w:val="22"/>
                <w:szCs w:val="22"/>
                <w:highlight w:val="none"/>
                <w:lang w:val="en-US" w:eastAsia="zh-CN"/>
                <w14:textFill>
                  <w14:solidFill>
                    <w14:schemeClr w14:val="tx1"/>
                  </w14:solidFill>
                </w14:textFill>
              </w:rPr>
              <w:t>中级或以上技术</w:t>
            </w:r>
            <w:r>
              <w:rPr>
                <w:rFonts w:hint="eastAsia" w:ascii="宋体" w:hAnsi="宋体" w:eastAsia="宋体" w:cs="宋体"/>
                <w:color w:val="000000" w:themeColor="text1"/>
                <w:sz w:val="22"/>
                <w:szCs w:val="22"/>
                <w:highlight w:val="none"/>
                <w14:textFill>
                  <w14:solidFill>
                    <w14:schemeClr w14:val="tx1"/>
                  </w14:solidFill>
                </w14:textFill>
              </w:rPr>
              <w:t>职称的，得</w:t>
            </w:r>
            <w:r>
              <w:rPr>
                <w:rFonts w:hint="eastAsia" w:ascii="宋体" w:hAnsi="宋体" w:eastAsia="宋体" w:cs="宋体"/>
                <w:color w:val="000000" w:themeColor="text1"/>
                <w:sz w:val="22"/>
                <w:szCs w:val="22"/>
                <w:highlight w:val="none"/>
                <w:lang w:val="en-US" w:eastAsia="zh-CN"/>
                <w14:textFill>
                  <w14:solidFill>
                    <w14:schemeClr w14:val="tx1"/>
                  </w14:solidFill>
                </w14:textFill>
              </w:rPr>
              <w:t>1</w:t>
            </w:r>
            <w:r>
              <w:rPr>
                <w:rFonts w:hint="eastAsia" w:ascii="宋体" w:hAnsi="宋体" w:eastAsia="宋体" w:cs="宋体"/>
                <w:color w:val="000000" w:themeColor="text1"/>
                <w:sz w:val="22"/>
                <w:szCs w:val="22"/>
                <w:highlight w:val="none"/>
                <w14:textFill>
                  <w14:solidFill>
                    <w14:schemeClr w14:val="tx1"/>
                  </w14:solidFill>
                </w14:textFill>
              </w:rPr>
              <w:t>分。</w:t>
            </w:r>
          </w:p>
          <w:p w14:paraId="40208C59">
            <w:pPr>
              <w:keepNext w:val="0"/>
              <w:keepLines w:val="0"/>
              <w:pageBreakBefore w:val="0"/>
              <w:kinsoku/>
              <w:overflowPunct/>
              <w:topLinePunct w:val="0"/>
              <w:autoSpaceDN/>
              <w:bidi w:val="0"/>
              <w:spacing w:line="360" w:lineRule="exact"/>
              <w:textAlignment w:val="auto"/>
              <w:rPr>
                <w:rFonts w:hint="eastAsia" w:ascii="宋体" w:hAnsi="宋体" w:eastAsia="宋体" w:cs="宋体"/>
                <w:bCs/>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本项最高得</w:t>
            </w:r>
            <w:r>
              <w:rPr>
                <w:rFonts w:hint="eastAsia" w:ascii="宋体"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分。</w:t>
            </w:r>
          </w:p>
        </w:tc>
        <w:tc>
          <w:tcPr>
            <w:tcW w:w="3971" w:type="dxa"/>
            <w:vAlign w:val="center"/>
          </w:tcPr>
          <w:p w14:paraId="3FE84359">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1.需附职称证</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彩色扫描件</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（或电子职称证</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书</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），并加盖投标人公章。</w:t>
            </w:r>
          </w:p>
          <w:p w14:paraId="6EDDB94B">
            <w:pPr>
              <w:keepNext w:val="0"/>
              <w:keepLines w:val="0"/>
              <w:pageBreakBefore w:val="0"/>
              <w:kinsoku/>
              <w:overflowPunct/>
              <w:topLinePunct w:val="0"/>
              <w:autoSpaceDN/>
              <w:bidi w:val="0"/>
              <w:spacing w:line="360" w:lineRule="exact"/>
              <w:textAlignment w:val="auto"/>
              <w:rPr>
                <w:rFonts w:hint="eastAsia" w:ascii="宋体" w:hAnsi="宋体" w:eastAsia="宋体" w:cs="宋体"/>
                <w:snapToGrid w:val="0"/>
                <w:color w:val="000000" w:themeColor="text1"/>
                <w:kern w:val="0"/>
                <w:sz w:val="22"/>
                <w:szCs w:val="22"/>
                <w:highlight w:val="none"/>
                <w14:textFill>
                  <w14:solidFill>
                    <w14:schemeClr w14:val="tx1"/>
                  </w14:solidFill>
                </w14:textFill>
              </w:rPr>
            </w:pPr>
            <w:r>
              <w:rPr>
                <w:rFonts w:hint="eastAsia" w:ascii="宋体" w:hAnsi="宋体" w:eastAsia="宋体" w:cs="宋体"/>
                <w:snapToGrid w:val="0"/>
                <w:color w:val="000000" w:themeColor="text1"/>
                <w:kern w:val="0"/>
                <w:sz w:val="22"/>
                <w:szCs w:val="22"/>
                <w:highlight w:val="none"/>
                <w14:textFill>
                  <w14:solidFill>
                    <w14:schemeClr w14:val="tx1"/>
                  </w14:solidFill>
                </w14:textFill>
              </w:rPr>
              <w:t>2.需提供各专业人员在本单位缴纳近三个月社保的证明（其中必须有</w:t>
            </w:r>
            <w:r>
              <w:rPr>
                <w:rFonts w:hint="eastAsia" w:ascii="宋体" w:hAnsi="宋体" w:eastAsia="宋体" w:cs="宋体"/>
                <w:snapToGrid w:val="0"/>
                <w:color w:val="000000" w:themeColor="text1"/>
                <w:kern w:val="0"/>
                <w:sz w:val="22"/>
                <w:szCs w:val="22"/>
                <w:highlight w:val="none"/>
                <w:lang w:val="en-US" w:eastAsia="zh-CN"/>
                <w14:textFill>
                  <w14:solidFill>
                    <w14:schemeClr w14:val="tx1"/>
                  </w14:solidFill>
                </w14:textFill>
              </w:rPr>
              <w:t>202</w:t>
            </w:r>
            <w:r>
              <w:rPr>
                <w:rFonts w:hint="eastAsia" w:hAnsi="宋体" w:eastAsia="宋体" w:cs="宋体"/>
                <w:snapToGrid w:val="0"/>
                <w:color w:val="000000" w:themeColor="text1"/>
                <w:kern w:val="0"/>
                <w:sz w:val="22"/>
                <w:szCs w:val="22"/>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2"/>
                <w:szCs w:val="22"/>
                <w:highlight w:val="none"/>
                <w14:textFill>
                  <w14:solidFill>
                    <w14:schemeClr w14:val="tx1"/>
                  </w14:solidFill>
                </w14:textFill>
              </w:rPr>
              <w:t>年</w:t>
            </w:r>
            <w:r>
              <w:rPr>
                <w:rFonts w:hint="eastAsia" w:ascii="宋体" w:hAnsi="宋体" w:cs="宋体" w:eastAsiaTheme="minorEastAsia"/>
                <w:snapToGrid w:val="0"/>
                <w:color w:val="000000" w:themeColor="text1"/>
                <w:kern w:val="0"/>
                <w:sz w:val="22"/>
                <w:szCs w:val="22"/>
                <w:highlight w:val="none"/>
                <w:lang w:val="en-US" w:eastAsia="zh-CN"/>
                <w14:textFill>
                  <w14:solidFill>
                    <w14:schemeClr w14:val="tx1"/>
                  </w14:solidFill>
                </w14:textFill>
              </w:rPr>
              <w:t>0</w:t>
            </w:r>
            <w:r>
              <w:rPr>
                <w:rFonts w:hint="eastAsia" w:hAnsi="宋体" w:cs="宋体" w:eastAsiaTheme="minorEastAsia"/>
                <w:snapToGrid w:val="0"/>
                <w:color w:val="000000" w:themeColor="text1"/>
                <w:kern w:val="0"/>
                <w:sz w:val="22"/>
                <w:szCs w:val="22"/>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2"/>
                <w:szCs w:val="22"/>
                <w:highlight w:val="none"/>
                <w14:textFill>
                  <w14:solidFill>
                    <w14:schemeClr w14:val="tx1"/>
                  </w14:solidFill>
                </w14:textFill>
              </w:rPr>
              <w:t>月）彩色扫描件</w:t>
            </w:r>
            <w:r>
              <w:rPr>
                <w:rFonts w:hint="eastAsia" w:hAnsi="宋体" w:eastAsia="宋体" w:cs="宋体"/>
                <w:snapToGrid w:val="0"/>
                <w:color w:val="000000" w:themeColor="text1"/>
                <w:kern w:val="0"/>
                <w:sz w:val="22"/>
                <w:szCs w:val="22"/>
                <w:highlight w:val="none"/>
                <w:lang w:eastAsia="zh-CN"/>
                <w14:textFill>
                  <w14:solidFill>
                    <w14:schemeClr w14:val="tx1"/>
                  </w14:solidFill>
                </w14:textFill>
              </w:rPr>
              <w:t>（</w:t>
            </w:r>
            <w:r>
              <w:rPr>
                <w:rFonts w:hint="eastAsia" w:hAnsi="宋体" w:eastAsia="宋体" w:cs="宋体"/>
                <w:snapToGrid w:val="0"/>
                <w:color w:val="000000" w:themeColor="text1"/>
                <w:kern w:val="0"/>
                <w:sz w:val="22"/>
                <w:szCs w:val="22"/>
                <w:highlight w:val="none"/>
                <w:lang w:val="en-US" w:eastAsia="zh-CN"/>
                <w14:textFill>
                  <w14:solidFill>
                    <w14:schemeClr w14:val="tx1"/>
                  </w14:solidFill>
                </w14:textFill>
              </w:rPr>
              <w:t>或打印件</w:t>
            </w:r>
            <w:r>
              <w:rPr>
                <w:rFonts w:hint="eastAsia" w:hAnsi="宋体" w:eastAsia="宋体" w:cs="宋体"/>
                <w:snapToGrid w:val="0"/>
                <w:color w:val="000000" w:themeColor="text1"/>
                <w:kern w:val="0"/>
                <w:sz w:val="22"/>
                <w:szCs w:val="22"/>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2"/>
                <w:szCs w:val="22"/>
                <w:highlight w:val="none"/>
                <w14:textFill>
                  <w14:solidFill>
                    <w14:schemeClr w14:val="tx1"/>
                  </w14:solidFill>
                </w14:textFill>
              </w:rPr>
              <w:t>，若是退休人员需提供退休证和返聘合同（协议）扫描件。</w:t>
            </w:r>
          </w:p>
          <w:p w14:paraId="1504E102">
            <w:pPr>
              <w:keepNext w:val="0"/>
              <w:keepLines w:val="0"/>
              <w:pageBreakBefore w:val="0"/>
              <w:kinsoku/>
              <w:overflowPunct/>
              <w:topLinePunct w:val="0"/>
              <w:autoSpaceDN/>
              <w:bidi w:val="0"/>
              <w:spacing w:line="360" w:lineRule="exact"/>
              <w:textAlignment w:val="auto"/>
              <w:rPr>
                <w:rFonts w:hint="default" w:ascii="宋体" w:hAnsi="宋体" w:eastAsia="宋体" w:cs="宋体"/>
                <w:snapToGrid w:val="0"/>
                <w:color w:val="000000" w:themeColor="text1"/>
                <w:kern w:val="0"/>
                <w:sz w:val="22"/>
                <w:szCs w:val="22"/>
                <w:highlight w:val="none"/>
                <w:lang w:val="en-US" w:eastAsia="zh-CN"/>
                <w14:textFill>
                  <w14:solidFill>
                    <w14:schemeClr w14:val="tx1"/>
                  </w14:solidFill>
                </w14:textFill>
              </w:rPr>
            </w:pPr>
            <w:r>
              <w:rPr>
                <w:rFonts w:hint="eastAsia" w:hAnsi="宋体" w:eastAsia="宋体" w:cs="宋体"/>
                <w:snapToGrid w:val="0"/>
                <w:color w:val="000000" w:themeColor="text1"/>
                <w:kern w:val="0"/>
                <w:sz w:val="22"/>
                <w:szCs w:val="22"/>
                <w:highlight w:val="none"/>
                <w:lang w:val="en-US" w:eastAsia="zh-CN"/>
                <w14:textFill>
                  <w14:solidFill>
                    <w14:schemeClr w14:val="tx1"/>
                  </w14:solidFill>
                </w14:textFill>
              </w:rPr>
              <w:t>3.</w:t>
            </w: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非独立法人分支机构出具社保，予以认可</w:t>
            </w:r>
          </w:p>
        </w:tc>
      </w:tr>
      <w:tr w14:paraId="3DEC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jc w:val="center"/>
        </w:trPr>
        <w:tc>
          <w:tcPr>
            <w:tcW w:w="446" w:type="dxa"/>
            <w:vMerge w:val="continue"/>
            <w:vAlign w:val="center"/>
          </w:tcPr>
          <w:p w14:paraId="512CBC58">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4" w:type="dxa"/>
            <w:vMerge w:val="continue"/>
            <w:vAlign w:val="center"/>
          </w:tcPr>
          <w:p w14:paraId="62F22021">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49" w:type="dxa"/>
            <w:vMerge w:val="continue"/>
            <w:vAlign w:val="center"/>
          </w:tcPr>
          <w:p w14:paraId="2B225EF9">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09" w:type="dxa"/>
            <w:gridSpan w:val="2"/>
            <w:shd w:val="clear" w:color="auto" w:fill="auto"/>
            <w:vAlign w:val="center"/>
          </w:tcPr>
          <w:p w14:paraId="7960F0DC">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snapToGrid w:val="0"/>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设计</w:t>
            </w:r>
            <w:r>
              <w:rPr>
                <w:rFonts w:hint="eastAsia" w:ascii="宋体" w:hAnsi="宋体" w:eastAsia="宋体" w:cs="宋体"/>
                <w:snapToGrid w:val="0"/>
                <w:color w:val="000000" w:themeColor="text1"/>
                <w:kern w:val="0"/>
                <w:sz w:val="22"/>
                <w:szCs w:val="22"/>
                <w:highlight w:val="none"/>
                <w14:textFill>
                  <w14:solidFill>
                    <w14:schemeClr w14:val="tx1"/>
                  </w14:solidFill>
                </w14:textFill>
              </w:rPr>
              <w:t>企业信用</w:t>
            </w:r>
          </w:p>
          <w:p w14:paraId="18A414FE">
            <w:pPr>
              <w:widowControl/>
              <w:jc w:val="cente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14:textFill>
                  <w14:solidFill>
                    <w14:schemeClr w14:val="tx1"/>
                  </w14:solidFill>
                </w14:textFill>
              </w:rPr>
              <w:t>（</w:t>
            </w:r>
            <w:r>
              <w:rPr>
                <w:rFonts w:hint="eastAsia" w:hAnsi="宋体" w:cs="宋体" w:eastAsiaTheme="minorEastAsia"/>
                <w:snapToGrid w:val="0"/>
                <w:color w:val="000000" w:themeColor="text1"/>
                <w:kern w:val="0"/>
                <w:sz w:val="22"/>
                <w:szCs w:val="22"/>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2"/>
                <w:szCs w:val="22"/>
                <w:highlight w:val="none"/>
                <w14:textFill>
                  <w14:solidFill>
                    <w14:schemeClr w14:val="tx1"/>
                  </w14:solidFill>
                </w14:textFill>
              </w:rPr>
              <w:t>分）</w:t>
            </w:r>
          </w:p>
        </w:tc>
        <w:tc>
          <w:tcPr>
            <w:tcW w:w="3869" w:type="dxa"/>
            <w:vAlign w:val="center"/>
          </w:tcPr>
          <w:p w14:paraId="00BB857B">
            <w:pPr>
              <w:keepNext w:val="0"/>
              <w:keepLines w:val="0"/>
              <w:pageBreakBefore w:val="0"/>
              <w:kinsoku/>
              <w:overflowPunct/>
              <w:topLinePunct w:val="0"/>
              <w:autoSpaceDN/>
              <w:bidi w:val="0"/>
              <w:spacing w:line="360" w:lineRule="exact"/>
              <w:textAlignment w:val="auto"/>
              <w:rPr>
                <w:rFonts w:hint="eastAsia" w:ascii="宋体" w:hAnsi="宋体" w:eastAsia="宋体" w:cs="宋体"/>
                <w:bCs/>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近3年度（202</w:t>
            </w:r>
            <w:r>
              <w:rPr>
                <w:rFonts w:hint="eastAsia" w:hAnsi="宋体" w:eastAsia="宋体" w:cs="宋体"/>
                <w:color w:val="000000" w:themeColor="text1"/>
                <w:sz w:val="22"/>
                <w:szCs w:val="22"/>
                <w:highlight w:val="none"/>
                <w:lang w:val="en-US" w:eastAsia="zh-CN"/>
                <w14:textFill>
                  <w14:solidFill>
                    <w14:schemeClr w14:val="tx1"/>
                  </w14:solidFill>
                </w14:textFill>
              </w:rPr>
              <w:t>3</w:t>
            </w:r>
            <w:r>
              <w:rPr>
                <w:rFonts w:hint="eastAsia" w:ascii="宋体" w:hAnsi="宋体" w:eastAsia="宋体" w:cs="宋体"/>
                <w:color w:val="000000" w:themeColor="text1"/>
                <w:sz w:val="22"/>
                <w:szCs w:val="22"/>
                <w:highlight w:val="none"/>
                <w14:textFill>
                  <w14:solidFill>
                    <w14:schemeClr w14:val="tx1"/>
                  </w14:solidFill>
                </w14:textFill>
              </w:rPr>
              <w:t>年度至今）获得过“中国</w:t>
            </w:r>
            <w:r>
              <w:rPr>
                <w:rFonts w:hint="eastAsia" w:ascii="宋体" w:hAnsi="宋体" w:eastAsia="宋体" w:cs="宋体"/>
                <w:color w:val="000000" w:themeColor="text1"/>
                <w:sz w:val="22"/>
                <w:szCs w:val="22"/>
                <w:highlight w:val="none"/>
                <w:lang w:val="en-US" w:eastAsia="zh-CN"/>
                <w14:textFill>
                  <w14:solidFill>
                    <w14:schemeClr w14:val="tx1"/>
                  </w14:solidFill>
                </w14:textFill>
              </w:rPr>
              <w:t>市政工程</w:t>
            </w:r>
            <w:r>
              <w:rPr>
                <w:rFonts w:hint="eastAsia" w:ascii="宋体" w:hAnsi="宋体" w:eastAsia="宋体" w:cs="宋体"/>
                <w:color w:val="000000" w:themeColor="text1"/>
                <w:sz w:val="22"/>
                <w:szCs w:val="22"/>
                <w:highlight w:val="none"/>
                <w14:textFill>
                  <w14:solidFill>
                    <w14:schemeClr w14:val="tx1"/>
                  </w14:solidFill>
                </w14:textFill>
              </w:rPr>
              <w:t>协会”颁发的企业信用等级AAA级证书的</w:t>
            </w:r>
            <w:r>
              <w:rPr>
                <w:rFonts w:hint="eastAsia"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得</w:t>
            </w:r>
            <w:r>
              <w:rPr>
                <w:rFonts w:hint="eastAsia" w:hAnsi="宋体" w:eastAsia="宋体" w:cs="宋体"/>
                <w:color w:val="000000" w:themeColor="text1"/>
                <w:sz w:val="22"/>
                <w:szCs w:val="22"/>
                <w:highlight w:val="none"/>
                <w:lang w:val="en-US" w:eastAsia="zh-CN"/>
                <w14:textFill>
                  <w14:solidFill>
                    <w14:schemeClr w14:val="tx1"/>
                  </w14:solidFill>
                </w14:textFill>
              </w:rPr>
              <w:t>5</w:t>
            </w:r>
            <w:r>
              <w:rPr>
                <w:rFonts w:hint="eastAsia" w:ascii="宋体" w:hAnsi="宋体" w:eastAsia="宋体" w:cs="宋体"/>
                <w:color w:val="000000" w:themeColor="text1"/>
                <w:sz w:val="22"/>
                <w:szCs w:val="22"/>
                <w:highlight w:val="none"/>
                <w14:textFill>
                  <w14:solidFill>
                    <w14:schemeClr w14:val="tx1"/>
                  </w14:solidFill>
                </w14:textFill>
              </w:rPr>
              <w:t>分。</w:t>
            </w:r>
          </w:p>
        </w:tc>
        <w:tc>
          <w:tcPr>
            <w:tcW w:w="3971" w:type="dxa"/>
            <w:vAlign w:val="center"/>
          </w:tcPr>
          <w:p w14:paraId="06152F55">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1.证书由“中国市政工程协会”颁发，须提供有关证书彩色扫描件，并加盖投标人公章。</w:t>
            </w:r>
          </w:p>
          <w:p w14:paraId="34552832">
            <w:pPr>
              <w:keepNext w:val="0"/>
              <w:keepLines w:val="0"/>
              <w:pageBreakBefore w:val="0"/>
              <w:widowControl w:val="0"/>
              <w:kinsoku/>
              <w:wordWrap w:val="0"/>
              <w:overflowPunct/>
              <w:topLinePunct w:val="0"/>
              <w:autoSpaceDN/>
              <w:bidi w:val="0"/>
              <w:adjustRightInd w:val="0"/>
              <w:snapToGrid w:val="0"/>
              <w:spacing w:after="0" w:line="360" w:lineRule="exact"/>
              <w:jc w:val="both"/>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2．颁发机构不符合要求的，</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颁发时间不符合要求的，</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不予计分：</w:t>
            </w:r>
          </w:p>
        </w:tc>
      </w:tr>
      <w:tr w14:paraId="470F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446" w:type="dxa"/>
            <w:vMerge w:val="continue"/>
            <w:vAlign w:val="center"/>
          </w:tcPr>
          <w:p w14:paraId="5C14511A">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4" w:type="dxa"/>
            <w:vMerge w:val="continue"/>
            <w:vAlign w:val="center"/>
          </w:tcPr>
          <w:p w14:paraId="1B753D67">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49" w:type="dxa"/>
            <w:vMerge w:val="continue"/>
            <w:vAlign w:val="center"/>
          </w:tcPr>
          <w:p w14:paraId="3945AABF">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09" w:type="dxa"/>
            <w:gridSpan w:val="2"/>
            <w:vAlign w:val="center"/>
          </w:tcPr>
          <w:p w14:paraId="09AEC98F">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设计</w:t>
            </w:r>
            <w:r>
              <w:rPr>
                <w:rFonts w:hint="eastAsia" w:ascii="宋体" w:hAnsi="宋体" w:eastAsia="宋体" w:cs="宋体"/>
                <w:color w:val="000000" w:themeColor="text1"/>
                <w:sz w:val="22"/>
                <w:szCs w:val="22"/>
                <w:highlight w:val="none"/>
                <w14:textFill>
                  <w14:solidFill>
                    <w14:schemeClr w14:val="tx1"/>
                  </w14:solidFill>
                </w14:textFill>
              </w:rPr>
              <w:t xml:space="preserve">企业管理 </w:t>
            </w:r>
          </w:p>
          <w:p w14:paraId="778FBDE2">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体系认证</w:t>
            </w:r>
          </w:p>
          <w:p w14:paraId="6063364F">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bCs/>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w:t>
            </w:r>
            <w:r>
              <w:rPr>
                <w:rFonts w:hint="eastAsia" w:hAnsi="宋体" w:cs="宋体" w:eastAsiaTheme="minorEastAsia"/>
                <w:color w:val="000000" w:themeColor="text1"/>
                <w:sz w:val="22"/>
                <w:szCs w:val="22"/>
                <w:highlight w:val="none"/>
                <w:lang w:val="en-US" w:eastAsia="zh-CN"/>
                <w14:textFill>
                  <w14:solidFill>
                    <w14:schemeClr w14:val="tx1"/>
                  </w14:solidFill>
                </w14:textFill>
              </w:rPr>
              <w:t>3</w:t>
            </w:r>
            <w:r>
              <w:rPr>
                <w:rFonts w:hint="eastAsia" w:ascii="宋体" w:hAnsi="宋体" w:eastAsia="宋体" w:cs="宋体"/>
                <w:color w:val="000000" w:themeColor="text1"/>
                <w:sz w:val="22"/>
                <w:szCs w:val="22"/>
                <w:highlight w:val="none"/>
                <w14:textFill>
                  <w14:solidFill>
                    <w14:schemeClr w14:val="tx1"/>
                  </w14:solidFill>
                </w14:textFill>
              </w:rPr>
              <w:t>分）</w:t>
            </w:r>
          </w:p>
        </w:tc>
        <w:tc>
          <w:tcPr>
            <w:tcW w:w="3869" w:type="dxa"/>
            <w:vAlign w:val="center"/>
          </w:tcPr>
          <w:p w14:paraId="7536A572">
            <w:pPr>
              <w:keepNext w:val="0"/>
              <w:keepLines w:val="0"/>
              <w:pageBreakBefore w:val="0"/>
              <w:widowControl w:val="0"/>
              <w:kinsoku/>
              <w:wordWrap w:val="0"/>
              <w:overflowPunct/>
              <w:topLinePunct w:val="0"/>
              <w:autoSpaceDN/>
              <w:bidi w:val="0"/>
              <w:adjustRightInd w:val="0"/>
              <w:snapToGrid w:val="0"/>
              <w:spacing w:after="0" w:line="360" w:lineRule="auto"/>
              <w:jc w:val="both"/>
              <w:textAlignment w:val="auto"/>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1．质量管理体系认证、职业健康安全管理体系认证、环境管理体系认证中</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，每获得1项认证得1分，最高</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得</w:t>
            </w:r>
            <w:r>
              <w:rPr>
                <w:rFonts w:hint="eastAsia" w:hAnsi="宋体" w:cs="宋体" w:eastAsiaTheme="minorEastAsia"/>
                <w:snapToGrid w:val="0"/>
                <w:color w:val="000000" w:themeColor="text1"/>
                <w:kern w:val="0"/>
                <w:sz w:val="22"/>
                <w:szCs w:val="22"/>
                <w:highlight w:val="none"/>
                <w:lang w:val="en-US" w:eastAsia="zh-CN" w:bidi="ar-SA"/>
                <w14:textFill>
                  <w14:solidFill>
                    <w14:schemeClr w14:val="tx1"/>
                  </w14:solidFill>
                </w14:textFill>
              </w:rPr>
              <w:t>3</w:t>
            </w: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分</w:t>
            </w: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w:t>
            </w:r>
          </w:p>
          <w:p w14:paraId="33F6F119">
            <w:pPr>
              <w:keepNext w:val="0"/>
              <w:keepLines w:val="0"/>
              <w:pageBreakBefore w:val="0"/>
              <w:widowControl w:val="0"/>
              <w:kinsoku/>
              <w:wordWrap w:val="0"/>
              <w:overflowPunct/>
              <w:topLinePunct w:val="0"/>
              <w:autoSpaceDN/>
              <w:bidi w:val="0"/>
              <w:adjustRightInd w:val="0"/>
              <w:snapToGrid w:val="0"/>
              <w:spacing w:after="0" w:line="360" w:lineRule="auto"/>
              <w:jc w:val="both"/>
              <w:textAlignment w:val="auto"/>
              <w:rPr>
                <w:rFonts w:hint="eastAsia"/>
                <w:color w:val="000000" w:themeColor="text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t>2．未获得以上认证的，不予计分。</w:t>
            </w:r>
          </w:p>
        </w:tc>
        <w:tc>
          <w:tcPr>
            <w:tcW w:w="3971" w:type="dxa"/>
            <w:vAlign w:val="center"/>
          </w:tcPr>
          <w:p w14:paraId="55E9A437">
            <w:pPr>
              <w:keepNext w:val="0"/>
              <w:keepLines w:val="0"/>
              <w:pageBreakBefore w:val="0"/>
              <w:widowControl w:val="0"/>
              <w:kinsoku/>
              <w:wordWrap w:val="0"/>
              <w:overflowPunct/>
              <w:topLinePunct w:val="0"/>
              <w:autoSpaceDN/>
              <w:bidi w:val="0"/>
              <w:adjustRightInd w:val="0"/>
              <w:snapToGrid w:val="0"/>
              <w:spacing w:line="360" w:lineRule="exact"/>
              <w:jc w:val="both"/>
              <w:textAlignment w:val="auto"/>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t>1.需附在有效期内的认证证书彩色扫描件。</w:t>
            </w:r>
          </w:p>
          <w:p w14:paraId="1231C9A1">
            <w:pPr>
              <w:keepNext w:val="0"/>
              <w:keepLines w:val="0"/>
              <w:pageBreakBefore w:val="0"/>
              <w:widowControl w:val="0"/>
              <w:kinsoku/>
              <w:wordWrap w:val="0"/>
              <w:overflowPunct/>
              <w:topLinePunct w:val="0"/>
              <w:autoSpaceDN/>
              <w:bidi w:val="0"/>
              <w:adjustRightInd w:val="0"/>
              <w:snapToGrid w:val="0"/>
              <w:spacing w:line="360" w:lineRule="exact"/>
              <w:jc w:val="both"/>
              <w:textAlignment w:val="auto"/>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t>2.任一认证证书有以下情形之一的，该认证证书视为无效，不予计分：</w:t>
            </w:r>
          </w:p>
          <w:p w14:paraId="4AE10580">
            <w:pPr>
              <w:keepNext w:val="0"/>
              <w:keepLines w:val="0"/>
              <w:pageBreakBefore w:val="0"/>
              <w:widowControl w:val="0"/>
              <w:kinsoku/>
              <w:wordWrap w:val="0"/>
              <w:overflowPunct/>
              <w:topLinePunct w:val="0"/>
              <w:autoSpaceDN/>
              <w:bidi w:val="0"/>
              <w:adjustRightInd w:val="0"/>
              <w:snapToGrid w:val="0"/>
              <w:spacing w:line="360" w:lineRule="exact"/>
              <w:jc w:val="both"/>
              <w:textAlignment w:val="auto"/>
              <w:rPr>
                <w:rFonts w:hint="eastAsia" w:ascii="宋体" w:hAnsi="宋体" w:eastAsia="宋体" w:cs="宋体"/>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bidi="ar-SA"/>
                <w14:textFill>
                  <w14:solidFill>
                    <w14:schemeClr w14:val="tx1"/>
                  </w14:solidFill>
                </w14:textFill>
              </w:rPr>
              <w:t>①认证证书不在有效期内的。</w:t>
            </w:r>
          </w:p>
        </w:tc>
      </w:tr>
      <w:tr w14:paraId="51BE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446" w:type="dxa"/>
            <w:vAlign w:val="center"/>
          </w:tcPr>
          <w:p w14:paraId="6A856E5C">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4" w:type="dxa"/>
            <w:vMerge w:val="continue"/>
            <w:vAlign w:val="center"/>
          </w:tcPr>
          <w:p w14:paraId="09E74CA4">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49" w:type="dxa"/>
            <w:vMerge w:val="restart"/>
            <w:vAlign w:val="center"/>
          </w:tcPr>
          <w:p w14:paraId="38647EF9">
            <w:pPr>
              <w:widowControl/>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hAnsi="宋体" w:eastAsia="宋体" w:cs="宋体"/>
                <w:color w:val="000000" w:themeColor="text1"/>
                <w:kern w:val="0"/>
                <w:sz w:val="24"/>
                <w:szCs w:val="24"/>
                <w:highlight w:val="none"/>
                <w:lang w:val="en-US" w:eastAsia="zh-CN"/>
                <w14:textFill>
                  <w14:solidFill>
                    <w14:schemeClr w14:val="tx1"/>
                  </w14:solidFill>
                </w14:textFill>
              </w:rPr>
              <w:t>勘察企业（6分）</w:t>
            </w:r>
          </w:p>
        </w:tc>
        <w:tc>
          <w:tcPr>
            <w:tcW w:w="1109" w:type="dxa"/>
            <w:gridSpan w:val="2"/>
            <w:vAlign w:val="center"/>
          </w:tcPr>
          <w:p w14:paraId="533889B0">
            <w:pPr>
              <w:keepNext w:val="0"/>
              <w:keepLines w:val="0"/>
              <w:pageBreakBefore w:val="0"/>
              <w:kinsoku/>
              <w:overflowPunct/>
              <w:topLinePunct w:val="0"/>
              <w:autoSpaceDN/>
              <w:bidi w:val="0"/>
              <w:spacing w:line="360" w:lineRule="exact"/>
              <w:jc w:val="center"/>
              <w:textAlignment w:val="auto"/>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hAnsi="宋体" w:eastAsia="宋体" w:cs="宋体"/>
                <w:color w:val="000000" w:themeColor="text1"/>
                <w:sz w:val="22"/>
                <w:szCs w:val="22"/>
                <w:highlight w:val="none"/>
                <w:lang w:val="en-US" w:eastAsia="zh-CN"/>
                <w14:textFill>
                  <w14:solidFill>
                    <w14:schemeClr w14:val="tx1"/>
                  </w14:solidFill>
                </w14:textFill>
              </w:rPr>
              <w:t>勘察负责人综合素质（3分）</w:t>
            </w:r>
          </w:p>
        </w:tc>
        <w:tc>
          <w:tcPr>
            <w:tcW w:w="3869" w:type="dxa"/>
            <w:vAlign w:val="center"/>
          </w:tcPr>
          <w:p w14:paraId="271C5E73">
            <w:pPr>
              <w:keepNext w:val="0"/>
              <w:keepLines w:val="0"/>
              <w:pageBreakBefore w:val="0"/>
              <w:widowControl w:val="0"/>
              <w:numPr>
                <w:ilvl w:val="0"/>
                <w:numId w:val="3"/>
              </w:numPr>
              <w:kinsoku/>
              <w:wordWrap w:val="0"/>
              <w:overflowPunct/>
              <w:topLinePunct w:val="0"/>
              <w:autoSpaceDN/>
              <w:bidi w:val="0"/>
              <w:adjustRightInd w:val="0"/>
              <w:snapToGrid w:val="0"/>
              <w:spacing w:after="0" w:line="360" w:lineRule="auto"/>
              <w:jc w:val="both"/>
              <w:textAlignment w:val="auto"/>
              <w:rPr>
                <w:rFonts w:hint="default"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拟委派本项目的勘察负责人具备岩土类高级工程师（或以上）技术职称的得3分；</w:t>
            </w:r>
          </w:p>
          <w:p w14:paraId="031B7EF7">
            <w:pPr>
              <w:keepNext w:val="0"/>
              <w:keepLines w:val="0"/>
              <w:pageBreakBefore w:val="0"/>
              <w:widowControl w:val="0"/>
              <w:numPr>
                <w:ilvl w:val="0"/>
                <w:numId w:val="3"/>
              </w:numPr>
              <w:kinsoku/>
              <w:wordWrap w:val="0"/>
              <w:overflowPunct/>
              <w:topLinePunct w:val="0"/>
              <w:autoSpaceDN/>
              <w:bidi w:val="0"/>
              <w:adjustRightInd w:val="0"/>
              <w:snapToGrid w:val="0"/>
              <w:spacing w:after="0" w:line="360" w:lineRule="auto"/>
              <w:jc w:val="both"/>
              <w:textAlignment w:val="auto"/>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拟委派本项目的勘察负责人具备岩土类工程师技术职称的得2分；</w:t>
            </w:r>
          </w:p>
          <w:p w14:paraId="251E1A0B">
            <w:pPr>
              <w:keepNext w:val="0"/>
              <w:keepLines w:val="0"/>
              <w:pageBreakBefore w:val="0"/>
              <w:widowControl w:val="0"/>
              <w:numPr>
                <w:ilvl w:val="0"/>
                <w:numId w:val="3"/>
              </w:numPr>
              <w:kinsoku/>
              <w:wordWrap w:val="0"/>
              <w:overflowPunct/>
              <w:topLinePunct w:val="0"/>
              <w:autoSpaceDN/>
              <w:bidi w:val="0"/>
              <w:adjustRightInd w:val="0"/>
              <w:snapToGrid w:val="0"/>
              <w:spacing w:after="0" w:line="360" w:lineRule="auto"/>
              <w:jc w:val="both"/>
              <w:textAlignment w:val="auto"/>
              <w:rPr>
                <w:rFonts w:hint="default"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拟委派本项目的勘察负责人具备岩土类助理工程师技术职称的得1分；</w:t>
            </w:r>
          </w:p>
          <w:p w14:paraId="1E57C2DD">
            <w:pPr>
              <w:keepNext w:val="0"/>
              <w:keepLines w:val="0"/>
              <w:pageBreakBefore w:val="0"/>
              <w:widowControl w:val="0"/>
              <w:numPr>
                <w:ilvl w:val="0"/>
                <w:numId w:val="3"/>
              </w:numPr>
              <w:kinsoku/>
              <w:wordWrap w:val="0"/>
              <w:overflowPunct/>
              <w:topLinePunct w:val="0"/>
              <w:autoSpaceDN/>
              <w:bidi w:val="0"/>
              <w:adjustRightInd w:val="0"/>
              <w:snapToGrid w:val="0"/>
              <w:spacing w:after="0" w:line="360" w:lineRule="auto"/>
              <w:jc w:val="both"/>
              <w:textAlignment w:val="auto"/>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其他情形的，不予计分。</w:t>
            </w:r>
          </w:p>
          <w:p w14:paraId="440F943A">
            <w:pPr>
              <w:keepNext w:val="0"/>
              <w:keepLines w:val="0"/>
              <w:pageBreakBefore w:val="0"/>
              <w:widowControl w:val="0"/>
              <w:numPr>
                <w:ilvl w:val="0"/>
                <w:numId w:val="3"/>
              </w:numPr>
              <w:kinsoku/>
              <w:wordWrap w:val="0"/>
              <w:overflowPunct/>
              <w:topLinePunct w:val="0"/>
              <w:autoSpaceDN/>
              <w:bidi w:val="0"/>
              <w:adjustRightInd w:val="0"/>
              <w:snapToGrid w:val="0"/>
              <w:spacing w:after="0" w:line="360" w:lineRule="auto"/>
              <w:jc w:val="both"/>
              <w:textAlignment w:val="auto"/>
              <w:rPr>
                <w:rFonts w:hint="default"/>
                <w:color w:val="000000" w:themeColor="text1"/>
                <w:highlight w:val="none"/>
                <w:lang w:val="en-US" w:eastAsia="zh-CN"/>
                <w14:textFill>
                  <w14:solidFill>
                    <w14:schemeClr w14:val="tx1"/>
                  </w14:solidFill>
                </w14:textFill>
              </w:rPr>
            </w:pPr>
            <w:r>
              <w:rPr>
                <w:rFonts w:hint="eastAsia" w:hAnsi="宋体" w:eastAsia="宋体" w:cs="宋体"/>
                <w:snapToGrid w:val="0"/>
                <w:color w:val="000000" w:themeColor="text1"/>
                <w:kern w:val="0"/>
                <w:sz w:val="22"/>
                <w:szCs w:val="22"/>
                <w:highlight w:val="none"/>
                <w:lang w:val="en-US" w:eastAsia="zh-CN" w:bidi="ar-SA"/>
                <w14:textFill>
                  <w14:solidFill>
                    <w14:schemeClr w14:val="tx1"/>
                  </w14:solidFill>
                </w14:textFill>
              </w:rPr>
              <w:t>本项最高得3分。</w:t>
            </w:r>
          </w:p>
        </w:tc>
        <w:tc>
          <w:tcPr>
            <w:tcW w:w="3971" w:type="dxa"/>
            <w:vAlign w:val="center"/>
          </w:tcPr>
          <w:p w14:paraId="0321582A">
            <w:pPr>
              <w:keepNext w:val="0"/>
              <w:keepLines w:val="0"/>
              <w:pageBreakBefore w:val="0"/>
              <w:widowControl w:val="0"/>
              <w:numPr>
                <w:ilvl w:val="0"/>
                <w:numId w:val="4"/>
              </w:numPr>
              <w:kinsoku/>
              <w:wordWrap w:val="0"/>
              <w:overflowPunct/>
              <w:topLinePunct w:val="0"/>
              <w:autoSpaceDN/>
              <w:bidi w:val="0"/>
              <w:adjustRightInd w:val="0"/>
              <w:snapToGrid w:val="0"/>
              <w:spacing w:line="360" w:lineRule="exact"/>
              <w:jc w:val="both"/>
              <w:textAlignment w:val="auto"/>
              <w:rPr>
                <w:rFonts w:hint="eastAsia"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需附职称证彩色扫描件（或电子职称证书）。</w:t>
            </w:r>
          </w:p>
          <w:p w14:paraId="00ACF714">
            <w:pPr>
              <w:keepNext w:val="0"/>
              <w:keepLines w:val="0"/>
              <w:pageBreakBefore w:val="0"/>
              <w:widowControl w:val="0"/>
              <w:numPr>
                <w:ilvl w:val="0"/>
                <w:numId w:val="4"/>
              </w:numPr>
              <w:kinsoku/>
              <w:wordWrap w:val="0"/>
              <w:overflowPunct/>
              <w:topLinePunct w:val="0"/>
              <w:autoSpaceDN/>
              <w:bidi w:val="0"/>
              <w:adjustRightInd w:val="0"/>
              <w:snapToGrid w:val="0"/>
              <w:spacing w:line="360" w:lineRule="exact"/>
              <w:jc w:val="both"/>
              <w:textAlignment w:val="auto"/>
              <w:rPr>
                <w:rFonts w:hint="default"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需提供勘察负责人在本单位缴纳连续3个月社保的证明（其中必须有2026年2月）彩色扫描件，返聘人员除外；若是退休人员需提供退休证和返聘合同（协议）彩色扫描件。</w:t>
            </w:r>
          </w:p>
          <w:p w14:paraId="4BEFBEF4">
            <w:pPr>
              <w:keepNext w:val="0"/>
              <w:keepLines w:val="0"/>
              <w:pageBreakBefore w:val="0"/>
              <w:widowControl w:val="0"/>
              <w:numPr>
                <w:ilvl w:val="0"/>
                <w:numId w:val="4"/>
              </w:numPr>
              <w:kinsoku/>
              <w:wordWrap w:val="0"/>
              <w:overflowPunct/>
              <w:topLinePunct w:val="0"/>
              <w:autoSpaceDN/>
              <w:bidi w:val="0"/>
              <w:adjustRightInd w:val="0"/>
              <w:snapToGrid w:val="0"/>
              <w:spacing w:line="360" w:lineRule="exact"/>
              <w:jc w:val="both"/>
              <w:textAlignment w:val="auto"/>
              <w:rPr>
                <w:rFonts w:hint="default"/>
                <w:color w:val="000000" w:themeColor="text1"/>
                <w:highlight w:val="none"/>
                <w:lang w:val="en-US" w:eastAsia="zh-CN"/>
                <w14:textFill>
                  <w14:solidFill>
                    <w14:schemeClr w14:val="tx1"/>
                  </w14:solidFill>
                </w14:textFill>
              </w:rPr>
            </w:pP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非独立法人分支机构出具社保，予以认可。</w:t>
            </w:r>
          </w:p>
        </w:tc>
      </w:tr>
      <w:tr w14:paraId="6E3A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7" w:hRule="atLeast"/>
          <w:jc w:val="center"/>
        </w:trPr>
        <w:tc>
          <w:tcPr>
            <w:tcW w:w="446" w:type="dxa"/>
            <w:vAlign w:val="center"/>
          </w:tcPr>
          <w:p w14:paraId="4E07F7B3">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4" w:type="dxa"/>
            <w:vMerge w:val="continue"/>
            <w:vAlign w:val="center"/>
          </w:tcPr>
          <w:p w14:paraId="582638F0">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949" w:type="dxa"/>
            <w:vMerge w:val="continue"/>
            <w:vAlign w:val="center"/>
          </w:tcPr>
          <w:p w14:paraId="5E55346A">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109" w:type="dxa"/>
            <w:gridSpan w:val="2"/>
            <w:vAlign w:val="center"/>
          </w:tcPr>
          <w:p w14:paraId="5D4E3F0E">
            <w:pPr>
              <w:keepNext w:val="0"/>
              <w:keepLines w:val="0"/>
              <w:pageBreakBefore w:val="0"/>
              <w:kinsoku/>
              <w:overflowPunct/>
              <w:topLinePunct w:val="0"/>
              <w:autoSpaceDN/>
              <w:bidi w:val="0"/>
              <w:spacing w:line="360" w:lineRule="exact"/>
              <w:jc w:val="center"/>
              <w:textAlignment w:val="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hAnsi="宋体" w:eastAsia="宋体" w:cs="宋体"/>
                <w:color w:val="000000" w:themeColor="text1"/>
                <w:sz w:val="22"/>
                <w:szCs w:val="22"/>
                <w:highlight w:val="none"/>
                <w:lang w:val="en-US" w:eastAsia="zh-CN"/>
                <w14:textFill>
                  <w14:solidFill>
                    <w14:schemeClr w14:val="tx1"/>
                  </w14:solidFill>
                </w14:textFill>
              </w:rPr>
              <w:t>企业业绩（3分）</w:t>
            </w:r>
          </w:p>
        </w:tc>
        <w:tc>
          <w:tcPr>
            <w:tcW w:w="3869" w:type="dxa"/>
            <w:vAlign w:val="center"/>
          </w:tcPr>
          <w:p w14:paraId="0B456EA5">
            <w:pPr>
              <w:keepNext w:val="0"/>
              <w:keepLines w:val="0"/>
              <w:pageBreakBefore w:val="0"/>
              <w:widowControl w:val="0"/>
              <w:kinsoku/>
              <w:wordWrap w:val="0"/>
              <w:overflowPunct/>
              <w:topLinePunct w:val="0"/>
              <w:autoSpaceDN/>
              <w:bidi w:val="0"/>
              <w:adjustRightInd w:val="0"/>
              <w:snapToGrid w:val="0"/>
              <w:spacing w:line="360" w:lineRule="exact"/>
              <w:jc w:val="both"/>
              <w:textAlignment w:val="auto"/>
              <w:rPr>
                <w:rFonts w:hint="eastAsia"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企业近5年来（2021年1月1日至今）业绩情况：</w:t>
            </w:r>
          </w:p>
          <w:p w14:paraId="1FF755D2">
            <w:pPr>
              <w:keepNext w:val="0"/>
              <w:keepLines w:val="0"/>
              <w:pageBreakBefore w:val="0"/>
              <w:widowControl w:val="0"/>
              <w:kinsoku/>
              <w:wordWrap w:val="0"/>
              <w:overflowPunct/>
              <w:topLinePunct w:val="0"/>
              <w:autoSpaceDN/>
              <w:bidi w:val="0"/>
              <w:adjustRightInd w:val="0"/>
              <w:snapToGrid w:val="0"/>
              <w:spacing w:line="360" w:lineRule="exact"/>
              <w:jc w:val="both"/>
              <w:textAlignment w:val="auto"/>
              <w:rPr>
                <w:rFonts w:hint="eastAsia"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1.</w:t>
            </w:r>
            <w:r>
              <w:rPr>
                <w:rFonts w:hint="eastAsia" w:hAnsi="宋体" w:eastAsia="宋体" w:cs="宋体"/>
                <w:b/>
                <w:bCs/>
                <w:color w:val="000000" w:themeColor="text1"/>
                <w:kern w:val="0"/>
                <w:sz w:val="22"/>
                <w:szCs w:val="22"/>
                <w:highlight w:val="none"/>
                <w:u w:val="single"/>
                <w:lang w:val="en-US" w:eastAsia="zh-CN" w:bidi="ar-SA"/>
                <w14:textFill>
                  <w14:solidFill>
                    <w14:schemeClr w14:val="tx1"/>
                  </w14:solidFill>
                </w14:textFill>
              </w:rPr>
              <w:t>承接</w:t>
            </w: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过类似项目的，每个得3分。</w:t>
            </w:r>
          </w:p>
          <w:p w14:paraId="38ACB428">
            <w:pPr>
              <w:keepNext w:val="0"/>
              <w:keepLines w:val="0"/>
              <w:pageBreakBefore w:val="0"/>
              <w:widowControl w:val="0"/>
              <w:kinsoku/>
              <w:wordWrap w:val="0"/>
              <w:overflowPunct/>
              <w:topLinePunct w:val="0"/>
              <w:autoSpaceDN/>
              <w:bidi w:val="0"/>
              <w:adjustRightInd w:val="0"/>
              <w:snapToGrid w:val="0"/>
              <w:spacing w:line="360" w:lineRule="exact"/>
              <w:jc w:val="both"/>
              <w:textAlignment w:val="auto"/>
              <w:rPr>
                <w:rFonts w:hint="default"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2.</w:t>
            </w:r>
            <w:r>
              <w:rPr>
                <w:rFonts w:hint="eastAsia" w:hAnsi="宋体" w:eastAsia="宋体" w:cs="宋体"/>
                <w:b/>
                <w:bCs/>
                <w:color w:val="000000" w:themeColor="text1"/>
                <w:kern w:val="0"/>
                <w:sz w:val="22"/>
                <w:szCs w:val="22"/>
                <w:highlight w:val="none"/>
                <w:u w:val="single"/>
                <w:lang w:val="en-US" w:eastAsia="zh-CN" w:bidi="ar-SA"/>
                <w14:textFill>
                  <w14:solidFill>
                    <w14:schemeClr w14:val="tx1"/>
                  </w14:solidFill>
                </w14:textFill>
              </w:rPr>
              <w:t>未承接</w:t>
            </w: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过类似项目的，不予计分。</w:t>
            </w:r>
          </w:p>
          <w:p w14:paraId="3FC021FB">
            <w:pPr>
              <w:keepNext w:val="0"/>
              <w:keepLines w:val="0"/>
              <w:pageBreakBefore w:val="0"/>
              <w:widowControl w:val="0"/>
              <w:kinsoku/>
              <w:wordWrap w:val="0"/>
              <w:overflowPunct/>
              <w:topLinePunct w:val="0"/>
              <w:autoSpaceDN/>
              <w:bidi w:val="0"/>
              <w:adjustRightInd w:val="0"/>
              <w:snapToGrid w:val="0"/>
              <w:spacing w:line="360" w:lineRule="exact"/>
              <w:jc w:val="both"/>
              <w:textAlignment w:val="auto"/>
              <w:rPr>
                <w:rFonts w:hint="default"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3.本项最高得3分。</w:t>
            </w:r>
          </w:p>
        </w:tc>
        <w:tc>
          <w:tcPr>
            <w:tcW w:w="3971" w:type="dxa"/>
            <w:vAlign w:val="center"/>
          </w:tcPr>
          <w:p w14:paraId="2F2900D9">
            <w:pPr>
              <w:keepNext w:val="0"/>
              <w:keepLines w:val="0"/>
              <w:pageBreakBefore w:val="0"/>
              <w:widowControl w:val="0"/>
              <w:kinsoku/>
              <w:wordWrap w:val="0"/>
              <w:overflowPunct/>
              <w:topLinePunct w:val="0"/>
              <w:autoSpaceDN/>
              <w:bidi w:val="0"/>
              <w:adjustRightInd w:val="0"/>
              <w:snapToGrid w:val="0"/>
              <w:spacing w:line="360" w:lineRule="exact"/>
              <w:jc w:val="both"/>
              <w:textAlignment w:val="auto"/>
              <w:rPr>
                <w:rFonts w:hint="eastAsia"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1.类似项目指：</w:t>
            </w:r>
            <w:r>
              <w:rPr>
                <w:rFonts w:hint="eastAsia" w:hAnsi="宋体" w:eastAsia="宋体" w:cs="宋体"/>
                <w:color w:val="000000" w:themeColor="text1"/>
                <w:kern w:val="0"/>
                <w:sz w:val="22"/>
                <w:szCs w:val="22"/>
                <w:highlight w:val="none"/>
                <w:u w:val="single"/>
                <w:lang w:val="en-US" w:eastAsia="zh-CN" w:bidi="ar-SA"/>
                <w14:textFill>
                  <w14:solidFill>
                    <w14:schemeClr w14:val="tx1"/>
                  </w14:solidFill>
                </w14:textFill>
              </w:rPr>
              <w:t>市政工程类勘察项目（含勘察、勘察设计、勘察设计施工总承包项目）</w:t>
            </w: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w:t>
            </w:r>
          </w:p>
          <w:p w14:paraId="1D26B7DF">
            <w:pPr>
              <w:keepNext w:val="0"/>
              <w:keepLines w:val="0"/>
              <w:pageBreakBefore w:val="0"/>
              <w:widowControl w:val="0"/>
              <w:kinsoku/>
              <w:wordWrap w:val="0"/>
              <w:overflowPunct/>
              <w:topLinePunct w:val="0"/>
              <w:autoSpaceDN/>
              <w:bidi w:val="0"/>
              <w:adjustRightInd w:val="0"/>
              <w:snapToGrid w:val="0"/>
              <w:spacing w:line="360" w:lineRule="exact"/>
              <w:jc w:val="both"/>
              <w:textAlignment w:val="auto"/>
              <w:rPr>
                <w:rFonts w:hint="eastAsia"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2.需附业绩合同协议书关键页或中标通知书彩色扫描件。</w:t>
            </w:r>
          </w:p>
          <w:p w14:paraId="335FBCA5">
            <w:pPr>
              <w:keepNext w:val="0"/>
              <w:keepLines w:val="0"/>
              <w:pageBreakBefore w:val="0"/>
              <w:widowControl w:val="0"/>
              <w:kinsoku/>
              <w:wordWrap w:val="0"/>
              <w:overflowPunct/>
              <w:topLinePunct w:val="0"/>
              <w:autoSpaceDN/>
              <w:bidi w:val="0"/>
              <w:adjustRightInd w:val="0"/>
              <w:snapToGrid w:val="0"/>
              <w:spacing w:line="360" w:lineRule="exact"/>
              <w:jc w:val="both"/>
              <w:textAlignment w:val="auto"/>
              <w:rPr>
                <w:rFonts w:hint="eastAsia"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3.业绩时间以中标通知书或合同协议书日期为准。</w:t>
            </w:r>
          </w:p>
          <w:p w14:paraId="6ABD3CBA">
            <w:pPr>
              <w:keepNext w:val="0"/>
              <w:keepLines w:val="0"/>
              <w:pageBreakBefore w:val="0"/>
              <w:widowControl w:val="0"/>
              <w:kinsoku/>
              <w:wordWrap w:val="0"/>
              <w:overflowPunct/>
              <w:topLinePunct w:val="0"/>
              <w:autoSpaceDN/>
              <w:bidi w:val="0"/>
              <w:adjustRightInd w:val="0"/>
              <w:snapToGrid w:val="0"/>
              <w:spacing w:line="360" w:lineRule="exact"/>
              <w:jc w:val="both"/>
              <w:textAlignment w:val="auto"/>
              <w:rPr>
                <w:rFonts w:hint="eastAsia"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4.任一业绩有以下情形之一的，该业绩视为无效，不予计分：</w:t>
            </w:r>
          </w:p>
          <w:p w14:paraId="7CC0B2E5">
            <w:pPr>
              <w:keepNext w:val="0"/>
              <w:keepLines w:val="0"/>
              <w:pageBreakBefore w:val="0"/>
              <w:widowControl w:val="0"/>
              <w:kinsoku/>
              <w:wordWrap w:val="0"/>
              <w:overflowPunct/>
              <w:topLinePunct w:val="0"/>
              <w:autoSpaceDN/>
              <w:bidi w:val="0"/>
              <w:adjustRightInd w:val="0"/>
              <w:snapToGrid w:val="0"/>
              <w:spacing w:line="360" w:lineRule="exact"/>
              <w:jc w:val="both"/>
              <w:textAlignment w:val="auto"/>
              <w:rPr>
                <w:rFonts w:hint="eastAsia"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①业绩不属于类似项目的；</w:t>
            </w:r>
          </w:p>
          <w:p w14:paraId="53A04D8A">
            <w:pPr>
              <w:keepNext w:val="0"/>
              <w:keepLines w:val="0"/>
              <w:pageBreakBefore w:val="0"/>
              <w:widowControl w:val="0"/>
              <w:kinsoku/>
              <w:wordWrap w:val="0"/>
              <w:overflowPunct/>
              <w:topLinePunct w:val="0"/>
              <w:autoSpaceDN/>
              <w:bidi w:val="0"/>
              <w:adjustRightInd w:val="0"/>
              <w:snapToGrid w:val="0"/>
              <w:spacing w:line="360" w:lineRule="exact"/>
              <w:jc w:val="both"/>
              <w:textAlignment w:val="auto"/>
              <w:rPr>
                <w:rFonts w:hint="default" w:hAnsi="宋体" w:eastAsia="宋体" w:cs="宋体"/>
                <w:color w:val="000000" w:themeColor="text1"/>
                <w:kern w:val="0"/>
                <w:sz w:val="22"/>
                <w:szCs w:val="22"/>
                <w:highlight w:val="none"/>
                <w:lang w:val="en-US" w:eastAsia="zh-CN" w:bidi="ar-SA"/>
                <w14:textFill>
                  <w14:solidFill>
                    <w14:schemeClr w14:val="tx1"/>
                  </w14:solidFill>
                </w14:textFill>
              </w:rPr>
            </w:pPr>
            <w:r>
              <w:rPr>
                <w:rFonts w:hint="eastAsia" w:hAnsi="宋体" w:eastAsia="宋体" w:cs="宋体"/>
                <w:color w:val="000000" w:themeColor="text1"/>
                <w:kern w:val="0"/>
                <w:sz w:val="22"/>
                <w:szCs w:val="22"/>
                <w:highlight w:val="none"/>
                <w:lang w:val="en-US" w:eastAsia="zh-CN" w:bidi="ar-SA"/>
                <w14:textFill>
                  <w14:solidFill>
                    <w14:schemeClr w14:val="tx1"/>
                  </w14:solidFill>
                </w14:textFill>
              </w:rPr>
              <w:t>②业绩时间不符合要求的。</w:t>
            </w:r>
          </w:p>
        </w:tc>
      </w:tr>
      <w:tr w14:paraId="3BA3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jc w:val="center"/>
        </w:trPr>
        <w:tc>
          <w:tcPr>
            <w:tcW w:w="446" w:type="dxa"/>
            <w:vMerge w:val="restart"/>
            <w:vAlign w:val="center"/>
          </w:tcPr>
          <w:p w14:paraId="3E264406">
            <w:pPr>
              <w:widowControl/>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hAnsi="宋体" w:eastAsia="宋体" w:cs="宋体" w:asciiTheme="minorHAnsi"/>
                <w:color w:val="000000" w:themeColor="text1"/>
                <w:kern w:val="0"/>
                <w:sz w:val="24"/>
                <w:szCs w:val="24"/>
                <w:highlight w:val="none"/>
                <w:lang w:val="en-US" w:eastAsia="zh-CN"/>
                <w14:textFill>
                  <w14:solidFill>
                    <w14:schemeClr w14:val="tx1"/>
                  </w14:solidFill>
                </w14:textFill>
              </w:rPr>
              <w:t>2</w:t>
            </w:r>
          </w:p>
        </w:tc>
        <w:tc>
          <w:tcPr>
            <w:tcW w:w="714" w:type="dxa"/>
            <w:vMerge w:val="restart"/>
            <w:vAlign w:val="center"/>
          </w:tcPr>
          <w:p w14:paraId="46E63E80">
            <w:pPr>
              <w:widowControl/>
              <w:jc w:val="center"/>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技术</w:t>
            </w:r>
            <w:r>
              <w:rPr>
                <w:rFonts w:hint="eastAsia" w:hAnsi="宋体" w:eastAsia="宋体" w:cs="宋体"/>
                <w:b/>
                <w:bCs/>
                <w:color w:val="000000" w:themeColor="text1"/>
                <w:kern w:val="0"/>
                <w:sz w:val="24"/>
                <w:szCs w:val="24"/>
                <w:highlight w:val="none"/>
                <w:lang w:val="en-US" w:eastAsia="zh-CN"/>
                <w14:textFill>
                  <w14:solidFill>
                    <w14:schemeClr w14:val="tx1"/>
                  </w14:solidFill>
                </w14:textFill>
              </w:rPr>
              <w:t>建议书</w:t>
            </w: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20</w:t>
            </w:r>
            <w:r>
              <w:rPr>
                <w:rFonts w:hint="eastAsia" w:ascii="宋体" w:hAnsi="宋体" w:eastAsia="宋体" w:cs="宋体"/>
                <w:b/>
                <w:bCs/>
                <w:color w:val="000000" w:themeColor="text1"/>
                <w:kern w:val="0"/>
                <w:sz w:val="24"/>
                <w:szCs w:val="24"/>
                <w:highlight w:val="none"/>
                <w14:textFill>
                  <w14:solidFill>
                    <w14:schemeClr w14:val="tx1"/>
                  </w14:solidFill>
                </w14:textFill>
              </w:rPr>
              <w:t>分</w:t>
            </w: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w:t>
            </w:r>
          </w:p>
        </w:tc>
        <w:tc>
          <w:tcPr>
            <w:tcW w:w="1349" w:type="dxa"/>
            <w:gridSpan w:val="2"/>
            <w:shd w:val="clear" w:color="auto" w:fill="auto"/>
            <w:vAlign w:val="center"/>
          </w:tcPr>
          <w:p w14:paraId="79B6A492">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对项目的概况</w:t>
            </w:r>
            <w:r>
              <w:rPr>
                <w:rFonts w:hint="eastAsia" w:eastAsia="宋体" w:cs="宋体"/>
                <w:color w:val="000000" w:themeColor="text1"/>
                <w:sz w:val="21"/>
                <w:szCs w:val="21"/>
                <w:highlight w:val="none"/>
                <w:lang w:val="en-US" w:eastAsia="zh-CN"/>
                <w14:textFill>
                  <w14:solidFill>
                    <w14:schemeClr w14:val="tx1"/>
                  </w14:solidFill>
                </w14:textFill>
              </w:rPr>
              <w:t>及建设条件</w:t>
            </w:r>
            <w:r>
              <w:rPr>
                <w:rFonts w:hint="eastAsia" w:ascii="宋体" w:hAnsi="宋体" w:eastAsia="宋体" w:cs="宋体"/>
                <w:color w:val="000000" w:themeColor="text1"/>
                <w:sz w:val="21"/>
                <w:szCs w:val="21"/>
                <w:highlight w:val="none"/>
                <w14:textFill>
                  <w14:solidFill>
                    <w14:schemeClr w14:val="tx1"/>
                  </w14:solidFill>
                </w14:textFill>
              </w:rPr>
              <w:t>的了解</w:t>
            </w:r>
          </w:p>
          <w:p w14:paraId="270F1E47">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宋体" w:hAnsi="宋体" w:eastAsia="宋体" w:cs="宋体"/>
                <w:b w:val="0"/>
                <w:bCs w:val="0"/>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8549" w:type="dxa"/>
            <w:gridSpan w:val="3"/>
            <w:shd w:val="clear" w:color="auto" w:fill="auto"/>
            <w:vAlign w:val="center"/>
          </w:tcPr>
          <w:p w14:paraId="0EC8A938">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对本次招标项目的概况、规模</w:t>
            </w:r>
            <w:r>
              <w:rPr>
                <w:rFonts w:hint="eastAsia" w:eastAsia="宋体" w:cs="宋体"/>
                <w:color w:val="000000" w:themeColor="text1"/>
                <w:sz w:val="21"/>
                <w:szCs w:val="21"/>
                <w:highlight w:val="none"/>
                <w:lang w:val="en-US" w:eastAsia="zh-CN"/>
                <w14:textFill>
                  <w14:solidFill>
                    <w14:schemeClr w14:val="tx1"/>
                  </w14:solidFill>
                </w14:textFill>
              </w:rPr>
              <w:t>及建设条件</w:t>
            </w:r>
            <w:r>
              <w:rPr>
                <w:rFonts w:hint="eastAsia" w:ascii="宋体" w:hAnsi="宋体" w:eastAsia="宋体" w:cs="宋体"/>
                <w:color w:val="000000" w:themeColor="text1"/>
                <w:sz w:val="21"/>
                <w:szCs w:val="21"/>
                <w:highlight w:val="none"/>
                <w14:textFill>
                  <w14:solidFill>
                    <w14:schemeClr w14:val="tx1"/>
                  </w14:solidFill>
                </w14:textFill>
              </w:rPr>
              <w:t>等描述详尽、透彻的。有此项描述得基本分</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分。</w:t>
            </w:r>
          </w:p>
          <w:p w14:paraId="3E0195F5">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【优】得该细项分的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.0分；</w:t>
            </w:r>
          </w:p>
          <w:p w14:paraId="2EB382EB">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p w14:paraId="4C68C9C5">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【合格】得该细项分的</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w:t>
            </w:r>
          </w:p>
          <w:p w14:paraId="0C04482C">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b w:val="0"/>
                <w:bCs w:val="0"/>
                <w:color w:val="000000" w:themeColor="text1"/>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不提供材料或无该项描述的得0分。</w:t>
            </w:r>
          </w:p>
        </w:tc>
      </w:tr>
      <w:tr w14:paraId="33DB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jc w:val="center"/>
        </w:trPr>
        <w:tc>
          <w:tcPr>
            <w:tcW w:w="446" w:type="dxa"/>
            <w:vMerge w:val="continue"/>
            <w:vAlign w:val="center"/>
          </w:tcPr>
          <w:p w14:paraId="4D4456F0">
            <w:pPr>
              <w:widowControl/>
              <w:jc w:val="center"/>
              <w:rPr>
                <w:rFonts w:hint="eastAsia" w:hAnsi="宋体" w:eastAsia="宋体" w:cs="宋体" w:asciiTheme="minorHAnsi"/>
                <w:color w:val="000000" w:themeColor="text1"/>
                <w:kern w:val="0"/>
                <w:sz w:val="24"/>
                <w:szCs w:val="24"/>
                <w:highlight w:val="none"/>
                <w:lang w:val="en-US" w:eastAsia="zh-CN"/>
                <w14:textFill>
                  <w14:solidFill>
                    <w14:schemeClr w14:val="tx1"/>
                  </w14:solidFill>
                </w14:textFill>
              </w:rPr>
            </w:pPr>
          </w:p>
        </w:tc>
        <w:tc>
          <w:tcPr>
            <w:tcW w:w="714" w:type="dxa"/>
            <w:vMerge w:val="continue"/>
            <w:vAlign w:val="center"/>
          </w:tcPr>
          <w:p w14:paraId="1513B995">
            <w:pPr>
              <w:widowControl/>
              <w:jc w:val="center"/>
              <w:rPr>
                <w:rFonts w:hint="eastAsia" w:ascii="宋体" w:hAnsi="宋体" w:eastAsia="宋体" w:cs="宋体"/>
                <w:b/>
                <w:bCs/>
                <w:color w:val="000000" w:themeColor="text1"/>
                <w:kern w:val="0"/>
                <w:sz w:val="24"/>
                <w:szCs w:val="24"/>
                <w:highlight w:val="none"/>
                <w14:textFill>
                  <w14:solidFill>
                    <w14:schemeClr w14:val="tx1"/>
                  </w14:solidFill>
                </w14:textFill>
              </w:rPr>
            </w:pPr>
          </w:p>
        </w:tc>
        <w:tc>
          <w:tcPr>
            <w:tcW w:w="1349" w:type="dxa"/>
            <w:gridSpan w:val="2"/>
            <w:shd w:val="clear" w:color="auto" w:fill="auto"/>
            <w:vAlign w:val="center"/>
          </w:tcPr>
          <w:p w14:paraId="7853F923">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设计方案思路</w:t>
            </w:r>
          </w:p>
          <w:p w14:paraId="7291A670">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8549" w:type="dxa"/>
            <w:gridSpan w:val="3"/>
            <w:shd w:val="clear" w:color="auto" w:fill="auto"/>
            <w:vAlign w:val="center"/>
          </w:tcPr>
          <w:p w14:paraId="603F973A">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方案能对项目设计所涉及的相关方面问题提出合理设计思路、经济性及可行性分析详细的，符合现场客观情况的。有此项描述得基本分</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分。</w:t>
            </w:r>
          </w:p>
          <w:p w14:paraId="47B283B5">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【优】得该细项分的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.0分；</w:t>
            </w:r>
          </w:p>
          <w:p w14:paraId="3C23E746">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p w14:paraId="666ED374">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【合格】得该细项分的</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w:t>
            </w:r>
          </w:p>
          <w:p w14:paraId="51F3EAEE">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不提供材料或无该项描述的得0分。</w:t>
            </w:r>
          </w:p>
        </w:tc>
      </w:tr>
      <w:tr w14:paraId="177C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9" w:hRule="atLeast"/>
          <w:jc w:val="center"/>
        </w:trPr>
        <w:tc>
          <w:tcPr>
            <w:tcW w:w="446" w:type="dxa"/>
            <w:vMerge w:val="continue"/>
            <w:vAlign w:val="center"/>
          </w:tcPr>
          <w:p w14:paraId="0B976F38">
            <w:pPr>
              <w:widowControl/>
              <w:jc w:val="center"/>
              <w:rPr>
                <w:rFonts w:hint="eastAsia" w:hAnsi="宋体" w:eastAsia="宋体" w:cs="宋体" w:asciiTheme="minorHAnsi"/>
                <w:color w:val="000000" w:themeColor="text1"/>
                <w:kern w:val="0"/>
                <w:sz w:val="24"/>
                <w:szCs w:val="24"/>
                <w:highlight w:val="none"/>
                <w:lang w:val="en-US" w:eastAsia="zh-CN"/>
                <w14:textFill>
                  <w14:solidFill>
                    <w14:schemeClr w14:val="tx1"/>
                  </w14:solidFill>
                </w14:textFill>
              </w:rPr>
            </w:pPr>
          </w:p>
        </w:tc>
        <w:tc>
          <w:tcPr>
            <w:tcW w:w="714" w:type="dxa"/>
            <w:vMerge w:val="continue"/>
            <w:vAlign w:val="center"/>
          </w:tcPr>
          <w:p w14:paraId="42578125">
            <w:pPr>
              <w:widowControl/>
              <w:jc w:val="center"/>
              <w:rPr>
                <w:rFonts w:hint="eastAsia" w:ascii="宋体" w:hAnsi="宋体" w:eastAsia="宋体" w:cs="宋体"/>
                <w:b/>
                <w:bCs/>
                <w:color w:val="000000" w:themeColor="text1"/>
                <w:kern w:val="0"/>
                <w:sz w:val="24"/>
                <w:szCs w:val="24"/>
                <w:highlight w:val="none"/>
                <w14:textFill>
                  <w14:solidFill>
                    <w14:schemeClr w14:val="tx1"/>
                  </w14:solidFill>
                </w14:textFill>
              </w:rPr>
            </w:pPr>
          </w:p>
        </w:tc>
        <w:tc>
          <w:tcPr>
            <w:tcW w:w="1349" w:type="dxa"/>
            <w:gridSpan w:val="2"/>
            <w:shd w:val="clear" w:color="auto" w:fill="auto"/>
            <w:vAlign w:val="center"/>
          </w:tcPr>
          <w:p w14:paraId="68AE76E4">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进度计划安排及保证措施</w:t>
            </w:r>
          </w:p>
          <w:p w14:paraId="599C2559">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8549" w:type="dxa"/>
            <w:gridSpan w:val="3"/>
            <w:shd w:val="clear" w:color="auto" w:fill="auto"/>
            <w:vAlign w:val="center"/>
          </w:tcPr>
          <w:p w14:paraId="38F22095">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进度</w:t>
            </w:r>
            <w:r>
              <w:rPr>
                <w:rFonts w:hint="eastAsia" w:eastAsia="宋体" w:cs="宋体"/>
                <w:color w:val="000000" w:themeColor="text1"/>
                <w:sz w:val="21"/>
                <w:szCs w:val="21"/>
                <w:highlight w:val="none"/>
                <w:lang w:val="en-US" w:eastAsia="zh-CN"/>
                <w14:textFill>
                  <w14:solidFill>
                    <w14:schemeClr w14:val="tx1"/>
                  </w14:solidFill>
                </w14:textFill>
              </w:rPr>
              <w:t>计划安排及保证</w:t>
            </w:r>
            <w:r>
              <w:rPr>
                <w:rFonts w:hint="eastAsia" w:ascii="宋体" w:hAnsi="宋体" w:eastAsia="宋体" w:cs="宋体"/>
                <w:color w:val="000000" w:themeColor="text1"/>
                <w:sz w:val="21"/>
                <w:szCs w:val="21"/>
                <w:highlight w:val="none"/>
                <w14:textFill>
                  <w14:solidFill>
                    <w14:schemeClr w14:val="tx1"/>
                  </w14:solidFill>
                </w14:textFill>
              </w:rPr>
              <w:t>措施具体、针对性强。有此项描述得基本分</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分。</w:t>
            </w:r>
          </w:p>
          <w:p w14:paraId="2FB7F8BB">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【优】得该细项分的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.0分；</w:t>
            </w:r>
          </w:p>
          <w:p w14:paraId="2FB7DC0F">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p w14:paraId="0418EE9D">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【合格】得该细项分的</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w:t>
            </w:r>
          </w:p>
          <w:p w14:paraId="1E3BE7CF">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不提供材料或无该项描述的得0分。</w:t>
            </w:r>
          </w:p>
        </w:tc>
      </w:tr>
      <w:tr w14:paraId="49D8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446" w:type="dxa"/>
            <w:vMerge w:val="continue"/>
            <w:vAlign w:val="center"/>
          </w:tcPr>
          <w:p w14:paraId="14269C2F">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4" w:type="dxa"/>
            <w:vMerge w:val="continue"/>
            <w:vAlign w:val="center"/>
          </w:tcPr>
          <w:p w14:paraId="409BC27F">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349" w:type="dxa"/>
            <w:gridSpan w:val="2"/>
            <w:shd w:val="clear" w:color="auto" w:fill="auto"/>
            <w:vAlign w:val="center"/>
          </w:tcPr>
          <w:p w14:paraId="61C313CE">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color w:val="000000" w:themeColor="text1"/>
                <w:highlight w:val="none"/>
                <w14:textFill>
                  <w14:solidFill>
                    <w14:schemeClr w14:val="tx1"/>
                  </w14:solidFill>
                </w14:textFill>
              </w:rPr>
            </w:pPr>
            <w:r>
              <w:rPr>
                <w:rFonts w:hint="eastAsia" w:eastAsia="宋体" w:cs="宋体"/>
                <w:color w:val="000000" w:themeColor="text1"/>
                <w:sz w:val="21"/>
                <w:szCs w:val="21"/>
                <w:highlight w:val="none"/>
                <w:lang w:val="en-US" w:eastAsia="zh-CN"/>
                <w14:textFill>
                  <w14:solidFill>
                    <w14:schemeClr w14:val="tx1"/>
                  </w14:solidFill>
                </w14:textFill>
              </w:rPr>
              <w:t>质量</w:t>
            </w:r>
            <w:r>
              <w:rPr>
                <w:rFonts w:hint="eastAsia" w:ascii="宋体" w:hAnsi="宋体" w:eastAsia="宋体" w:cs="宋体"/>
                <w:color w:val="000000" w:themeColor="text1"/>
                <w:sz w:val="21"/>
                <w:szCs w:val="21"/>
                <w:highlight w:val="none"/>
                <w14:textFill>
                  <w14:solidFill>
                    <w14:schemeClr w14:val="tx1"/>
                  </w14:solidFill>
                </w14:textFill>
              </w:rPr>
              <w:t>保证措施</w:t>
            </w:r>
          </w:p>
          <w:p w14:paraId="3D5F7A9E">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8549" w:type="dxa"/>
            <w:gridSpan w:val="3"/>
            <w:shd w:val="clear" w:color="auto" w:fill="auto"/>
            <w:vAlign w:val="center"/>
          </w:tcPr>
          <w:p w14:paraId="15C952A1">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质量</w:t>
            </w:r>
            <w:r>
              <w:rPr>
                <w:rFonts w:hint="eastAsia" w:ascii="宋体" w:hAnsi="宋体" w:eastAsia="宋体" w:cs="宋体"/>
                <w:color w:val="000000" w:themeColor="text1"/>
                <w:sz w:val="21"/>
                <w:szCs w:val="21"/>
                <w:highlight w:val="none"/>
                <w14:textFill>
                  <w14:solidFill>
                    <w14:schemeClr w14:val="tx1"/>
                  </w14:solidFill>
                </w14:textFill>
              </w:rPr>
              <w:t>保证措施具体、针对性强。有此项描述得基本分</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分。</w:t>
            </w:r>
          </w:p>
          <w:p w14:paraId="54B17C37">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【优】得该细项分的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.0分；</w:t>
            </w:r>
          </w:p>
          <w:p w14:paraId="59394053">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p w14:paraId="7CF9527C">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【合格】得该细项分的</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w:t>
            </w:r>
          </w:p>
          <w:p w14:paraId="77EFB9D1">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不提供材料或无该项描述的得0分。</w:t>
            </w:r>
          </w:p>
        </w:tc>
      </w:tr>
      <w:tr w14:paraId="50EA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6" w:hRule="atLeast"/>
          <w:jc w:val="center"/>
        </w:trPr>
        <w:tc>
          <w:tcPr>
            <w:tcW w:w="446" w:type="dxa"/>
            <w:vMerge w:val="continue"/>
            <w:vAlign w:val="center"/>
          </w:tcPr>
          <w:p w14:paraId="71522780">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4" w:type="dxa"/>
            <w:vMerge w:val="continue"/>
            <w:vAlign w:val="center"/>
          </w:tcPr>
          <w:p w14:paraId="02E7636E">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349" w:type="dxa"/>
            <w:gridSpan w:val="2"/>
            <w:shd w:val="clear" w:color="auto" w:fill="auto"/>
            <w:vAlign w:val="center"/>
          </w:tcPr>
          <w:p w14:paraId="5F7F507D">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后续服务内容及承诺</w:t>
            </w:r>
          </w:p>
          <w:p w14:paraId="0D356923">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宋体" w:hAnsi="宋体" w:eastAsia="宋体" w:cs="宋体"/>
                <w:color w:val="000000" w:themeColor="text1"/>
                <w:kern w:val="2"/>
                <w:sz w:val="22"/>
                <w:szCs w:val="22"/>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8549" w:type="dxa"/>
            <w:gridSpan w:val="3"/>
            <w:shd w:val="clear" w:color="auto" w:fill="auto"/>
            <w:vAlign w:val="center"/>
          </w:tcPr>
          <w:p w14:paraId="2A21CC0D">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后续服务安排措施合理、全面、切实可行并提供合理、可靠的承诺。有此项描述得基本分</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分。</w:t>
            </w:r>
          </w:p>
          <w:p w14:paraId="2F1DCEE4">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【优】得该细项分的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.0分；</w:t>
            </w:r>
          </w:p>
          <w:p w14:paraId="74392D97">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【中】得该细项分的</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p w14:paraId="559DF8D4">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88" w:lineRule="auto"/>
              <w:jc w:val="both"/>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【合格】得该细项分的</w:t>
            </w:r>
            <w:r>
              <w:rPr>
                <w:rFonts w:hint="eastAsia"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w:t>
            </w:r>
          </w:p>
          <w:p w14:paraId="32B760AE">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eastAsia" w:ascii="宋体" w:hAnsi="宋体" w:eastAsia="宋体" w:cs="宋体"/>
                <w:b w:val="0"/>
                <w:bCs w:val="0"/>
                <w:color w:val="000000" w:themeColor="text1"/>
                <w:spacing w:val="-2"/>
                <w:kern w:val="2"/>
                <w:sz w:val="22"/>
                <w:szCs w:val="22"/>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不提供材料或无该项描述的得0分。</w:t>
            </w:r>
          </w:p>
        </w:tc>
      </w:tr>
      <w:tr w14:paraId="2C35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3" w:hRule="atLeast"/>
          <w:jc w:val="center"/>
        </w:trPr>
        <w:tc>
          <w:tcPr>
            <w:tcW w:w="446" w:type="dxa"/>
            <w:vMerge w:val="restart"/>
            <w:vAlign w:val="center"/>
          </w:tcPr>
          <w:p w14:paraId="0D342AE1">
            <w:pPr>
              <w:widowControl/>
              <w:jc w:val="center"/>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w:t>
            </w:r>
          </w:p>
        </w:tc>
        <w:tc>
          <w:tcPr>
            <w:tcW w:w="714" w:type="dxa"/>
            <w:vMerge w:val="restart"/>
            <w:vAlign w:val="center"/>
          </w:tcPr>
          <w:p w14:paraId="615DACAA">
            <w:pPr>
              <w:widowControl w:val="0"/>
              <w:spacing w:line="360" w:lineRule="exact"/>
              <w:jc w:val="cente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投标报价得分</w:t>
            </w:r>
          </w:p>
          <w:p w14:paraId="27287938">
            <w:pPr>
              <w:widowControl w:val="0"/>
              <w:spacing w:line="360" w:lineRule="exact"/>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（30分）</w:t>
            </w:r>
          </w:p>
        </w:tc>
        <w:tc>
          <w:tcPr>
            <w:tcW w:w="1349" w:type="dxa"/>
            <w:gridSpan w:val="2"/>
            <w:vAlign w:val="center"/>
          </w:tcPr>
          <w:p w14:paraId="2B9993C9">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评标基准价D</w:t>
            </w:r>
          </w:p>
        </w:tc>
        <w:tc>
          <w:tcPr>
            <w:tcW w:w="8549" w:type="dxa"/>
            <w:gridSpan w:val="3"/>
            <w:vAlign w:val="center"/>
          </w:tcPr>
          <w:p w14:paraId="2BEE2AE9">
            <w:pPr>
              <w:numPr>
                <w:ilvl w:val="0"/>
                <w:numId w:val="0"/>
              </w:numPr>
              <w:wordWrap w:val="0"/>
              <w:adjustRightInd w:val="0"/>
              <w:snapToGrid w:val="0"/>
              <w:spacing w:line="400" w:lineRule="exact"/>
              <w:ind w:leftChars="0" w:firstLine="210" w:firstLineChars="1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确定</w:t>
            </w:r>
            <w:r>
              <w:rPr>
                <w:rFonts w:hint="eastAsia" w:ascii="宋体" w:hAnsi="宋体" w:eastAsia="宋体" w:cs="宋体"/>
                <w:color w:val="000000" w:themeColor="text1"/>
                <w:sz w:val="21"/>
                <w:szCs w:val="21"/>
                <w:highlight w:val="none"/>
                <w:lang w:eastAsia="zh-CN"/>
                <w14:textFill>
                  <w14:solidFill>
                    <w14:schemeClr w14:val="tx1"/>
                  </w14:solidFill>
                </w14:textFill>
              </w:rPr>
              <w:t>最高投标限价</w:t>
            </w:r>
            <w:r>
              <w:rPr>
                <w:rFonts w:hint="eastAsia" w:ascii="宋体" w:hAnsi="宋体" w:eastAsia="宋体" w:cs="宋体"/>
                <w:color w:val="000000" w:themeColor="text1"/>
                <w:sz w:val="21"/>
                <w:szCs w:val="21"/>
                <w:highlight w:val="none"/>
                <w14:textFill>
                  <w14:solidFill>
                    <w14:schemeClr w14:val="tx1"/>
                  </w14:solidFill>
                </w14:textFill>
              </w:rPr>
              <w:t>下浮系数n：用1～21号球分别代表一个下浮系数，由评委代表从这21个号码中随机抽取</w:t>
            </w:r>
            <w:r>
              <w:rPr>
                <w:rFonts w:hint="eastAsia" w:ascii="宋体" w:hAnsi="宋体" w:eastAsia="宋体" w:cs="宋体"/>
                <w:color w:val="000000" w:themeColor="text1"/>
                <w:sz w:val="21"/>
                <w:szCs w:val="21"/>
                <w:highlight w:val="none"/>
                <w:u w:val="single"/>
                <w14:textFill>
                  <w14:solidFill>
                    <w14:schemeClr w14:val="tx1"/>
                  </w14:solidFill>
                </w14:textFill>
              </w:rPr>
              <w:t xml:space="preserve"> 3 </w:t>
            </w:r>
            <w:r>
              <w:rPr>
                <w:rFonts w:hint="eastAsia" w:ascii="宋体" w:hAnsi="宋体" w:eastAsia="宋体" w:cs="宋体"/>
                <w:color w:val="000000" w:themeColor="text1"/>
                <w:sz w:val="21"/>
                <w:szCs w:val="21"/>
                <w:highlight w:val="none"/>
                <w14:textFill>
                  <w14:solidFill>
                    <w14:schemeClr w14:val="tx1"/>
                  </w14:solidFill>
                </w14:textFill>
              </w:rPr>
              <w:t>次，每次抽取1个号码，抽出的号球不参与下次抽取。所抽取的3个号码对应下浮系数的算术平均值作为</w:t>
            </w:r>
            <w:r>
              <w:rPr>
                <w:rFonts w:hint="eastAsia" w:ascii="宋体" w:hAnsi="宋体" w:eastAsia="宋体" w:cs="宋体"/>
                <w:color w:val="000000" w:themeColor="text1"/>
                <w:sz w:val="21"/>
                <w:szCs w:val="21"/>
                <w:highlight w:val="none"/>
                <w:lang w:eastAsia="zh-CN"/>
                <w14:textFill>
                  <w14:solidFill>
                    <w14:schemeClr w14:val="tx1"/>
                  </w14:solidFill>
                </w14:textFill>
              </w:rPr>
              <w:t>最高投标限价</w:t>
            </w:r>
            <w:r>
              <w:rPr>
                <w:rFonts w:hint="eastAsia" w:ascii="宋体" w:hAnsi="宋体" w:eastAsia="宋体" w:cs="宋体"/>
                <w:color w:val="000000" w:themeColor="text1"/>
                <w:sz w:val="21"/>
                <w:szCs w:val="21"/>
                <w:highlight w:val="none"/>
                <w14:textFill>
                  <w14:solidFill>
                    <w14:schemeClr w14:val="tx1"/>
                  </w14:solidFill>
                </w14:textFill>
              </w:rPr>
              <w:t>下浮系数n。具体号码对应的下浮系数可参考下表。</w:t>
            </w:r>
          </w:p>
          <w:tbl>
            <w:tblPr>
              <w:tblStyle w:val="21"/>
              <w:tblW w:w="7856" w:type="dxa"/>
              <w:tblInd w:w="0" w:type="dxa"/>
              <w:tblLayout w:type="fixed"/>
              <w:tblCellMar>
                <w:top w:w="0" w:type="dxa"/>
                <w:left w:w="108" w:type="dxa"/>
                <w:bottom w:w="0" w:type="dxa"/>
                <w:right w:w="108" w:type="dxa"/>
              </w:tblCellMar>
            </w:tblPr>
            <w:tblGrid>
              <w:gridCol w:w="1555"/>
              <w:gridCol w:w="986"/>
              <w:gridCol w:w="853"/>
              <w:gridCol w:w="802"/>
              <w:gridCol w:w="903"/>
              <w:gridCol w:w="800"/>
              <w:gridCol w:w="974"/>
              <w:gridCol w:w="983"/>
            </w:tblGrid>
            <w:tr w14:paraId="7B372E2D">
              <w:tblPrEx>
                <w:tblCellMar>
                  <w:top w:w="0" w:type="dxa"/>
                  <w:left w:w="108" w:type="dxa"/>
                  <w:bottom w:w="0" w:type="dxa"/>
                  <w:right w:w="108" w:type="dxa"/>
                </w:tblCellMar>
              </w:tblPrEx>
              <w:trPr>
                <w:trHeight w:val="301" w:hRule="atLeast"/>
              </w:trPr>
              <w:tc>
                <w:tcPr>
                  <w:tcW w:w="989" w:type="pct"/>
                  <w:tcBorders>
                    <w:top w:val="single" w:color="000000" w:sz="4" w:space="0"/>
                    <w:left w:val="single" w:color="000000" w:sz="4" w:space="0"/>
                    <w:bottom w:val="single" w:color="000000" w:sz="4" w:space="0"/>
                    <w:right w:val="single" w:color="000000" w:sz="4" w:space="0"/>
                  </w:tcBorders>
                  <w:noWrap w:val="0"/>
                  <w:vAlign w:val="center"/>
                </w:tcPr>
                <w:p w14:paraId="18D4EF2C">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号球</w:t>
                  </w:r>
                </w:p>
              </w:tc>
              <w:tc>
                <w:tcPr>
                  <w:tcW w:w="627" w:type="pct"/>
                  <w:tcBorders>
                    <w:top w:val="single" w:color="000000" w:sz="4" w:space="0"/>
                    <w:left w:val="single" w:color="000000" w:sz="4" w:space="0"/>
                    <w:bottom w:val="single" w:color="000000" w:sz="4" w:space="0"/>
                    <w:right w:val="single" w:color="000000" w:sz="4" w:space="0"/>
                  </w:tcBorders>
                  <w:noWrap w:val="0"/>
                  <w:vAlign w:val="center"/>
                </w:tcPr>
                <w:p w14:paraId="4C8E8344">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w:t>
                  </w:r>
                </w:p>
              </w:tc>
              <w:tc>
                <w:tcPr>
                  <w:tcW w:w="542" w:type="pct"/>
                  <w:tcBorders>
                    <w:top w:val="single" w:color="000000" w:sz="4" w:space="0"/>
                    <w:left w:val="single" w:color="000000" w:sz="4" w:space="0"/>
                    <w:bottom w:val="single" w:color="000000" w:sz="4" w:space="0"/>
                    <w:right w:val="single" w:color="000000" w:sz="4" w:space="0"/>
                  </w:tcBorders>
                  <w:noWrap w:val="0"/>
                  <w:vAlign w:val="center"/>
                </w:tcPr>
                <w:p w14:paraId="054EF48A">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2</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5E8777E9">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3</w:t>
                  </w:r>
                </w:p>
              </w:tc>
              <w:tc>
                <w:tcPr>
                  <w:tcW w:w="574" w:type="pct"/>
                  <w:tcBorders>
                    <w:top w:val="single" w:color="000000" w:sz="4" w:space="0"/>
                    <w:left w:val="single" w:color="000000" w:sz="4" w:space="0"/>
                    <w:bottom w:val="single" w:color="000000" w:sz="4" w:space="0"/>
                    <w:right w:val="single" w:color="000000" w:sz="4" w:space="0"/>
                  </w:tcBorders>
                  <w:noWrap w:val="0"/>
                  <w:vAlign w:val="center"/>
                </w:tcPr>
                <w:p w14:paraId="4E02BF3B">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4</w:t>
                  </w:r>
                </w:p>
              </w:tc>
              <w:tc>
                <w:tcPr>
                  <w:tcW w:w="509" w:type="pct"/>
                  <w:tcBorders>
                    <w:top w:val="single" w:color="000000" w:sz="4" w:space="0"/>
                    <w:left w:val="single" w:color="000000" w:sz="4" w:space="0"/>
                    <w:bottom w:val="single" w:color="000000" w:sz="4" w:space="0"/>
                    <w:right w:val="single" w:color="000000" w:sz="4" w:space="0"/>
                  </w:tcBorders>
                  <w:noWrap w:val="0"/>
                  <w:vAlign w:val="center"/>
                </w:tcPr>
                <w:p w14:paraId="045A59B1">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5</w:t>
                  </w:r>
                </w:p>
              </w:tc>
              <w:tc>
                <w:tcPr>
                  <w:tcW w:w="619" w:type="pct"/>
                  <w:tcBorders>
                    <w:top w:val="single" w:color="000000" w:sz="4" w:space="0"/>
                    <w:left w:val="single" w:color="000000" w:sz="4" w:space="0"/>
                    <w:bottom w:val="single" w:color="000000" w:sz="4" w:space="0"/>
                    <w:right w:val="single" w:color="000000" w:sz="4" w:space="0"/>
                  </w:tcBorders>
                  <w:noWrap w:val="0"/>
                  <w:vAlign w:val="center"/>
                </w:tcPr>
                <w:p w14:paraId="2D05B20A">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6</w:t>
                  </w:r>
                </w:p>
              </w:tc>
              <w:tc>
                <w:tcPr>
                  <w:tcW w:w="625" w:type="pct"/>
                  <w:tcBorders>
                    <w:top w:val="single" w:color="000000" w:sz="4" w:space="0"/>
                    <w:left w:val="single" w:color="000000" w:sz="4" w:space="0"/>
                    <w:bottom w:val="single" w:color="000000" w:sz="4" w:space="0"/>
                    <w:right w:val="single" w:color="000000" w:sz="4" w:space="0"/>
                  </w:tcBorders>
                  <w:noWrap w:val="0"/>
                  <w:vAlign w:val="center"/>
                </w:tcPr>
                <w:p w14:paraId="74096EB4">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7</w:t>
                  </w:r>
                </w:p>
              </w:tc>
            </w:tr>
            <w:tr w14:paraId="15250B50">
              <w:tblPrEx>
                <w:tblCellMar>
                  <w:top w:w="0" w:type="dxa"/>
                  <w:left w:w="108" w:type="dxa"/>
                  <w:bottom w:w="0" w:type="dxa"/>
                  <w:right w:w="108" w:type="dxa"/>
                </w:tblCellMar>
              </w:tblPrEx>
              <w:trPr>
                <w:trHeight w:val="301" w:hRule="atLeast"/>
              </w:trPr>
              <w:tc>
                <w:tcPr>
                  <w:tcW w:w="989" w:type="pct"/>
                  <w:tcBorders>
                    <w:top w:val="single" w:color="000000" w:sz="4" w:space="0"/>
                    <w:left w:val="single" w:color="000000" w:sz="4" w:space="0"/>
                    <w:bottom w:val="single" w:color="000000" w:sz="4" w:space="0"/>
                    <w:right w:val="single" w:color="000000" w:sz="4" w:space="0"/>
                  </w:tcBorders>
                  <w:noWrap w:val="0"/>
                  <w:vAlign w:val="center"/>
                </w:tcPr>
                <w:p w14:paraId="6B67B8C4">
                  <w:pPr>
                    <w:wordWrap w:val="0"/>
                    <w:adjustRightInd w:val="0"/>
                    <w:snapToGrid w:val="0"/>
                    <w:spacing w:line="240" w:lineRule="auto"/>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下浮系数（%）</w:t>
                  </w:r>
                </w:p>
              </w:tc>
              <w:tc>
                <w:tcPr>
                  <w:tcW w:w="627" w:type="pct"/>
                  <w:tcBorders>
                    <w:top w:val="single" w:color="000000" w:sz="4" w:space="0"/>
                    <w:left w:val="single" w:color="000000" w:sz="4" w:space="0"/>
                    <w:bottom w:val="single" w:color="000000" w:sz="4" w:space="0"/>
                    <w:right w:val="single" w:color="000000" w:sz="4" w:space="0"/>
                  </w:tcBorders>
                  <w:noWrap w:val="0"/>
                  <w:vAlign w:val="center"/>
                </w:tcPr>
                <w:p w14:paraId="7BFC3E74">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0.1</w:t>
                  </w:r>
                </w:p>
              </w:tc>
              <w:tc>
                <w:tcPr>
                  <w:tcW w:w="542" w:type="pct"/>
                  <w:tcBorders>
                    <w:top w:val="single" w:color="000000" w:sz="4" w:space="0"/>
                    <w:left w:val="single" w:color="000000" w:sz="4" w:space="0"/>
                    <w:bottom w:val="single" w:color="000000" w:sz="4" w:space="0"/>
                    <w:right w:val="single" w:color="000000" w:sz="4" w:space="0"/>
                  </w:tcBorders>
                  <w:noWrap w:val="0"/>
                  <w:vAlign w:val="center"/>
                </w:tcPr>
                <w:p w14:paraId="6731688D">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0.2</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71F6F0E2">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0.3</w:t>
                  </w:r>
                </w:p>
              </w:tc>
              <w:tc>
                <w:tcPr>
                  <w:tcW w:w="574" w:type="pct"/>
                  <w:tcBorders>
                    <w:top w:val="single" w:color="000000" w:sz="4" w:space="0"/>
                    <w:left w:val="single" w:color="000000" w:sz="4" w:space="0"/>
                    <w:bottom w:val="single" w:color="000000" w:sz="4" w:space="0"/>
                    <w:right w:val="single" w:color="000000" w:sz="4" w:space="0"/>
                  </w:tcBorders>
                  <w:noWrap w:val="0"/>
                  <w:vAlign w:val="center"/>
                </w:tcPr>
                <w:p w14:paraId="6A609514">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0.4</w:t>
                  </w:r>
                </w:p>
              </w:tc>
              <w:tc>
                <w:tcPr>
                  <w:tcW w:w="509" w:type="pct"/>
                  <w:tcBorders>
                    <w:top w:val="single" w:color="000000" w:sz="4" w:space="0"/>
                    <w:left w:val="single" w:color="000000" w:sz="4" w:space="0"/>
                    <w:bottom w:val="single" w:color="000000" w:sz="4" w:space="0"/>
                    <w:right w:val="single" w:color="000000" w:sz="4" w:space="0"/>
                  </w:tcBorders>
                  <w:noWrap w:val="0"/>
                  <w:vAlign w:val="center"/>
                </w:tcPr>
                <w:p w14:paraId="02FA7549">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0.5</w:t>
                  </w:r>
                </w:p>
              </w:tc>
              <w:tc>
                <w:tcPr>
                  <w:tcW w:w="619" w:type="pct"/>
                  <w:tcBorders>
                    <w:top w:val="single" w:color="000000" w:sz="4" w:space="0"/>
                    <w:left w:val="single" w:color="000000" w:sz="4" w:space="0"/>
                    <w:bottom w:val="single" w:color="000000" w:sz="4" w:space="0"/>
                    <w:right w:val="single" w:color="000000" w:sz="4" w:space="0"/>
                  </w:tcBorders>
                  <w:noWrap w:val="0"/>
                  <w:vAlign w:val="center"/>
                </w:tcPr>
                <w:p w14:paraId="0231F241">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0.6</w:t>
                  </w:r>
                </w:p>
              </w:tc>
              <w:tc>
                <w:tcPr>
                  <w:tcW w:w="625" w:type="pct"/>
                  <w:tcBorders>
                    <w:top w:val="single" w:color="000000" w:sz="4" w:space="0"/>
                    <w:left w:val="single" w:color="000000" w:sz="4" w:space="0"/>
                    <w:bottom w:val="single" w:color="000000" w:sz="4" w:space="0"/>
                    <w:right w:val="single" w:color="000000" w:sz="4" w:space="0"/>
                  </w:tcBorders>
                  <w:noWrap w:val="0"/>
                  <w:vAlign w:val="center"/>
                </w:tcPr>
                <w:p w14:paraId="16A2E8A7">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0.7</w:t>
                  </w:r>
                </w:p>
              </w:tc>
            </w:tr>
            <w:tr w14:paraId="5F90AA0E">
              <w:tblPrEx>
                <w:tblCellMar>
                  <w:top w:w="0" w:type="dxa"/>
                  <w:left w:w="108" w:type="dxa"/>
                  <w:bottom w:w="0" w:type="dxa"/>
                  <w:right w:w="108" w:type="dxa"/>
                </w:tblCellMar>
              </w:tblPrEx>
              <w:trPr>
                <w:trHeight w:val="301" w:hRule="atLeast"/>
              </w:trPr>
              <w:tc>
                <w:tcPr>
                  <w:tcW w:w="989" w:type="pct"/>
                  <w:tcBorders>
                    <w:top w:val="single" w:color="000000" w:sz="4" w:space="0"/>
                    <w:left w:val="single" w:color="000000" w:sz="4" w:space="0"/>
                    <w:bottom w:val="single" w:color="000000" w:sz="4" w:space="0"/>
                    <w:right w:val="single" w:color="000000" w:sz="4" w:space="0"/>
                  </w:tcBorders>
                  <w:noWrap w:val="0"/>
                  <w:vAlign w:val="center"/>
                </w:tcPr>
                <w:p w14:paraId="713C55CE">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号球</w:t>
                  </w:r>
                </w:p>
              </w:tc>
              <w:tc>
                <w:tcPr>
                  <w:tcW w:w="627" w:type="pct"/>
                  <w:tcBorders>
                    <w:top w:val="single" w:color="000000" w:sz="4" w:space="0"/>
                    <w:left w:val="single" w:color="000000" w:sz="4" w:space="0"/>
                    <w:bottom w:val="single" w:color="000000" w:sz="4" w:space="0"/>
                    <w:right w:val="single" w:color="000000" w:sz="4" w:space="0"/>
                  </w:tcBorders>
                  <w:noWrap w:val="0"/>
                  <w:vAlign w:val="center"/>
                </w:tcPr>
                <w:p w14:paraId="11FFA5D7">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8</w:t>
                  </w:r>
                </w:p>
              </w:tc>
              <w:tc>
                <w:tcPr>
                  <w:tcW w:w="542" w:type="pct"/>
                  <w:tcBorders>
                    <w:top w:val="single" w:color="000000" w:sz="4" w:space="0"/>
                    <w:left w:val="single" w:color="000000" w:sz="4" w:space="0"/>
                    <w:bottom w:val="single" w:color="000000" w:sz="4" w:space="0"/>
                    <w:right w:val="single" w:color="000000" w:sz="4" w:space="0"/>
                  </w:tcBorders>
                  <w:noWrap w:val="0"/>
                  <w:vAlign w:val="center"/>
                </w:tcPr>
                <w:p w14:paraId="4D2D7B8B">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9</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31BBEFF6">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10</w:t>
                  </w:r>
                </w:p>
              </w:tc>
              <w:tc>
                <w:tcPr>
                  <w:tcW w:w="574" w:type="pct"/>
                  <w:tcBorders>
                    <w:top w:val="single" w:color="000000" w:sz="4" w:space="0"/>
                    <w:left w:val="single" w:color="000000" w:sz="4" w:space="0"/>
                    <w:bottom w:val="single" w:color="000000" w:sz="4" w:space="0"/>
                    <w:right w:val="single" w:color="000000" w:sz="4" w:space="0"/>
                  </w:tcBorders>
                  <w:noWrap w:val="0"/>
                  <w:vAlign w:val="center"/>
                </w:tcPr>
                <w:p w14:paraId="41AE7780">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11</w:t>
                  </w:r>
                </w:p>
              </w:tc>
              <w:tc>
                <w:tcPr>
                  <w:tcW w:w="509" w:type="pct"/>
                  <w:tcBorders>
                    <w:top w:val="single" w:color="000000" w:sz="4" w:space="0"/>
                    <w:left w:val="single" w:color="000000" w:sz="4" w:space="0"/>
                    <w:bottom w:val="single" w:color="000000" w:sz="4" w:space="0"/>
                    <w:right w:val="single" w:color="000000" w:sz="4" w:space="0"/>
                  </w:tcBorders>
                  <w:noWrap w:val="0"/>
                  <w:vAlign w:val="center"/>
                </w:tcPr>
                <w:p w14:paraId="055F5721">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12</w:t>
                  </w:r>
                </w:p>
              </w:tc>
              <w:tc>
                <w:tcPr>
                  <w:tcW w:w="619" w:type="pct"/>
                  <w:tcBorders>
                    <w:top w:val="single" w:color="000000" w:sz="4" w:space="0"/>
                    <w:left w:val="single" w:color="000000" w:sz="4" w:space="0"/>
                    <w:bottom w:val="single" w:color="000000" w:sz="4" w:space="0"/>
                    <w:right w:val="single" w:color="000000" w:sz="4" w:space="0"/>
                  </w:tcBorders>
                  <w:noWrap w:val="0"/>
                  <w:vAlign w:val="center"/>
                </w:tcPr>
                <w:p w14:paraId="0716AFC2">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13</w:t>
                  </w:r>
                </w:p>
              </w:tc>
              <w:tc>
                <w:tcPr>
                  <w:tcW w:w="625" w:type="pct"/>
                  <w:tcBorders>
                    <w:top w:val="single" w:color="000000" w:sz="4" w:space="0"/>
                    <w:left w:val="single" w:color="000000" w:sz="4" w:space="0"/>
                    <w:bottom w:val="single" w:color="000000" w:sz="4" w:space="0"/>
                    <w:right w:val="single" w:color="000000" w:sz="4" w:space="0"/>
                  </w:tcBorders>
                  <w:noWrap w:val="0"/>
                  <w:vAlign w:val="center"/>
                </w:tcPr>
                <w:p w14:paraId="601FF5F5">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14</w:t>
                  </w:r>
                </w:p>
              </w:tc>
            </w:tr>
            <w:tr w14:paraId="21E8271C">
              <w:tblPrEx>
                <w:tblCellMar>
                  <w:top w:w="0" w:type="dxa"/>
                  <w:left w:w="108" w:type="dxa"/>
                  <w:bottom w:w="0" w:type="dxa"/>
                  <w:right w:w="108" w:type="dxa"/>
                </w:tblCellMar>
              </w:tblPrEx>
              <w:trPr>
                <w:trHeight w:val="311" w:hRule="atLeast"/>
              </w:trPr>
              <w:tc>
                <w:tcPr>
                  <w:tcW w:w="989" w:type="pct"/>
                  <w:tcBorders>
                    <w:top w:val="single" w:color="000000" w:sz="4" w:space="0"/>
                    <w:left w:val="single" w:color="000000" w:sz="4" w:space="0"/>
                    <w:bottom w:val="single" w:color="000000" w:sz="4" w:space="0"/>
                    <w:right w:val="single" w:color="000000" w:sz="4" w:space="0"/>
                  </w:tcBorders>
                  <w:noWrap w:val="0"/>
                  <w:vAlign w:val="center"/>
                </w:tcPr>
                <w:p w14:paraId="14934013">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下浮系数（%）</w:t>
                  </w:r>
                </w:p>
              </w:tc>
              <w:tc>
                <w:tcPr>
                  <w:tcW w:w="627" w:type="pct"/>
                  <w:tcBorders>
                    <w:top w:val="single" w:color="000000" w:sz="4" w:space="0"/>
                    <w:left w:val="single" w:color="000000" w:sz="4" w:space="0"/>
                    <w:bottom w:val="single" w:color="000000" w:sz="4" w:space="0"/>
                    <w:right w:val="single" w:color="000000" w:sz="4" w:space="0"/>
                  </w:tcBorders>
                  <w:noWrap w:val="0"/>
                  <w:vAlign w:val="center"/>
                </w:tcPr>
                <w:p w14:paraId="0EB537F9">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0.8</w:t>
                  </w:r>
                </w:p>
              </w:tc>
              <w:tc>
                <w:tcPr>
                  <w:tcW w:w="542" w:type="pct"/>
                  <w:tcBorders>
                    <w:top w:val="single" w:color="000000" w:sz="4" w:space="0"/>
                    <w:left w:val="single" w:color="000000" w:sz="4" w:space="0"/>
                    <w:bottom w:val="single" w:color="000000" w:sz="4" w:space="0"/>
                    <w:right w:val="single" w:color="000000" w:sz="4" w:space="0"/>
                  </w:tcBorders>
                  <w:noWrap w:val="0"/>
                  <w:vAlign w:val="center"/>
                </w:tcPr>
                <w:p w14:paraId="6DE68112">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0.9</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4B7C9418">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1.0</w:t>
                  </w:r>
                </w:p>
              </w:tc>
              <w:tc>
                <w:tcPr>
                  <w:tcW w:w="574" w:type="pct"/>
                  <w:tcBorders>
                    <w:top w:val="single" w:color="000000" w:sz="4" w:space="0"/>
                    <w:left w:val="single" w:color="000000" w:sz="4" w:space="0"/>
                    <w:bottom w:val="single" w:color="000000" w:sz="4" w:space="0"/>
                    <w:right w:val="single" w:color="000000" w:sz="4" w:space="0"/>
                  </w:tcBorders>
                  <w:noWrap w:val="0"/>
                  <w:vAlign w:val="center"/>
                </w:tcPr>
                <w:p w14:paraId="18B1C33B">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1.1</w:t>
                  </w:r>
                </w:p>
              </w:tc>
              <w:tc>
                <w:tcPr>
                  <w:tcW w:w="509" w:type="pct"/>
                  <w:tcBorders>
                    <w:top w:val="single" w:color="000000" w:sz="4" w:space="0"/>
                    <w:left w:val="single" w:color="000000" w:sz="4" w:space="0"/>
                    <w:bottom w:val="single" w:color="000000" w:sz="4" w:space="0"/>
                    <w:right w:val="single" w:color="000000" w:sz="4" w:space="0"/>
                  </w:tcBorders>
                  <w:noWrap w:val="0"/>
                  <w:vAlign w:val="center"/>
                </w:tcPr>
                <w:p w14:paraId="406E4CF5">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1.2</w:t>
                  </w:r>
                </w:p>
              </w:tc>
              <w:tc>
                <w:tcPr>
                  <w:tcW w:w="619" w:type="pct"/>
                  <w:tcBorders>
                    <w:top w:val="single" w:color="000000" w:sz="4" w:space="0"/>
                    <w:left w:val="single" w:color="000000" w:sz="4" w:space="0"/>
                    <w:bottom w:val="single" w:color="000000" w:sz="4" w:space="0"/>
                    <w:right w:val="single" w:color="000000" w:sz="4" w:space="0"/>
                  </w:tcBorders>
                  <w:noWrap w:val="0"/>
                  <w:vAlign w:val="center"/>
                </w:tcPr>
                <w:p w14:paraId="2416BD88">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1.3</w:t>
                  </w:r>
                </w:p>
              </w:tc>
              <w:tc>
                <w:tcPr>
                  <w:tcW w:w="625" w:type="pct"/>
                  <w:tcBorders>
                    <w:top w:val="single" w:color="000000" w:sz="4" w:space="0"/>
                    <w:left w:val="single" w:color="000000" w:sz="4" w:space="0"/>
                    <w:bottom w:val="single" w:color="000000" w:sz="4" w:space="0"/>
                    <w:right w:val="single" w:color="000000" w:sz="4" w:space="0"/>
                  </w:tcBorders>
                  <w:noWrap w:val="0"/>
                  <w:vAlign w:val="center"/>
                </w:tcPr>
                <w:p w14:paraId="47E1C810">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1.4</w:t>
                  </w:r>
                </w:p>
              </w:tc>
            </w:tr>
            <w:tr w14:paraId="400BB301">
              <w:tblPrEx>
                <w:tblCellMar>
                  <w:top w:w="0" w:type="dxa"/>
                  <w:left w:w="108" w:type="dxa"/>
                  <w:bottom w:w="0" w:type="dxa"/>
                  <w:right w:w="108" w:type="dxa"/>
                </w:tblCellMar>
              </w:tblPrEx>
              <w:trPr>
                <w:trHeight w:val="301" w:hRule="atLeast"/>
              </w:trPr>
              <w:tc>
                <w:tcPr>
                  <w:tcW w:w="989" w:type="pct"/>
                  <w:tcBorders>
                    <w:top w:val="single" w:color="000000" w:sz="4" w:space="0"/>
                    <w:left w:val="single" w:color="000000" w:sz="4" w:space="0"/>
                    <w:bottom w:val="single" w:color="000000" w:sz="4" w:space="0"/>
                    <w:right w:val="single" w:color="000000" w:sz="4" w:space="0"/>
                  </w:tcBorders>
                  <w:noWrap w:val="0"/>
                  <w:vAlign w:val="center"/>
                </w:tcPr>
                <w:p w14:paraId="12020F29">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号球</w:t>
                  </w:r>
                </w:p>
              </w:tc>
              <w:tc>
                <w:tcPr>
                  <w:tcW w:w="627" w:type="pct"/>
                  <w:tcBorders>
                    <w:top w:val="single" w:color="000000" w:sz="4" w:space="0"/>
                    <w:left w:val="single" w:color="000000" w:sz="4" w:space="0"/>
                    <w:bottom w:val="single" w:color="000000" w:sz="4" w:space="0"/>
                    <w:right w:val="single" w:color="000000" w:sz="4" w:space="0"/>
                  </w:tcBorders>
                  <w:noWrap w:val="0"/>
                  <w:vAlign w:val="center"/>
                </w:tcPr>
                <w:p w14:paraId="68FBC180">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15</w:t>
                  </w:r>
                </w:p>
              </w:tc>
              <w:tc>
                <w:tcPr>
                  <w:tcW w:w="542" w:type="pct"/>
                  <w:tcBorders>
                    <w:top w:val="single" w:color="000000" w:sz="4" w:space="0"/>
                    <w:left w:val="single" w:color="000000" w:sz="4" w:space="0"/>
                    <w:bottom w:val="single" w:color="000000" w:sz="4" w:space="0"/>
                    <w:right w:val="single" w:color="000000" w:sz="4" w:space="0"/>
                  </w:tcBorders>
                  <w:noWrap w:val="0"/>
                  <w:vAlign w:val="center"/>
                </w:tcPr>
                <w:p w14:paraId="71FCBECA">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16</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3B4F69D0">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17</w:t>
                  </w:r>
                </w:p>
              </w:tc>
              <w:tc>
                <w:tcPr>
                  <w:tcW w:w="574" w:type="pct"/>
                  <w:tcBorders>
                    <w:top w:val="single" w:color="000000" w:sz="4" w:space="0"/>
                    <w:left w:val="single" w:color="000000" w:sz="4" w:space="0"/>
                    <w:bottom w:val="single" w:color="000000" w:sz="4" w:space="0"/>
                    <w:right w:val="single" w:color="000000" w:sz="4" w:space="0"/>
                  </w:tcBorders>
                  <w:noWrap w:val="0"/>
                  <w:vAlign w:val="center"/>
                </w:tcPr>
                <w:p w14:paraId="003300CD">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18</w:t>
                  </w:r>
                </w:p>
              </w:tc>
              <w:tc>
                <w:tcPr>
                  <w:tcW w:w="509" w:type="pct"/>
                  <w:tcBorders>
                    <w:top w:val="single" w:color="000000" w:sz="4" w:space="0"/>
                    <w:left w:val="single" w:color="000000" w:sz="4" w:space="0"/>
                    <w:bottom w:val="single" w:color="000000" w:sz="4" w:space="0"/>
                    <w:right w:val="single" w:color="000000" w:sz="4" w:space="0"/>
                  </w:tcBorders>
                  <w:noWrap w:val="0"/>
                  <w:vAlign w:val="center"/>
                </w:tcPr>
                <w:p w14:paraId="2DD56932">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19</w:t>
                  </w:r>
                </w:p>
              </w:tc>
              <w:tc>
                <w:tcPr>
                  <w:tcW w:w="619" w:type="pct"/>
                  <w:tcBorders>
                    <w:top w:val="single" w:color="000000" w:sz="4" w:space="0"/>
                    <w:left w:val="single" w:color="000000" w:sz="4" w:space="0"/>
                    <w:bottom w:val="single" w:color="000000" w:sz="4" w:space="0"/>
                    <w:right w:val="single" w:color="000000" w:sz="4" w:space="0"/>
                  </w:tcBorders>
                  <w:noWrap w:val="0"/>
                  <w:vAlign w:val="center"/>
                </w:tcPr>
                <w:p w14:paraId="4043091A">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20</w:t>
                  </w:r>
                </w:p>
              </w:tc>
              <w:tc>
                <w:tcPr>
                  <w:tcW w:w="625" w:type="pct"/>
                  <w:tcBorders>
                    <w:top w:val="single" w:color="000000" w:sz="4" w:space="0"/>
                    <w:left w:val="single" w:color="000000" w:sz="4" w:space="0"/>
                    <w:bottom w:val="single" w:color="000000" w:sz="4" w:space="0"/>
                    <w:right w:val="single" w:color="000000" w:sz="4" w:space="0"/>
                  </w:tcBorders>
                  <w:noWrap w:val="0"/>
                  <w:vAlign w:val="center"/>
                </w:tcPr>
                <w:p w14:paraId="316AB4E4">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21</w:t>
                  </w:r>
                </w:p>
              </w:tc>
            </w:tr>
            <w:tr w14:paraId="2D09B307">
              <w:tblPrEx>
                <w:tblCellMar>
                  <w:top w:w="0" w:type="dxa"/>
                  <w:left w:w="108" w:type="dxa"/>
                  <w:bottom w:w="0" w:type="dxa"/>
                  <w:right w:w="108" w:type="dxa"/>
                </w:tblCellMar>
              </w:tblPrEx>
              <w:trPr>
                <w:trHeight w:val="345" w:hRule="atLeast"/>
              </w:trPr>
              <w:tc>
                <w:tcPr>
                  <w:tcW w:w="989" w:type="pct"/>
                  <w:tcBorders>
                    <w:top w:val="single" w:color="000000" w:sz="4" w:space="0"/>
                    <w:left w:val="single" w:color="000000" w:sz="4" w:space="0"/>
                    <w:bottom w:val="single" w:color="000000" w:sz="4" w:space="0"/>
                    <w:right w:val="single" w:color="000000" w:sz="4" w:space="0"/>
                  </w:tcBorders>
                  <w:noWrap w:val="0"/>
                  <w:vAlign w:val="center"/>
                </w:tcPr>
                <w:p w14:paraId="50D67242">
                  <w:pPr>
                    <w:wordWrap w:val="0"/>
                    <w:adjustRightInd w:val="0"/>
                    <w:snapToGrid w:val="0"/>
                    <w:spacing w:line="400" w:lineRule="exact"/>
                    <w:jc w:val="center"/>
                    <w:rPr>
                      <w:rFonts w:hint="eastAsia" w:ascii="宋体" w:hAnsi="宋体" w:eastAsia="宋体" w:cs="宋体"/>
                      <w:color w:val="000000" w:themeColor="text1"/>
                      <w:sz w:val="21"/>
                      <w:szCs w:val="24"/>
                      <w:highlight w:val="none"/>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下浮系数（%）</w:t>
                  </w:r>
                </w:p>
              </w:tc>
              <w:tc>
                <w:tcPr>
                  <w:tcW w:w="627" w:type="pct"/>
                  <w:tcBorders>
                    <w:top w:val="single" w:color="000000" w:sz="4" w:space="0"/>
                    <w:left w:val="single" w:color="000000" w:sz="4" w:space="0"/>
                    <w:bottom w:val="single" w:color="000000" w:sz="4" w:space="0"/>
                    <w:right w:val="single" w:color="000000" w:sz="4" w:space="0"/>
                  </w:tcBorders>
                  <w:noWrap w:val="0"/>
                  <w:vAlign w:val="center"/>
                </w:tcPr>
                <w:p w14:paraId="5D8BF7D0">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1.5</w:t>
                  </w:r>
                </w:p>
              </w:tc>
              <w:tc>
                <w:tcPr>
                  <w:tcW w:w="542" w:type="pct"/>
                  <w:tcBorders>
                    <w:top w:val="single" w:color="000000" w:sz="4" w:space="0"/>
                    <w:left w:val="single" w:color="000000" w:sz="4" w:space="0"/>
                    <w:bottom w:val="single" w:color="000000" w:sz="4" w:space="0"/>
                    <w:right w:val="single" w:color="000000" w:sz="4" w:space="0"/>
                  </w:tcBorders>
                  <w:noWrap w:val="0"/>
                  <w:vAlign w:val="center"/>
                </w:tcPr>
                <w:p w14:paraId="207A7F70">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1.6</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16F7A500">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1.7</w:t>
                  </w:r>
                </w:p>
              </w:tc>
              <w:tc>
                <w:tcPr>
                  <w:tcW w:w="574" w:type="pct"/>
                  <w:tcBorders>
                    <w:top w:val="single" w:color="000000" w:sz="4" w:space="0"/>
                    <w:left w:val="single" w:color="000000" w:sz="4" w:space="0"/>
                    <w:bottom w:val="single" w:color="000000" w:sz="4" w:space="0"/>
                    <w:right w:val="single" w:color="000000" w:sz="4" w:space="0"/>
                  </w:tcBorders>
                  <w:noWrap w:val="0"/>
                  <w:vAlign w:val="center"/>
                </w:tcPr>
                <w:p w14:paraId="3A4F9854">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1.8</w:t>
                  </w:r>
                </w:p>
              </w:tc>
              <w:tc>
                <w:tcPr>
                  <w:tcW w:w="509" w:type="pct"/>
                  <w:tcBorders>
                    <w:top w:val="single" w:color="000000" w:sz="4" w:space="0"/>
                    <w:left w:val="single" w:color="000000" w:sz="4" w:space="0"/>
                    <w:bottom w:val="single" w:color="000000" w:sz="4" w:space="0"/>
                    <w:right w:val="single" w:color="000000" w:sz="4" w:space="0"/>
                  </w:tcBorders>
                  <w:noWrap w:val="0"/>
                  <w:vAlign w:val="center"/>
                </w:tcPr>
                <w:p w14:paraId="5633875B">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1.9</w:t>
                  </w:r>
                </w:p>
              </w:tc>
              <w:tc>
                <w:tcPr>
                  <w:tcW w:w="619" w:type="pct"/>
                  <w:tcBorders>
                    <w:top w:val="single" w:color="000000" w:sz="4" w:space="0"/>
                    <w:left w:val="single" w:color="000000" w:sz="4" w:space="0"/>
                    <w:bottom w:val="single" w:color="000000" w:sz="4" w:space="0"/>
                    <w:right w:val="single" w:color="000000" w:sz="4" w:space="0"/>
                  </w:tcBorders>
                  <w:noWrap w:val="0"/>
                  <w:vAlign w:val="center"/>
                </w:tcPr>
                <w:p w14:paraId="38081083">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2.0</w:t>
                  </w:r>
                </w:p>
              </w:tc>
              <w:tc>
                <w:tcPr>
                  <w:tcW w:w="625" w:type="pct"/>
                  <w:tcBorders>
                    <w:top w:val="single" w:color="000000" w:sz="4" w:space="0"/>
                    <w:left w:val="single" w:color="000000" w:sz="4" w:space="0"/>
                    <w:bottom w:val="single" w:color="000000" w:sz="4" w:space="0"/>
                    <w:right w:val="single" w:color="000000" w:sz="4" w:space="0"/>
                  </w:tcBorders>
                  <w:noWrap w:val="0"/>
                  <w:vAlign w:val="center"/>
                </w:tcPr>
                <w:p w14:paraId="401BE5A6">
                  <w:pPr>
                    <w:wordWrap w:val="0"/>
                    <w:adjustRightInd w:val="0"/>
                    <w:snapToGrid w:val="0"/>
                    <w:spacing w:line="400" w:lineRule="exact"/>
                    <w:jc w:val="center"/>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2.1</w:t>
                  </w:r>
                </w:p>
              </w:tc>
            </w:tr>
          </w:tbl>
          <w:p w14:paraId="0EF6AC0B">
            <w:pPr>
              <w:spacing w:line="360" w:lineRule="auto"/>
              <w:ind w:firstLine="210" w:firstLineChars="100"/>
              <w:rPr>
                <w:rFonts w:hint="eastAsia" w:ascii="宋体" w:hAnsi="宋体" w:eastAsia="宋体" w:cs="宋体"/>
                <w:color w:val="000000" w:themeColor="text1"/>
                <w:kern w:val="0"/>
                <w:sz w:val="22"/>
                <w:szCs w:val="22"/>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（2）评标基准价D＝最高投标限价×（1－n）</w:t>
            </w:r>
          </w:p>
        </w:tc>
      </w:tr>
      <w:tr w14:paraId="569C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atLeast"/>
          <w:jc w:val="center"/>
        </w:trPr>
        <w:tc>
          <w:tcPr>
            <w:tcW w:w="446" w:type="dxa"/>
            <w:vMerge w:val="continue"/>
            <w:vAlign w:val="center"/>
          </w:tcPr>
          <w:p w14:paraId="5FA62195">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714" w:type="dxa"/>
            <w:vMerge w:val="continue"/>
            <w:vAlign w:val="center"/>
          </w:tcPr>
          <w:p w14:paraId="441B1425">
            <w:pPr>
              <w:widowControl/>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1349" w:type="dxa"/>
            <w:gridSpan w:val="2"/>
            <w:vAlign w:val="center"/>
          </w:tcPr>
          <w:p w14:paraId="289A3014">
            <w:pPr>
              <w:widowControl w:val="0"/>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投标报价</w:t>
            </w:r>
          </w:p>
          <w:p w14:paraId="79B9B832">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得分</w:t>
            </w:r>
          </w:p>
        </w:tc>
        <w:tc>
          <w:tcPr>
            <w:tcW w:w="8549" w:type="dxa"/>
            <w:gridSpan w:val="3"/>
            <w:vAlign w:val="center"/>
          </w:tcPr>
          <w:p w14:paraId="7AC6ECAF">
            <w:pPr>
              <w:wordWrap w:val="0"/>
              <w:adjustRightInd w:val="0"/>
              <w:snapToGrid w:val="0"/>
              <w:spacing w:line="400" w:lineRule="exact"/>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采用内插法计算某投标人的投标报价得分，即当投标人的投标总价等于评标基准价时得</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30</w:t>
            </w:r>
            <w:r>
              <w:rPr>
                <w:rFonts w:hint="eastAsia" w:ascii="宋体" w:hAnsi="宋体" w:eastAsia="宋体" w:cs="宋体"/>
                <w:snapToGrid w:val="0"/>
                <w:color w:val="000000" w:themeColor="text1"/>
                <w:kern w:val="0"/>
                <w:sz w:val="21"/>
                <w:szCs w:val="21"/>
                <w:highlight w:val="none"/>
                <w14:textFill>
                  <w14:solidFill>
                    <w14:schemeClr w14:val="tx1"/>
                  </w14:solidFill>
                </w14:textFill>
              </w:rPr>
              <w:t>分，每高于评标基准价一个百分点扣</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1"/>
                <w:szCs w:val="21"/>
                <w:highlight w:val="none"/>
                <w14:textFill>
                  <w14:solidFill>
                    <w14:schemeClr w14:val="tx1"/>
                  </w14:solidFill>
                </w14:textFill>
              </w:rPr>
              <w:t>分, 每低于评标基准价一个百分点扣</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0.5</w:t>
            </w:r>
            <w:r>
              <w:rPr>
                <w:rFonts w:hint="eastAsia" w:ascii="宋体" w:hAnsi="宋体" w:eastAsia="宋体" w:cs="宋体"/>
                <w:snapToGrid w:val="0"/>
                <w:color w:val="000000" w:themeColor="text1"/>
                <w:kern w:val="0"/>
                <w:sz w:val="21"/>
                <w:szCs w:val="21"/>
                <w:highlight w:val="none"/>
                <w14:textFill>
                  <w14:solidFill>
                    <w14:schemeClr w14:val="tx1"/>
                  </w14:solidFill>
                </w14:textFill>
              </w:rPr>
              <w:t>分，扣完为止。公式如下：</w:t>
            </w:r>
          </w:p>
          <w:p w14:paraId="03302634">
            <w:pPr>
              <w:widowControl w:val="0"/>
              <w:wordWrap w:val="0"/>
              <w:adjustRightInd w:val="0"/>
              <w:snapToGrid w:val="0"/>
              <w:spacing w:line="400" w:lineRule="exact"/>
              <w:jc w:val="both"/>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投标报价</w:t>
            </w:r>
            <w:r>
              <w:rPr>
                <w:rFonts w:hint="eastAsia" w:ascii="宋体" w:hAnsi="宋体" w:eastAsia="宋体" w:cs="宋体"/>
                <w:snapToGrid w:val="0"/>
                <w:color w:val="000000" w:themeColor="text1"/>
                <w:kern w:val="0"/>
                <w:sz w:val="21"/>
                <w:szCs w:val="21"/>
                <w:highlight w:val="none"/>
                <w14:textFill>
                  <w14:solidFill>
                    <w14:schemeClr w14:val="tx1"/>
                  </w14:solidFill>
                </w14:textFill>
              </w:rPr>
              <w:t>得分＝</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30</w:t>
            </w:r>
            <w:r>
              <w:rPr>
                <w:rFonts w:hint="eastAsia" w:ascii="宋体" w:hAnsi="宋体" w:eastAsia="宋体" w:cs="宋体"/>
                <w:snapToGrid w:val="0"/>
                <w:color w:val="000000" w:themeColor="text1"/>
                <w:kern w:val="0"/>
                <w:sz w:val="21"/>
                <w:szCs w:val="21"/>
                <w:highlight w:val="none"/>
                <w14:textFill>
                  <w14:solidFill>
                    <w14:schemeClr w14:val="tx1"/>
                  </w14:solidFill>
                </w14:textFill>
              </w:rPr>
              <w:t>－（| Di－D | ÷D）×100×E</w:t>
            </w:r>
          </w:p>
          <w:p w14:paraId="19518A56">
            <w:pPr>
              <w:spacing w:line="360" w:lineRule="auto"/>
              <w:ind w:firstLine="210" w:firstLineChars="10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式中：D为评标基准价；Di为某投标人的投标总价；E为扣分因子，当Di＞D时，E＝</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1"/>
                <w:szCs w:val="21"/>
                <w:highlight w:val="none"/>
                <w14:textFill>
                  <w14:solidFill>
                    <w14:schemeClr w14:val="tx1"/>
                  </w14:solidFill>
                </w14:textFill>
              </w:rPr>
              <w:t>；当Di＜D时，E＝0.</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1"/>
                <w:szCs w:val="21"/>
                <w:highlight w:val="none"/>
                <w14:textFill>
                  <w14:solidFill>
                    <w14:schemeClr w14:val="tx1"/>
                  </w14:solidFill>
                </w14:textFill>
              </w:rPr>
              <w:t>。</w:t>
            </w:r>
          </w:p>
        </w:tc>
      </w:tr>
      <w:tr w14:paraId="745B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509" w:type="dxa"/>
            <w:gridSpan w:val="4"/>
            <w:vAlign w:val="center"/>
          </w:tcPr>
          <w:p w14:paraId="79556034">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合计</w:t>
            </w:r>
          </w:p>
        </w:tc>
        <w:tc>
          <w:tcPr>
            <w:tcW w:w="8549" w:type="dxa"/>
            <w:gridSpan w:val="3"/>
            <w:vAlign w:val="center"/>
          </w:tcPr>
          <w:p w14:paraId="70022D64">
            <w:pPr>
              <w:spacing w:line="360" w:lineRule="exact"/>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商务部分得分+技术部分得分+经济部分得分</w:t>
            </w:r>
          </w:p>
        </w:tc>
      </w:tr>
    </w:tbl>
    <w:p w14:paraId="652B4D38">
      <w:pPr>
        <w:spacing w:line="440" w:lineRule="exact"/>
        <w:rPr>
          <w:rFonts w:hint="eastAsia" w:asciiTheme="minorEastAsia" w:hAnsiTheme="minorEastAsia" w:eastAsiaTheme="minorEastAsia" w:cstheme="minorEastAsia"/>
          <w:color w:val="000000" w:themeColor="text1"/>
          <w:spacing w:val="10"/>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0"/>
          <w:kern w:val="0"/>
          <w:szCs w:val="24"/>
          <w:highlight w:val="none"/>
          <w14:textFill>
            <w14:solidFill>
              <w14:schemeClr w14:val="tx1"/>
            </w14:solidFill>
          </w14:textFill>
        </w:rPr>
        <w:t>备注：</w:t>
      </w:r>
    </w:p>
    <w:p w14:paraId="4203939C">
      <w:pPr>
        <w:spacing w:line="440" w:lineRule="exact"/>
        <w:ind w:firstLine="482" w:firstLineChars="200"/>
        <w:rPr>
          <w:rFonts w:hint="eastAsia" w:asciiTheme="minorEastAsia" w:hAnsiTheme="minorEastAsia" w:eastAsiaTheme="minorEastAsia" w:cstheme="minorEastAsia"/>
          <w:b/>
          <w:bCs/>
          <w:color w:val="000000" w:themeColor="text1"/>
          <w:szCs w:val="24"/>
          <w:highlight w:val="none"/>
          <w:u w:val="doubl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1、</w:t>
      </w:r>
      <w:r>
        <w:rPr>
          <w:rFonts w:hint="eastAsia" w:asciiTheme="minorEastAsia" w:hAnsiTheme="minorEastAsia" w:eastAsiaTheme="minorEastAsia" w:cstheme="minorEastAsia"/>
          <w:b/>
          <w:bCs/>
          <w:color w:val="000000" w:themeColor="text1"/>
          <w:szCs w:val="24"/>
          <w:highlight w:val="none"/>
          <w:u w:val="double"/>
          <w14:textFill>
            <w14:solidFill>
              <w14:schemeClr w14:val="tx1"/>
            </w14:solidFill>
          </w14:textFill>
        </w:rPr>
        <w:t>综合评分表中注明“扫描件”为原件扫描件。</w:t>
      </w:r>
    </w:p>
    <w:p w14:paraId="4C82F864">
      <w:pPr>
        <w:spacing w:line="440" w:lineRule="exact"/>
        <w:ind w:firstLine="482" w:firstLineChars="200"/>
        <w:rPr>
          <w:rFonts w:hint="eastAsia" w:asciiTheme="minorEastAsia" w:hAnsiTheme="minorEastAsia" w:eastAsiaTheme="minorEastAsia" w:cstheme="minorEastAsia"/>
          <w:b/>
          <w:bCs/>
          <w:color w:val="000000" w:themeColor="text1"/>
          <w:szCs w:val="24"/>
          <w:highlight w:val="none"/>
          <w:u w:val="doubl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2、</w:t>
      </w:r>
      <w:r>
        <w:rPr>
          <w:rFonts w:hint="eastAsia" w:asciiTheme="minorEastAsia" w:hAnsiTheme="minorEastAsia" w:eastAsiaTheme="minorEastAsia" w:cstheme="minorEastAsia"/>
          <w:b/>
          <w:bCs/>
          <w:color w:val="000000" w:themeColor="text1"/>
          <w:szCs w:val="24"/>
          <w:highlight w:val="none"/>
          <w:u w:val="double"/>
          <w14:textFill>
            <w14:solidFill>
              <w14:schemeClr w14:val="tx1"/>
            </w14:solidFill>
          </w14:textFill>
        </w:rPr>
        <w:t>评分如出现小数点，则保留小数点后两位，第三位四舍五入。</w:t>
      </w:r>
    </w:p>
    <w:p w14:paraId="60FF2AA3">
      <w:pPr>
        <w:spacing w:line="440" w:lineRule="exact"/>
        <w:ind w:firstLine="482" w:firstLineChars="200"/>
        <w:rPr>
          <w:rFonts w:hint="eastAsia" w:asciiTheme="minorEastAsia" w:hAnsiTheme="minorEastAsia" w:eastAsiaTheme="minorEastAsia" w:cstheme="minorEastAsia"/>
          <w:b/>
          <w:color w:val="000000" w:themeColor="text1"/>
          <w:kern w:val="1"/>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3、</w:t>
      </w:r>
      <w:r>
        <w:rPr>
          <w:rFonts w:hint="eastAsia" w:asciiTheme="minorEastAsia" w:hAnsiTheme="minorEastAsia" w:eastAsiaTheme="minorEastAsia" w:cstheme="minorEastAsia"/>
          <w:b/>
          <w:bCs/>
          <w:color w:val="000000" w:themeColor="text1"/>
          <w:szCs w:val="24"/>
          <w:highlight w:val="none"/>
          <w:u w:val="double"/>
          <w14:textFill>
            <w14:solidFill>
              <w14:schemeClr w14:val="tx1"/>
            </w14:solidFill>
          </w14:textFill>
        </w:rPr>
        <w:t>如果某投标人的建安工程费下浮率高于15%时，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5C6B5B48">
      <w:pPr>
        <w:rPr>
          <w:rFonts w:hint="eastAsia"/>
          <w:color w:val="000000" w:themeColor="text1"/>
          <w:highlight w:val="none"/>
          <w14:textFill>
            <w14:solidFill>
              <w14:schemeClr w14:val="tx1"/>
            </w14:solidFill>
          </w14:textFill>
        </w:rPr>
      </w:pPr>
    </w:p>
    <w:p w14:paraId="124DC73F">
      <w:pPr>
        <w:wordWrap w:val="0"/>
        <w:adjustRightInd w:val="0"/>
        <w:snapToGrid w:val="0"/>
        <w:spacing w:line="440" w:lineRule="exact"/>
        <w:ind w:firstLine="52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pacing w:val="10"/>
          <w:kern w:val="0"/>
          <w:szCs w:val="24"/>
          <w:highlight w:val="none"/>
          <w14:textFill>
            <w14:solidFill>
              <w14:schemeClr w14:val="tx1"/>
            </w14:solidFill>
          </w14:textFill>
        </w:rPr>
        <w:t>14.</w:t>
      </w:r>
      <w:r>
        <w:rPr>
          <w:rFonts w:hint="eastAsia" w:asciiTheme="minorEastAsia" w:hAnsiTheme="minorEastAsia" w:eastAsiaTheme="minorEastAsia" w:cstheme="minorEastAsia"/>
          <w:bCs/>
          <w:color w:val="000000" w:themeColor="text1"/>
          <w:spacing w:val="10"/>
          <w:kern w:val="0"/>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bCs/>
          <w:color w:val="000000" w:themeColor="text1"/>
          <w:spacing w:val="10"/>
          <w:kern w:val="0"/>
          <w:szCs w:val="24"/>
          <w:highlight w:val="none"/>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否决投标说明</w:t>
      </w:r>
    </w:p>
    <w:p w14:paraId="2F46DD7E">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详细评审阶段否决投标的全部条件，在本章第四节“否决投标条件”第1条至第4条中集中列示。投标人有其中所列任何一种情形的，由评标委员会否决其投标。经详细评审后，有效投标人数量不足3个时，招标人应依法重新组织招标。</w:t>
      </w:r>
    </w:p>
    <w:p w14:paraId="524E4F43">
      <w:pPr>
        <w:pStyle w:val="38"/>
        <w:spacing w:line="400" w:lineRule="exact"/>
        <w:ind w:firstLine="482" w:firstLineChars="200"/>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注：投标人在详细评审阶段根据评分方法提供的佐证材料，其合法性、有效性和准确性不符合要求的，有关量化因素（或评分因素）的折算、调整（或评分）按相应量化标准（或评分标准）处理，但不否决投标。</w:t>
      </w:r>
    </w:p>
    <w:p w14:paraId="70091841">
      <w:pPr>
        <w:pStyle w:val="47"/>
        <w:ind w:firstLine="482" w:firstLineChars="200"/>
        <w:jc w:val="both"/>
        <w:outlineLvl w:val="9"/>
        <w:rPr>
          <w:rFonts w:hint="eastAsia" w:asciiTheme="minorEastAsia" w:hAnsiTheme="minorEastAsia" w:eastAsiaTheme="minorEastAsia" w:cstheme="minorEastAsia"/>
          <w:b/>
          <w:color w:val="000000" w:themeColor="text1"/>
          <w:highlight w:val="none"/>
          <w14:textFill>
            <w14:solidFill>
              <w14:schemeClr w14:val="tx1"/>
            </w14:solidFill>
          </w14:textFill>
        </w:rPr>
      </w:pPr>
    </w:p>
    <w:p w14:paraId="29BE2436">
      <w:pPr>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294" w:name="_Toc32481"/>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br w:type="page"/>
      </w:r>
    </w:p>
    <w:p w14:paraId="7A32DAC8">
      <w:pPr>
        <w:keepNext w:val="0"/>
        <w:keepLines w:val="0"/>
        <w:pageBreakBefore w:val="0"/>
        <w:widowControl/>
        <w:kinsoku w:val="0"/>
        <w:wordWrap w:val="0"/>
        <w:overflowPunct/>
        <w:topLinePunct w:val="0"/>
        <w:autoSpaceDE w:val="0"/>
        <w:autoSpaceDN w:val="0"/>
        <w:bidi w:val="0"/>
        <w:adjustRightInd w:val="0"/>
        <w:snapToGrid w:val="0"/>
        <w:spacing w:before="78" w:line="220" w:lineRule="auto"/>
        <w:jc w:val="left"/>
        <w:textAlignment w:val="baseline"/>
        <w:outlineLvl w:val="1"/>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pPr>
      <w:bookmarkStart w:id="295" w:name="_Toc1522"/>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15</w:t>
      </w:r>
      <w:r>
        <w:rPr>
          <w:rFonts w:hint="eastAsia" w:asciiTheme="minorEastAsia" w:hAnsiTheme="minorEastAsia" w:eastAsiaTheme="minorEastAsia" w:cstheme="minorEastAsia"/>
          <w:b/>
          <w:color w:val="000000" w:themeColor="text1"/>
          <w:kern w:val="2"/>
          <w:highlight w:val="none"/>
          <w:lang w:val="en-US" w:eastAsia="zh-CN"/>
          <w14:textFill>
            <w14:solidFill>
              <w14:schemeClr w14:val="tx1"/>
            </w14:solidFill>
          </w14:textFill>
        </w:rPr>
        <w:t>、</w:t>
      </w:r>
      <w:bookmarkEnd w:id="294"/>
      <w:r>
        <w:rPr>
          <w:rFonts w:hint="eastAsia" w:ascii="宋体" w:hAnsi="宋体" w:eastAsia="宋体" w:cs="宋体"/>
          <w:b/>
          <w:bCs/>
          <w:snapToGrid w:val="0"/>
          <w:color w:val="000000" w:themeColor="text1"/>
          <w:spacing w:val="0"/>
          <w:kern w:val="0"/>
          <w:sz w:val="24"/>
          <w:szCs w:val="24"/>
          <w:highlight w:val="none"/>
          <w:lang w:eastAsia="zh-CN"/>
          <w14:textFill>
            <w14:solidFill>
              <w14:schemeClr w14:val="tx1"/>
            </w14:solidFill>
          </w14:textFill>
        </w:rPr>
        <w:t>评标结果公示</w:t>
      </w:r>
      <w:bookmarkEnd w:id="295"/>
    </w:p>
    <w:p w14:paraId="36E0651D">
      <w:pPr>
        <w:keepNext w:val="0"/>
        <w:keepLines w:val="0"/>
        <w:pageBreakBefore w:val="0"/>
        <w:widowControl/>
        <w:kinsoku w:val="0"/>
        <w:wordWrap w:val="0"/>
        <w:overflowPunct/>
        <w:topLinePunct w:val="0"/>
        <w:autoSpaceDE w:val="0"/>
        <w:autoSpaceDN w:val="0"/>
        <w:bidi w:val="0"/>
        <w:adjustRightInd w:val="0"/>
        <w:snapToGrid w:val="0"/>
        <w:spacing w:before="135" w:line="360" w:lineRule="auto"/>
        <w:ind w:left="2" w:right="105" w:firstLine="494"/>
        <w:jc w:val="both"/>
        <w:textAlignment w:val="baseline"/>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pPr>
      <w:r>
        <w:rPr>
          <w:rFonts w:hint="eastAsia" w:ascii="宋体" w:hAnsi="宋体" w:eastAsia="宋体" w:cs="宋体"/>
          <w:b/>
          <w:bCs/>
          <w:snapToGrid w:val="0"/>
          <w:color w:val="000000" w:themeColor="text1"/>
          <w:spacing w:val="0"/>
          <w:kern w:val="0"/>
          <w:sz w:val="24"/>
          <w:szCs w:val="24"/>
          <w:highlight w:val="none"/>
          <w:lang w:eastAsia="en-US"/>
          <w14:textFill>
            <w14:solidFill>
              <w14:schemeClr w14:val="tx1"/>
            </w14:solidFill>
          </w14:textFill>
        </w:rPr>
        <w:t>1</w:t>
      </w:r>
      <w:r>
        <w:rPr>
          <w:rFonts w:hint="eastAsia" w:ascii="宋体" w:hAnsi="宋体" w:eastAsia="宋体" w:cs="宋体"/>
          <w:b/>
          <w:bCs/>
          <w:snapToGrid w:val="0"/>
          <w:color w:val="000000" w:themeColor="text1"/>
          <w:spacing w:val="0"/>
          <w:kern w:val="0"/>
          <w:sz w:val="24"/>
          <w:szCs w:val="24"/>
          <w:highlight w:val="none"/>
          <w:lang w:val="en-US" w:eastAsia="zh-CN"/>
          <w14:textFill>
            <w14:solidFill>
              <w14:schemeClr w14:val="tx1"/>
            </w14:solidFill>
          </w14:textFill>
        </w:rPr>
        <w:t>5</w:t>
      </w:r>
      <w:r>
        <w:rPr>
          <w:rFonts w:hint="eastAsia" w:ascii="宋体" w:hAnsi="宋体" w:eastAsia="宋体" w:cs="宋体"/>
          <w:b/>
          <w:bCs/>
          <w:snapToGrid w:val="0"/>
          <w:color w:val="000000" w:themeColor="text1"/>
          <w:spacing w:val="0"/>
          <w:kern w:val="0"/>
          <w:sz w:val="24"/>
          <w:szCs w:val="24"/>
          <w:highlight w:val="none"/>
          <w:lang w:eastAsia="en-US"/>
          <w14:textFill>
            <w14:solidFill>
              <w14:schemeClr w14:val="tx1"/>
            </w14:solidFill>
          </w14:textFill>
        </w:rPr>
        <w:t xml:space="preserve">.1  </w:t>
      </w:r>
      <w:r>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t>评标委员会按照投标人评审综合总得分由高到低的原则,向招标人推荐已明确的定标候选人数量（不标明排序）。评标委员会推荐定标候选人后，招标人应于评标会结束后3个</w:t>
      </w:r>
      <w:r>
        <w:rPr>
          <w:rFonts w:hint="eastAsia" w:ascii="宋体" w:hAnsi="宋体" w:eastAsia="宋体" w:cs="宋体"/>
          <w:snapToGrid w:val="0"/>
          <w:color w:val="000000" w:themeColor="text1"/>
          <w:spacing w:val="0"/>
          <w:kern w:val="0"/>
          <w:sz w:val="24"/>
          <w:szCs w:val="24"/>
          <w:highlight w:val="none"/>
          <w:lang w:val="en-US" w:eastAsia="zh-CN"/>
          <w14:textFill>
            <w14:solidFill>
              <w14:schemeClr w14:val="tx1"/>
            </w14:solidFill>
          </w14:textFill>
        </w:rPr>
        <w:t>日历天</w:t>
      </w:r>
      <w:r>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t>内将定标候选人和评标情况在广东省招标投标监管网和韶关市公共资源交易中心建设工程交易系统上公示，公示时间不少于3个</w:t>
      </w:r>
      <w:r>
        <w:rPr>
          <w:rFonts w:hint="eastAsia" w:ascii="宋体" w:hAnsi="宋体" w:eastAsia="宋体" w:cs="宋体"/>
          <w:snapToGrid w:val="0"/>
          <w:color w:val="000000" w:themeColor="text1"/>
          <w:spacing w:val="0"/>
          <w:kern w:val="0"/>
          <w:sz w:val="24"/>
          <w:szCs w:val="24"/>
          <w:highlight w:val="none"/>
          <w:lang w:val="en-US" w:eastAsia="zh-CN"/>
          <w14:textFill>
            <w14:solidFill>
              <w14:schemeClr w14:val="tx1"/>
            </w14:solidFill>
          </w14:textFill>
        </w:rPr>
        <w:t>日历天</w:t>
      </w:r>
      <w:r>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t>。公示主要内容包括：</w:t>
      </w:r>
    </w:p>
    <w:p w14:paraId="4A1D4141">
      <w:pPr>
        <w:keepNext w:val="0"/>
        <w:keepLines w:val="0"/>
        <w:pageBreakBefore w:val="0"/>
        <w:widowControl/>
        <w:kinsoku w:val="0"/>
        <w:wordWrap w:val="0"/>
        <w:overflowPunct/>
        <w:topLinePunct w:val="0"/>
        <w:autoSpaceDE w:val="0"/>
        <w:autoSpaceDN w:val="0"/>
        <w:bidi w:val="0"/>
        <w:adjustRightInd w:val="0"/>
        <w:snapToGrid w:val="0"/>
        <w:spacing w:before="135" w:line="360" w:lineRule="auto"/>
        <w:ind w:left="2" w:right="105" w:firstLine="494"/>
        <w:jc w:val="both"/>
        <w:textAlignment w:val="baseline"/>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pPr>
      <w:r>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t>（1）定标候选人名称、投标报价、业绩奖项、质量、工期、拟派驻招标项目管理机构人员信息等；</w:t>
      </w:r>
    </w:p>
    <w:p w14:paraId="3130B6A0">
      <w:pPr>
        <w:keepNext w:val="0"/>
        <w:keepLines w:val="0"/>
        <w:pageBreakBefore w:val="0"/>
        <w:widowControl/>
        <w:kinsoku w:val="0"/>
        <w:wordWrap w:val="0"/>
        <w:overflowPunct/>
        <w:topLinePunct w:val="0"/>
        <w:autoSpaceDE w:val="0"/>
        <w:autoSpaceDN w:val="0"/>
        <w:bidi w:val="0"/>
        <w:adjustRightInd w:val="0"/>
        <w:snapToGrid w:val="0"/>
        <w:spacing w:before="135" w:line="360" w:lineRule="auto"/>
        <w:ind w:left="547" w:leftChars="228" w:right="105" w:firstLine="0" w:firstLineChars="0"/>
        <w:jc w:val="both"/>
        <w:textAlignment w:val="baseline"/>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pPr>
      <w:r>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t>（2）定标候选人按照招标文件要求承诺的项目负责人姓名及相关证书名称和编号；</w:t>
      </w:r>
    </w:p>
    <w:p w14:paraId="44CAB5F6">
      <w:pPr>
        <w:keepNext w:val="0"/>
        <w:keepLines w:val="0"/>
        <w:pageBreakBefore w:val="0"/>
        <w:widowControl/>
        <w:kinsoku w:val="0"/>
        <w:wordWrap w:val="0"/>
        <w:overflowPunct/>
        <w:topLinePunct w:val="0"/>
        <w:autoSpaceDE w:val="0"/>
        <w:autoSpaceDN w:val="0"/>
        <w:bidi w:val="0"/>
        <w:adjustRightInd w:val="0"/>
        <w:snapToGrid w:val="0"/>
        <w:spacing w:before="135" w:line="360" w:lineRule="auto"/>
        <w:ind w:left="547" w:leftChars="228" w:right="105" w:firstLine="0" w:firstLineChars="0"/>
        <w:jc w:val="both"/>
        <w:textAlignment w:val="baseline"/>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pPr>
      <w:r>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t>（3）响应招标文件要求的资格能力条件；</w:t>
      </w:r>
    </w:p>
    <w:p w14:paraId="0308086C">
      <w:pPr>
        <w:keepNext w:val="0"/>
        <w:keepLines w:val="0"/>
        <w:pageBreakBefore w:val="0"/>
        <w:widowControl/>
        <w:kinsoku w:val="0"/>
        <w:wordWrap w:val="0"/>
        <w:overflowPunct/>
        <w:topLinePunct w:val="0"/>
        <w:autoSpaceDE w:val="0"/>
        <w:autoSpaceDN w:val="0"/>
        <w:bidi w:val="0"/>
        <w:adjustRightInd w:val="0"/>
        <w:snapToGrid w:val="0"/>
        <w:spacing w:before="135" w:line="360" w:lineRule="auto"/>
        <w:ind w:left="547" w:leftChars="228" w:right="105" w:firstLine="0" w:firstLineChars="0"/>
        <w:jc w:val="both"/>
        <w:textAlignment w:val="baseline"/>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pPr>
      <w:r>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t>（4）提出异议的渠道和方式；</w:t>
      </w:r>
    </w:p>
    <w:p w14:paraId="0F8E2045">
      <w:pPr>
        <w:keepNext w:val="0"/>
        <w:keepLines w:val="0"/>
        <w:pageBreakBefore w:val="0"/>
        <w:widowControl/>
        <w:kinsoku w:val="0"/>
        <w:wordWrap w:val="0"/>
        <w:overflowPunct/>
        <w:topLinePunct w:val="0"/>
        <w:autoSpaceDE w:val="0"/>
        <w:autoSpaceDN w:val="0"/>
        <w:bidi w:val="0"/>
        <w:adjustRightInd w:val="0"/>
        <w:snapToGrid w:val="0"/>
        <w:spacing w:before="135" w:line="360" w:lineRule="auto"/>
        <w:ind w:left="0" w:leftChars="0" w:right="105" w:firstLine="480" w:firstLineChars="200"/>
        <w:jc w:val="both"/>
        <w:textAlignment w:val="baseline"/>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pPr>
      <w:r>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t>（5）评标专家代码（评标专家姓名可用代码进行标示，如专家一、专家二等）及其对应的具体评标意见（含对否决投标人相关意见等）以及评标报告；</w:t>
      </w:r>
    </w:p>
    <w:p w14:paraId="6DCA342C">
      <w:pPr>
        <w:keepNext w:val="0"/>
        <w:keepLines w:val="0"/>
        <w:pageBreakBefore w:val="0"/>
        <w:widowControl/>
        <w:kinsoku w:val="0"/>
        <w:wordWrap w:val="0"/>
        <w:overflowPunct/>
        <w:topLinePunct w:val="0"/>
        <w:autoSpaceDE w:val="0"/>
        <w:autoSpaceDN w:val="0"/>
        <w:bidi w:val="0"/>
        <w:adjustRightInd w:val="0"/>
        <w:snapToGrid w:val="0"/>
        <w:spacing w:before="135" w:line="360" w:lineRule="auto"/>
        <w:ind w:left="547" w:leftChars="228" w:right="105" w:firstLine="0" w:firstLineChars="0"/>
        <w:jc w:val="both"/>
        <w:textAlignment w:val="baseline"/>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pPr>
      <w:r>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t>（6）投标文件；</w:t>
      </w:r>
    </w:p>
    <w:p w14:paraId="338AB6D2">
      <w:pPr>
        <w:keepNext w:val="0"/>
        <w:keepLines w:val="0"/>
        <w:pageBreakBefore w:val="0"/>
        <w:widowControl/>
        <w:kinsoku w:val="0"/>
        <w:wordWrap w:val="0"/>
        <w:overflowPunct/>
        <w:topLinePunct w:val="0"/>
        <w:autoSpaceDE w:val="0"/>
        <w:autoSpaceDN w:val="0"/>
        <w:bidi w:val="0"/>
        <w:adjustRightInd w:val="0"/>
        <w:snapToGrid w:val="0"/>
        <w:spacing w:before="135" w:line="360" w:lineRule="auto"/>
        <w:ind w:left="547" w:leftChars="228" w:right="105" w:firstLine="0" w:firstLineChars="0"/>
        <w:jc w:val="both"/>
        <w:textAlignment w:val="baseline"/>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pPr>
      <w:r>
        <w:rPr>
          <w:rFonts w:hint="eastAsia" w:ascii="宋体" w:hAnsi="宋体" w:eastAsia="宋体" w:cs="宋体"/>
          <w:snapToGrid w:val="0"/>
          <w:color w:val="000000" w:themeColor="text1"/>
          <w:spacing w:val="0"/>
          <w:kern w:val="0"/>
          <w:sz w:val="24"/>
          <w:szCs w:val="24"/>
          <w:highlight w:val="none"/>
          <w:lang w:eastAsia="en-US"/>
          <w14:textFill>
            <w14:solidFill>
              <w14:schemeClr w14:val="tx1"/>
            </w14:solidFill>
          </w14:textFill>
        </w:rPr>
        <w:t>（7）招标文件确认公示的其他内容。</w:t>
      </w:r>
    </w:p>
    <w:p w14:paraId="1D69F928">
      <w:pPr>
        <w:wordWrap w:val="0"/>
        <w:spacing w:line="440" w:lineRule="exact"/>
        <w:ind w:firstLine="482" w:firstLineChars="200"/>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spacing w:val="0"/>
          <w:kern w:val="0"/>
          <w:sz w:val="24"/>
          <w:szCs w:val="24"/>
          <w:highlight w:val="none"/>
          <w:lang w:val="en-US" w:eastAsia="zh-CN" w:bidi="ar-SA"/>
          <w14:textFill>
            <w14:solidFill>
              <w14:schemeClr w14:val="tx1"/>
            </w14:solidFill>
          </w14:textFill>
        </w:rPr>
        <w:t>15.2</w:t>
      </w:r>
      <w:r>
        <w:rPr>
          <w:rFonts w:hint="eastAsia" w:ascii="宋体" w:hAnsi="宋体" w:eastAsia="宋体" w:cs="宋体"/>
          <w:snapToGrid w:val="0"/>
          <w:color w:val="000000" w:themeColor="text1"/>
          <w:spacing w:val="0"/>
          <w:kern w:val="0"/>
          <w:sz w:val="24"/>
          <w:szCs w:val="24"/>
          <w:highlight w:val="none"/>
          <w:lang w:val="en-US" w:eastAsia="zh-CN" w:bidi="ar-SA"/>
          <w14:textFill>
            <w14:solidFill>
              <w14:schemeClr w14:val="tx1"/>
            </w14:solidFill>
          </w14:textFill>
        </w:rPr>
        <w:t xml:space="preserve"> 投标人或其他利害关系人对定标候选人有异议的，应当在公示期内提出。异议及投诉处理，严格按照招标投标有关法律法规及《韶关市工程建设项目招标投标活动异议和投诉处理办法》的规定执行。招标人及其评标委员会发现招标投标活动存在违反法律法规规定的，由招标人向有关监管部门投诉。</w:t>
      </w:r>
    </w:p>
    <w:p w14:paraId="28D10876">
      <w:pP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bookmarkStart w:id="296" w:name="_Hlt112206772"/>
      <w:bookmarkEnd w:id="296"/>
      <w:bookmarkStart w:id="297" w:name="_Hlt69669771"/>
      <w:bookmarkEnd w:id="297"/>
      <w:bookmarkStart w:id="298" w:name="_Toc9083"/>
      <w:bookmarkStart w:id="299" w:name="_Toc16300"/>
      <w:bookmarkStart w:id="300" w:name="_Toc21045"/>
      <w:bookmarkStart w:id="301" w:name="_Toc24184"/>
      <w:bookmarkStart w:id="302" w:name="_Toc16649"/>
      <w:bookmarkStart w:id="303" w:name="_Toc11519"/>
      <w:bookmarkStart w:id="304" w:name="_Toc16203"/>
      <w:bookmarkStart w:id="305" w:name="_Toc13416"/>
      <w:bookmarkStart w:id="306" w:name="_Hlt69698713"/>
      <w:bookmarkStart w:id="307" w:name="_Hlt69698765"/>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br w:type="page"/>
      </w:r>
    </w:p>
    <w:p w14:paraId="419DA419">
      <w:pPr>
        <w:wordWrap w:val="0"/>
        <w:adjustRightInd w:val="0"/>
        <w:snapToGrid w:val="0"/>
        <w:spacing w:line="440" w:lineRule="exact"/>
        <w:outlineLvl w:val="1"/>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308" w:name="_Toc11870"/>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第四节 否决投标条件</w:t>
      </w:r>
      <w:bookmarkEnd w:id="308"/>
    </w:p>
    <w:p w14:paraId="37D31EA2">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本节所集中列示的否决投标条件，是本章第三节“投标人须知正文”的组成部分，是对本章第三节所规定的否决投标条件的总结和补充。投标人未有列入本节情形的，评标时一律不得否决其投标。本节所称“规定”均指招标文件的规定。</w:t>
      </w:r>
    </w:p>
    <w:p w14:paraId="057A333B">
      <w:pPr>
        <w:wordWrap w:val="0"/>
        <w:adjustRightInd w:val="0"/>
        <w:snapToGrid w:val="0"/>
        <w:spacing w:line="440" w:lineRule="exact"/>
        <w:outlineLvl w:val="1"/>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bookmarkStart w:id="309" w:name="_Toc3613"/>
      <w:bookmarkStart w:id="310" w:name="_Toc25868"/>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1．资格评审环节</w:t>
      </w:r>
      <w:bookmarkEnd w:id="309"/>
      <w:bookmarkEnd w:id="310"/>
    </w:p>
    <w:p w14:paraId="5EBB77B9">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投标人有下列情形之一的，评标委员会应否决其投标。被否决的投标人，不进入形式评审环节。</w:t>
      </w:r>
    </w:p>
    <w:p w14:paraId="42BF76F7">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（1）有本章第三节第4.4条“禁止投标条款”规定的任何一种情形；</w:t>
      </w:r>
    </w:p>
    <w:p w14:paraId="303439CA">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（2）投标人资质不符合规定的；</w:t>
      </w:r>
    </w:p>
    <w:p w14:paraId="6772FD05">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0CA531CE">
      <w:pPr>
        <w:wordWrap w:val="0"/>
        <w:adjustRightInd w:val="0"/>
        <w:snapToGrid w:val="0"/>
        <w:spacing w:line="440" w:lineRule="exact"/>
        <w:ind w:firstLine="723" w:firstLineChars="3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7523EE7F">
      <w:pPr>
        <w:wordWrap w:val="0"/>
        <w:adjustRightInd w:val="0"/>
        <w:snapToGrid w:val="0"/>
        <w:spacing w:line="440" w:lineRule="exact"/>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根据有关文件精神，投标人的企业相关证书到期的，均按该证书的发证机构相关行政主管部门最新文件执行（如自动顺延或推迟办理延期业务的通知等）投标人须提供相关证明材料附在该证书后面，证明在开标日继续有效的。</w:t>
      </w:r>
    </w:p>
    <w:p w14:paraId="11CA74C1">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（4）拟派项目经理、项目技术负责人、专职安全员、设计负责人</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勘察负责人</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的条件不符合规定的；拟派专职安全员数量不符合规定的；</w:t>
      </w:r>
    </w:p>
    <w:p w14:paraId="3A8BE00D">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C290081">
      <w:pPr>
        <w:wordWrap w:val="0"/>
        <w:adjustRightInd w:val="0"/>
        <w:snapToGrid w:val="0"/>
        <w:spacing w:line="440" w:lineRule="exact"/>
        <w:ind w:firstLine="723" w:firstLineChars="3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注：投标人已经工商变更，但其员工执业资格注册证书的注册单位名称未完成变更的，不得否决其投标。</w:t>
      </w:r>
    </w:p>
    <w:p w14:paraId="7FB3C7A4">
      <w:pPr>
        <w:wordWrap w:val="0"/>
        <w:adjustRightInd w:val="0"/>
        <w:snapToGrid w:val="0"/>
        <w:spacing w:line="440" w:lineRule="exact"/>
        <w:ind w:firstLine="723" w:firstLineChars="300"/>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鉴于目前继续教育开展的实际情况，建筑和市政工程施工现场专业人员（例如：施工员、质量员、材料员、资料员）的岗位证书或培训证书不审查其证书的有效期。</w:t>
      </w:r>
    </w:p>
    <w:p w14:paraId="3E6E6AC6">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（6）联合体投标，未提交《联合体协议书》的；擅自修改、遗漏《联合体协议书》实质性内容的；联合体成员的数量、资质不符合规定的；联合体成员同时以自己名义单独投标或者参加其他联合体投标的；</w:t>
      </w:r>
    </w:p>
    <w:p w14:paraId="37BB7948">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（7）投标人为外省建筑企业，但未提供“进粤企业和人员诚信信息登记平台”企业和拟派人员信息情况打印页或网页截图的。</w:t>
      </w:r>
    </w:p>
    <w:p w14:paraId="41D23B3A">
      <w:pPr>
        <w:wordWrap w:val="0"/>
        <w:adjustRightInd w:val="0"/>
        <w:snapToGrid w:val="0"/>
        <w:spacing w:line="440" w:lineRule="exact"/>
        <w:outlineLvl w:val="1"/>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bookmarkStart w:id="311" w:name="_Toc16862"/>
      <w:bookmarkStart w:id="312" w:name="_Toc8904"/>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2．形式评审环节</w:t>
      </w:r>
      <w:bookmarkEnd w:id="311"/>
      <w:bookmarkEnd w:id="312"/>
    </w:p>
    <w:p w14:paraId="5BD34366">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投标人有下列情形之一的，评标委员会应否决其投标。被否决的投标人，不进入响应性评审环节。</w:t>
      </w:r>
    </w:p>
    <w:p w14:paraId="2208CC05">
      <w:pPr>
        <w:wordWrap w:val="0"/>
        <w:adjustRightInd w:val="0"/>
        <w:snapToGrid w:val="0"/>
        <w:spacing w:line="440" w:lineRule="exact"/>
        <w:ind w:left="0" w:leftChars="0"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8</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）本章第三节第11.2.2目中规定的“所有投标人均应提供”的组成内容（包括该组成内容的所附资料）中，任何一项有缺漏的；</w:t>
      </w:r>
    </w:p>
    <w:p w14:paraId="3D21ACF1">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9</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关键字迹模糊、无法辨认，且该种过错将导致评标委员会无法判断投标文件是否响应招标文件实质性要求的；出现手工涂改、行间插字或删除，但未加盖单位章或由投标人的法定代表人或其委托代理人签字确认的；</w:t>
      </w:r>
    </w:p>
    <w:p w14:paraId="7414069F">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0</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）投标文件未按规定签字、盖章的；</w:t>
      </w:r>
    </w:p>
    <w:p w14:paraId="290C357F">
      <w:pPr>
        <w:wordWrap w:val="0"/>
        <w:adjustRightInd w:val="0"/>
        <w:snapToGrid w:val="0"/>
        <w:spacing w:line="440" w:lineRule="exact"/>
        <w:outlineLvl w:val="1"/>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bookmarkStart w:id="313" w:name="_Toc11607"/>
      <w:bookmarkStart w:id="314" w:name="_Toc19523"/>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3．响应性评审环节</w:t>
      </w:r>
      <w:bookmarkEnd w:id="313"/>
      <w:bookmarkEnd w:id="314"/>
    </w:p>
    <w:p w14:paraId="7F5913C3">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投标人有下列情形之一的，评标委员会应否决其投标。被否决的投标人，不进入详细评审阶段。</w:t>
      </w:r>
    </w:p>
    <w:p w14:paraId="6D3A250A">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）承诺的投标有效期短于规定的；工期超出规定的；擅自修改、遗漏《投标函》《各项承诺一览表》实质性内容的；</w:t>
      </w:r>
    </w:p>
    <w:p w14:paraId="6AF21AAC">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两个或两个以上投标总价的（同一个投标总价大、小写不一致的除外）；投标总价超出最高投标限价的；投标总价下浮率超过15%，又未提供相应书面说明和佐证材料或提供的书面说明和佐证材料不能令人信服，被评标委员会认定以低于成本报价竞标的；</w:t>
      </w:r>
    </w:p>
    <w:p w14:paraId="6118D55F">
      <w:pPr>
        <w:wordWrap w:val="0"/>
        <w:adjustRightInd w:val="0"/>
        <w:snapToGrid w:val="0"/>
        <w:spacing w:line="440" w:lineRule="exact"/>
        <w:outlineLvl w:val="1"/>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bookmarkStart w:id="315" w:name="_Toc29578"/>
      <w:bookmarkStart w:id="316" w:name="_Toc20433"/>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4．其他</w:t>
      </w:r>
      <w:bookmarkEnd w:id="315"/>
      <w:bookmarkEnd w:id="316"/>
    </w:p>
    <w:p w14:paraId="29E56635">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在任何评标环节（或阶段），投标人有下列情形之一的，评标委员会应否决其投标。被否决的投标人，不进入下一环节（或阶段）。</w:t>
      </w:r>
    </w:p>
    <w:p w14:paraId="3A2D1E13">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（14）不按评标委员会要求澄清、说明或补正的；</w:t>
      </w:r>
    </w:p>
    <w:p w14:paraId="3E049FB5">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（15）有下列情形之一，被评标委员会认定属于串通投标的：</w:t>
      </w:r>
    </w:p>
    <w:p w14:paraId="7D30B0F8">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①不同投标人的投标文件两处以上（含两处）错、漏一致；</w:t>
      </w:r>
    </w:p>
    <w:p w14:paraId="572F1E6B">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②不同投标人的投标总价相近且各分项报价、综合单价分析表内容混乱不能相互对应、乱调乱压或乱抬的，而在询标时没有合理的解释或者不能提供计算依据和报价依据；</w:t>
      </w:r>
    </w:p>
    <w:p w14:paraId="2D72A873">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③不同投标人的投标各项报价存在异常一致或者呈规律性变化；</w:t>
      </w:r>
    </w:p>
    <w:p w14:paraId="5FBCB267">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④不同投标人的投标文件由同一单位或者同一个人编制；</w:t>
      </w:r>
    </w:p>
    <w:p w14:paraId="2C8B44E2">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⑤不同投标人的投标文件中投标资料（包括电子资料）相互混装或项目班子成员出现同一人；</w:t>
      </w:r>
    </w:p>
    <w:p w14:paraId="530885B0">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⑥不同投标人的投标文件由同一电脑编制或同一台附属设备打印，或投标报价用同一个预算编制软件密码锁制作或出自同一电子文档；</w:t>
      </w:r>
    </w:p>
    <w:p w14:paraId="6A9CD7D9">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⑦不同投标人的投标保证由同一企业或同一账户资金缴纳；</w:t>
      </w:r>
    </w:p>
    <w:p w14:paraId="69D505B6">
      <w:pPr>
        <w:wordWrap w:val="0"/>
        <w:adjustRightInd w:val="0"/>
        <w:snapToGrid w:val="0"/>
        <w:spacing w:line="440" w:lineRule="exact"/>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⑧不同投标人委托同一个人或注册在同一家企业的注册人员或同一家企业为其投标提供投标咨询、商务报价、技术咨询（招标工程本身要求采用专有技术的除外）等服务。</w:t>
      </w:r>
    </w:p>
    <w:p w14:paraId="5CAEFA06">
      <w:pPr>
        <w:rPr>
          <w:rFonts w:hint="eastAsia"/>
          <w:color w:val="000000" w:themeColor="text1"/>
          <w:highlight w:val="none"/>
          <w14:textFill>
            <w14:solidFill>
              <w14:schemeClr w14:val="tx1"/>
            </w14:solidFill>
          </w14:textFill>
        </w:rPr>
      </w:pPr>
    </w:p>
    <w:p w14:paraId="728F1526">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sectPr>
          <w:footerReference r:id="rId5" w:type="default"/>
          <w:endnotePr>
            <w:numFmt w:val="decimal"/>
          </w:endnotePr>
          <w:pgSz w:w="11906" w:h="16838"/>
          <w:pgMar w:top="720" w:right="720" w:bottom="720" w:left="720" w:header="850" w:footer="992" w:gutter="0"/>
          <w:pgNumType w:fmt="decimal" w:start="1"/>
          <w:cols w:space="720" w:num="1"/>
          <w:docGrid w:linePitch="327" w:charSpace="0"/>
        </w:sectPr>
      </w:pPr>
    </w:p>
    <w:p w14:paraId="51CBB9E2">
      <w:pPr>
        <w:widowControl/>
        <w:tabs>
          <w:tab w:val="left" w:pos="885"/>
        </w:tabs>
        <w:kinsoku/>
        <w:autoSpaceDE/>
        <w:autoSpaceDN/>
        <w:adjustRightInd/>
        <w:snapToGrid w:val="0"/>
        <w:spacing w:line="360" w:lineRule="auto"/>
        <w:jc w:val="both"/>
        <w:textAlignment w:val="baseline"/>
        <w:outlineLvl w:val="1"/>
        <w:rPr>
          <w:rFonts w:hint="eastAsia" w:ascii="宋体" w:hAnsi="宋体" w:eastAsia="宋体" w:cs="宋体"/>
          <w:b/>
          <w:bCs/>
          <w:snapToGrid/>
          <w:color w:val="000000" w:themeColor="text1"/>
          <w:kern w:val="2"/>
          <w:sz w:val="24"/>
          <w:szCs w:val="24"/>
          <w:highlight w:val="none"/>
          <w:lang w:val="en-US" w:eastAsia="zh-CN"/>
          <w14:textFill>
            <w14:solidFill>
              <w14:schemeClr w14:val="tx1"/>
            </w14:solidFill>
          </w14:textFill>
        </w:rPr>
      </w:pPr>
      <w:bookmarkStart w:id="317" w:name="_Toc28716"/>
      <w:bookmarkStart w:id="318" w:name="_Toc25049"/>
      <w:r>
        <w:rPr>
          <w:rFonts w:hint="eastAsia" w:ascii="宋体" w:hAnsi="宋体" w:eastAsia="宋体" w:cs="宋体"/>
          <w:b/>
          <w:bCs/>
          <w:snapToGrid/>
          <w:color w:val="000000" w:themeColor="text1"/>
          <w:kern w:val="2"/>
          <w:sz w:val="24"/>
          <w:szCs w:val="24"/>
          <w:highlight w:val="none"/>
          <w:lang w:eastAsia="zh-CN"/>
          <w14:textFill>
            <w14:solidFill>
              <w14:schemeClr w14:val="tx1"/>
            </w14:solidFill>
          </w14:textFill>
        </w:rPr>
        <w:t>第</w:t>
      </w:r>
      <w:r>
        <w:rPr>
          <w:rFonts w:hint="eastAsia" w:ascii="宋体" w:hAnsi="宋体" w:eastAsia="宋体" w:cs="宋体"/>
          <w:b/>
          <w:bCs/>
          <w:snapToGrid/>
          <w:color w:val="000000" w:themeColor="text1"/>
          <w:kern w:val="2"/>
          <w:sz w:val="24"/>
          <w:szCs w:val="24"/>
          <w:highlight w:val="none"/>
          <w:lang w:val="en-US" w:eastAsia="zh-CN"/>
          <w14:textFill>
            <w14:solidFill>
              <w14:schemeClr w14:val="tx1"/>
            </w14:solidFill>
          </w14:textFill>
        </w:rPr>
        <w:t>五</w:t>
      </w:r>
      <w:r>
        <w:rPr>
          <w:rFonts w:hint="eastAsia" w:ascii="宋体" w:hAnsi="宋体" w:eastAsia="宋体" w:cs="宋体"/>
          <w:b/>
          <w:bCs/>
          <w:snapToGrid/>
          <w:color w:val="000000" w:themeColor="text1"/>
          <w:kern w:val="2"/>
          <w:sz w:val="24"/>
          <w:szCs w:val="24"/>
          <w:highlight w:val="none"/>
          <w:lang w:eastAsia="zh-CN"/>
          <w14:textFill>
            <w14:solidFill>
              <w14:schemeClr w14:val="tx1"/>
            </w14:solidFill>
          </w14:textFill>
        </w:rPr>
        <w:t>节 定标规定</w:t>
      </w:r>
      <w:r>
        <w:rPr>
          <w:rFonts w:hint="eastAsia" w:ascii="宋体" w:hAnsi="宋体" w:eastAsia="宋体" w:cs="宋体"/>
          <w:b/>
          <w:bCs/>
          <w:snapToGrid/>
          <w:color w:val="000000" w:themeColor="text1"/>
          <w:kern w:val="2"/>
          <w:sz w:val="24"/>
          <w:szCs w:val="24"/>
          <w:highlight w:val="none"/>
          <w:lang w:val="en-US" w:eastAsia="zh-CN"/>
          <w14:textFill>
            <w14:solidFill>
              <w14:schemeClr w14:val="tx1"/>
            </w14:solidFill>
          </w14:textFill>
        </w:rPr>
        <w:t>及细则（本项目采用票决数量法定标）</w:t>
      </w:r>
      <w:bookmarkEnd w:id="317"/>
      <w:bookmarkEnd w:id="318"/>
    </w:p>
    <w:p w14:paraId="5B875869">
      <w:pPr>
        <w:widowControl/>
        <w:kinsoku/>
        <w:autoSpaceDE/>
        <w:autoSpaceDN/>
        <w:adjustRightInd/>
        <w:snapToGrid/>
        <w:spacing w:line="360" w:lineRule="auto"/>
        <w:ind w:firstLine="482" w:firstLineChars="200"/>
        <w:jc w:val="both"/>
        <w:textAlignment w:val="baseline"/>
        <w:rPr>
          <w:rFonts w:hint="eastAsia" w:ascii="宋体" w:hAnsi="宋体" w:eastAsia="宋体" w:cs="宋体"/>
          <w:b/>
          <w:bCs/>
          <w:snapToGrid/>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snapToGrid/>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b/>
          <w:bCs/>
          <w:snapToGrid/>
          <w:color w:val="000000" w:themeColor="text1"/>
          <w:kern w:val="0"/>
          <w:sz w:val="24"/>
          <w:szCs w:val="24"/>
          <w:highlight w:val="none"/>
          <w:lang w:eastAsia="zh-CN"/>
          <w14:textFill>
            <w14:solidFill>
              <w14:schemeClr w14:val="tx1"/>
            </w14:solidFill>
          </w14:textFill>
        </w:rPr>
        <w:t>确定定标时间</w:t>
      </w:r>
    </w:p>
    <w:p w14:paraId="49CC2337">
      <w:pPr>
        <w:widowControl/>
        <w:kinsoku/>
        <w:autoSpaceDE/>
        <w:autoSpaceDN/>
        <w:adjustRightInd/>
        <w:snapToGrid/>
        <w:spacing w:line="360" w:lineRule="auto"/>
        <w:ind w:left="-720" w:leftChars="-300" w:right="0" w:rightChars="0" w:firstLine="480" w:firstLineChars="200"/>
        <w:jc w:val="both"/>
        <w:textAlignment w:val="baseline"/>
        <w:rPr>
          <w:rFonts w:hint="eastAsia" w:ascii="宋体" w:hAnsi="宋体" w:eastAsia="宋体" w:cs="宋体"/>
          <w:snapToGrid/>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color w:val="000000" w:themeColor="text1"/>
          <w:kern w:val="0"/>
          <w:sz w:val="24"/>
          <w:szCs w:val="24"/>
          <w:highlight w:val="none"/>
          <w:lang w:eastAsia="zh-CN"/>
          <w14:textFill>
            <w14:solidFill>
              <w14:schemeClr w14:val="tx1"/>
            </w14:solidFill>
          </w14:textFill>
        </w:rPr>
        <w:t>招标人应自</w:t>
      </w:r>
      <w:r>
        <w:rPr>
          <w:rFonts w:hint="eastAsia" w:ascii="宋体" w:hAnsi="宋体" w:eastAsia="宋体" w:cs="宋体"/>
          <w:snapToGrid/>
          <w:color w:val="000000" w:themeColor="text1"/>
          <w:kern w:val="0"/>
          <w:sz w:val="24"/>
          <w:szCs w:val="24"/>
          <w:highlight w:val="none"/>
          <w:lang w:val="en-US" w:eastAsia="zh-CN"/>
          <w14:textFill>
            <w14:solidFill>
              <w14:schemeClr w14:val="tx1"/>
            </w14:solidFill>
          </w14:textFill>
        </w:rPr>
        <w:t>定标候选人</w:t>
      </w:r>
      <w:r>
        <w:rPr>
          <w:rFonts w:hint="eastAsia" w:ascii="宋体" w:hAnsi="宋体" w:eastAsia="宋体" w:cs="宋体"/>
          <w:snapToGrid/>
          <w:color w:val="000000" w:themeColor="text1"/>
          <w:kern w:val="0"/>
          <w:sz w:val="24"/>
          <w:szCs w:val="24"/>
          <w:highlight w:val="none"/>
          <w:lang w:eastAsia="zh-CN"/>
          <w14:textFill>
            <w14:solidFill>
              <w14:schemeClr w14:val="tx1"/>
            </w14:solidFill>
          </w14:textFill>
        </w:rPr>
        <w:t>公示期满后</w:t>
      </w:r>
      <w:r>
        <w:rPr>
          <w:rFonts w:hint="eastAsia" w:ascii="宋体" w:hAnsi="宋体" w:eastAsia="宋体" w:cs="宋体"/>
          <w:snapToGrid/>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color w:val="000000" w:themeColor="text1"/>
          <w:kern w:val="0"/>
          <w:sz w:val="24"/>
          <w:szCs w:val="24"/>
          <w:highlight w:val="none"/>
          <w:lang w:eastAsia="zh-CN"/>
          <w14:textFill>
            <w14:solidFill>
              <w14:schemeClr w14:val="tx1"/>
            </w14:solidFill>
          </w14:textFill>
        </w:rPr>
        <w:t>个工作日内进入公共资源交易平台（与评标阶段公共资源交易平台相同）进行定标。定标会议全过程录音录像。招标人需要延期定标的，应通过公共资源交易平台公布延期原因和定标时间。</w:t>
      </w:r>
    </w:p>
    <w:p w14:paraId="6CEED4FC">
      <w:pPr>
        <w:widowControl/>
        <w:kinsoku/>
        <w:autoSpaceDE/>
        <w:autoSpaceDN/>
        <w:adjustRightInd/>
        <w:snapToGrid/>
        <w:spacing w:line="360" w:lineRule="auto"/>
        <w:ind w:firstLine="482" w:firstLineChars="200"/>
        <w:jc w:val="both"/>
        <w:textAlignment w:val="baseline"/>
        <w:rPr>
          <w:rFonts w:hint="eastAsia" w:ascii="宋体" w:hAnsi="宋体" w:eastAsia="宋体" w:cs="宋体"/>
          <w:b/>
          <w:bCs/>
          <w:snapToGrid/>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snapToGrid/>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snapToGrid/>
          <w:color w:val="000000" w:themeColor="text1"/>
          <w:kern w:val="0"/>
          <w:sz w:val="24"/>
          <w:szCs w:val="24"/>
          <w:highlight w:val="none"/>
          <w:lang w:eastAsia="zh-CN"/>
          <w14:textFill>
            <w14:solidFill>
              <w14:schemeClr w14:val="tx1"/>
            </w14:solidFill>
          </w14:textFill>
        </w:rPr>
        <w:t>.定标委员会</w:t>
      </w:r>
    </w:p>
    <w:p w14:paraId="1EE09482">
      <w:pPr>
        <w:widowControl/>
        <w:kinsoku/>
        <w:autoSpaceDE/>
        <w:autoSpaceDN/>
        <w:adjustRightInd/>
        <w:snapToGrid/>
        <w:spacing w:line="360" w:lineRule="auto"/>
        <w:ind w:left="-720" w:leftChars="-300" w:right="0" w:rightChars="0" w:firstLine="480" w:firstLineChars="200"/>
        <w:jc w:val="both"/>
        <w:textAlignment w:val="baseline"/>
        <w:rPr>
          <w:rFonts w:hint="eastAsia" w:ascii="宋体" w:hAnsi="宋体" w:eastAsia="宋体" w:cs="宋体"/>
          <w:snapToGrid/>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color w:val="000000" w:themeColor="text1"/>
          <w:kern w:val="0"/>
          <w:sz w:val="24"/>
          <w:szCs w:val="24"/>
          <w:highlight w:val="none"/>
          <w:lang w:val="en-US" w:eastAsia="zh-CN"/>
          <w14:textFill>
            <w14:solidFill>
              <w14:schemeClr w14:val="tx1"/>
            </w14:solidFill>
          </w14:textFill>
        </w:rPr>
        <w:t>2.1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406A2FF4">
      <w:pPr>
        <w:widowControl/>
        <w:kinsoku/>
        <w:autoSpaceDE/>
        <w:autoSpaceDN/>
        <w:adjustRightInd/>
        <w:snapToGrid/>
        <w:spacing w:line="360" w:lineRule="auto"/>
        <w:ind w:left="-720" w:leftChars="-300" w:firstLine="480" w:firstLineChars="200"/>
        <w:jc w:val="both"/>
        <w:textAlignment w:val="baseline"/>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09FC277C">
      <w:pPr>
        <w:widowControl/>
        <w:kinsoku/>
        <w:autoSpaceDE/>
        <w:autoSpaceDN/>
        <w:adjustRightInd/>
        <w:snapToGrid/>
        <w:spacing w:line="360" w:lineRule="auto"/>
        <w:ind w:left="-720" w:leftChars="-300" w:firstLine="480" w:firstLineChars="200"/>
        <w:jc w:val="both"/>
        <w:textAlignment w:val="baseline"/>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snapToGrid/>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snapToGrid/>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color w:val="000000" w:themeColor="text1"/>
          <w:kern w:val="0"/>
          <w:sz w:val="24"/>
          <w:szCs w:val="24"/>
          <w:highlight w:val="none"/>
          <w:lang w:val="en-US" w:eastAsia="zh-CN"/>
          <w14:textFill>
            <w14:solidFill>
              <w14:schemeClr w14:val="tx1"/>
            </w14:solidFill>
          </w14:textFill>
        </w:rPr>
        <w:t>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0C86C24B">
      <w:pPr>
        <w:widowControl/>
        <w:kinsoku/>
        <w:autoSpaceDE/>
        <w:autoSpaceDN/>
        <w:adjustRightInd/>
        <w:snapToGrid/>
        <w:spacing w:line="360" w:lineRule="auto"/>
        <w:ind w:firstLine="482" w:firstLineChars="200"/>
        <w:jc w:val="both"/>
        <w:textAlignment w:val="baseline"/>
        <w:rPr>
          <w:rFonts w:hint="eastAsia" w:ascii="宋体" w:hAnsi="宋体" w:eastAsia="宋体" w:cs="宋体"/>
          <w:b/>
          <w:bCs/>
          <w:snapToGrid/>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bCs/>
          <w:snapToGrid/>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bCs/>
          <w:snapToGrid/>
          <w:color w:val="000000" w:themeColor="text1"/>
          <w:kern w:val="0"/>
          <w:sz w:val="24"/>
          <w:szCs w:val="24"/>
          <w:highlight w:val="none"/>
          <w:lang w:val="en-US" w:eastAsia="zh-CN"/>
          <w14:textFill>
            <w14:solidFill>
              <w14:schemeClr w14:val="tx1"/>
            </w14:solidFill>
          </w14:textFill>
        </w:rPr>
        <w:t>组建招标监督小组</w:t>
      </w:r>
    </w:p>
    <w:p w14:paraId="23CCA432">
      <w:pPr>
        <w:widowControl/>
        <w:kinsoku/>
        <w:autoSpaceDE/>
        <w:autoSpaceDN/>
        <w:adjustRightInd/>
        <w:snapToGrid/>
        <w:spacing w:line="360" w:lineRule="auto"/>
        <w:ind w:left="-720" w:leftChars="-300" w:firstLine="480" w:firstLineChars="200"/>
        <w:jc w:val="both"/>
        <w:textAlignment w:val="baseline"/>
        <w:rPr>
          <w:rFonts w:hint="eastAsia" w:ascii="宋体" w:hAnsi="宋体" w:eastAsia="宋体" w:cs="宋体"/>
          <w:snapToGrid/>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color w:val="000000" w:themeColor="text1"/>
          <w:kern w:val="0"/>
          <w:sz w:val="24"/>
          <w:szCs w:val="24"/>
          <w:highlight w:val="none"/>
          <w:lang w:val="en-US" w:eastAsia="zh-CN"/>
          <w14:textFill>
            <w14:solidFill>
              <w14:schemeClr w14:val="tx1"/>
            </w14:solidFill>
          </w14:textFill>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165900B">
      <w:pPr>
        <w:widowControl/>
        <w:kinsoku/>
        <w:autoSpaceDE/>
        <w:autoSpaceDN/>
        <w:adjustRightInd/>
        <w:snapToGrid/>
        <w:spacing w:line="360" w:lineRule="auto"/>
        <w:ind w:firstLine="482" w:firstLineChars="200"/>
        <w:jc w:val="left"/>
        <w:textAlignment w:val="baseline"/>
        <w:rPr>
          <w:rFonts w:hint="eastAsia" w:ascii="宋体" w:hAnsi="宋体" w:eastAsia="宋体" w:cs="宋体"/>
          <w:b/>
          <w:bCs/>
          <w:snapToGrid/>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snapToGrid/>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snapToGrid/>
          <w:color w:val="000000" w:themeColor="text1"/>
          <w:kern w:val="0"/>
          <w:sz w:val="24"/>
          <w:szCs w:val="24"/>
          <w:highlight w:val="none"/>
          <w:lang w:eastAsia="zh-CN"/>
          <w14:textFill>
            <w14:solidFill>
              <w14:schemeClr w14:val="tx1"/>
            </w14:solidFill>
          </w14:textFill>
        </w:rPr>
        <w:t>.定标办法</w:t>
      </w:r>
    </w:p>
    <w:p w14:paraId="375D6E12">
      <w:pPr>
        <w:widowControl/>
        <w:kinsoku/>
        <w:autoSpaceDE/>
        <w:autoSpaceDN/>
        <w:adjustRightInd/>
        <w:snapToGrid/>
        <w:spacing w:line="360" w:lineRule="auto"/>
        <w:ind w:left="0" w:leftChars="-100" w:hanging="240" w:hangingChars="100"/>
        <w:jc w:val="both"/>
        <w:textAlignment w:val="baseline"/>
        <w:rPr>
          <w:rFonts w:hint="eastAsia" w:ascii="宋体" w:hAnsi="宋体" w:eastAsia="宋体" w:cs="宋体"/>
          <w:snapToGrid/>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color w:val="000000" w:themeColor="text1"/>
          <w:kern w:val="0"/>
          <w:sz w:val="24"/>
          <w:szCs w:val="24"/>
          <w:highlight w:val="none"/>
          <w:lang w:val="en-US" w:eastAsia="zh-CN"/>
          <w14:textFill>
            <w14:solidFill>
              <w14:schemeClr w14:val="tx1"/>
            </w14:solidFill>
          </w14:textFill>
        </w:rPr>
        <w:t>定标办法由招标人按本投标人须知前附表的规定确定（只能选定其中一种定标办法）。</w:t>
      </w:r>
    </w:p>
    <w:p w14:paraId="2AF86B54">
      <w:pPr>
        <w:widowControl/>
        <w:kinsoku/>
        <w:autoSpaceDE/>
        <w:autoSpaceDN/>
        <w:adjustRightInd/>
        <w:snapToGrid/>
        <w:spacing w:line="360" w:lineRule="auto"/>
        <w:ind w:left="1" w:leftChars="-100" w:hanging="241" w:hangingChars="100"/>
        <w:jc w:val="both"/>
        <w:textAlignment w:val="baseline"/>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pPr>
      <w:bookmarkStart w:id="319" w:name="OLE_LINK3"/>
      <w:r>
        <w:rPr>
          <w:rFonts w:hint="eastAsia" w:ascii="宋体" w:hAnsi="宋体" w:eastAsia="宋体" w:cs="宋体"/>
          <w:b/>
          <w:bCs/>
          <w:snapToGrid/>
          <w:color w:val="000000" w:themeColor="text1"/>
          <w:kern w:val="2"/>
          <w:sz w:val="24"/>
          <w:szCs w:val="24"/>
          <w:highlight w:val="none"/>
          <w:lang w:val="en-US" w:eastAsia="zh-CN"/>
          <w14:textFill>
            <w14:solidFill>
              <w14:schemeClr w14:val="tx1"/>
            </w14:solidFill>
          </w14:textFill>
        </w:rPr>
        <w:t>本项目</w:t>
      </w:r>
      <w:bookmarkEnd w:id="319"/>
      <w:r>
        <w:rPr>
          <w:rFonts w:hint="eastAsia" w:ascii="宋体" w:hAnsi="宋体" w:eastAsia="宋体" w:cs="宋体"/>
          <w:b/>
          <w:bCs/>
          <w:snapToGrid/>
          <w:color w:val="000000" w:themeColor="text1"/>
          <w:kern w:val="2"/>
          <w:sz w:val="24"/>
          <w:szCs w:val="24"/>
          <w:highlight w:val="none"/>
          <w:lang w:val="en-US" w:eastAsia="zh-CN"/>
          <w14:textFill>
            <w14:solidFill>
              <w14:schemeClr w14:val="tx1"/>
            </w14:solidFill>
          </w14:textFill>
        </w:rPr>
        <w:t>采用票决数量法定标。</w:t>
      </w:r>
    </w:p>
    <w:p w14:paraId="65386231">
      <w:pPr>
        <w:widowControl/>
        <w:kinsoku/>
        <w:autoSpaceDE/>
        <w:autoSpaceDN/>
        <w:adjustRightInd/>
        <w:snapToGrid/>
        <w:spacing w:line="360" w:lineRule="auto"/>
        <w:ind w:firstLine="482" w:firstLineChars="200"/>
        <w:jc w:val="both"/>
        <w:textAlignment w:val="baseline"/>
        <w:rPr>
          <w:rFonts w:hint="eastAsia" w:ascii="宋体" w:hAnsi="宋体" w:eastAsia="宋体" w:cs="宋体"/>
          <w:b/>
          <w:bCs/>
          <w:snapToGrid/>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color w:val="000000" w:themeColor="text1"/>
          <w:kern w:val="0"/>
          <w:sz w:val="24"/>
          <w:szCs w:val="24"/>
          <w:highlight w:val="none"/>
          <w:lang w:val="en-US" w:eastAsia="zh-CN"/>
          <w14:textFill>
            <w14:solidFill>
              <w14:schemeClr w14:val="tx1"/>
            </w14:solidFill>
          </w14:textFill>
        </w:rPr>
        <w:t>5.定标细则</w:t>
      </w:r>
    </w:p>
    <w:p w14:paraId="7CE9102B">
      <w:pPr>
        <w:keepNext w:val="0"/>
        <w:keepLines w:val="0"/>
        <w:pageBreakBefore w:val="0"/>
        <w:widowControl w:val="0"/>
        <w:kinsoku/>
        <w:wordWrap/>
        <w:overflowPunct/>
        <w:topLinePunct w:val="0"/>
        <w:autoSpaceDE/>
        <w:autoSpaceDN/>
        <w:bidi w:val="0"/>
        <w:adjustRightInd/>
        <w:snapToGrid/>
        <w:spacing w:line="400" w:lineRule="exact"/>
        <w:ind w:left="1" w:leftChars="-100" w:right="0" w:rightChars="0" w:hanging="241" w:hangingChars="100"/>
        <w:jc w:val="both"/>
        <w:textAlignment w:val="auto"/>
        <w:outlineLvl w:val="9"/>
        <w:rPr>
          <w:rFonts w:hint="eastAsia" w:ascii="宋体" w:hAnsi="宋体" w:eastAsia="宋体" w:cs="宋体"/>
          <w:b/>
          <w:bCs/>
          <w:snapToGrid/>
          <w:color w:val="000000" w:themeColor="text1"/>
          <w:spacing w:val="0"/>
          <w:kern w:val="2"/>
          <w:position w:val="0"/>
          <w:sz w:val="24"/>
          <w:szCs w:val="24"/>
          <w:highlight w:val="none"/>
          <w:u w:val="none" w:color="auto"/>
          <w:lang w:eastAsia="zh-CN"/>
          <w14:textFill>
            <w14:solidFill>
              <w14:schemeClr w14:val="tx1"/>
            </w14:solidFill>
          </w14:textFill>
        </w:rPr>
      </w:pPr>
      <w:r>
        <w:rPr>
          <w:rFonts w:hint="eastAsia" w:ascii="宋体" w:hAnsi="宋体" w:eastAsia="宋体" w:cs="宋体"/>
          <w:b/>
          <w:bCs/>
          <w:snapToGrid/>
          <w:color w:val="000000" w:themeColor="text1"/>
          <w:spacing w:val="0"/>
          <w:kern w:val="2"/>
          <w:position w:val="0"/>
          <w:sz w:val="24"/>
          <w:szCs w:val="24"/>
          <w:highlight w:val="none"/>
          <w:u w:val="none" w:color="auto"/>
          <w:lang w:val="en-US" w:eastAsia="zh-CN"/>
          <w14:textFill>
            <w14:solidFill>
              <w14:schemeClr w14:val="tx1"/>
            </w14:solidFill>
          </w14:textFill>
        </w:rPr>
        <w:t>5.1票决数量法程序</w:t>
      </w:r>
    </w:p>
    <w:p w14:paraId="7313CBF1">
      <w:pPr>
        <w:keepNext w:val="0"/>
        <w:keepLines w:val="0"/>
        <w:pageBreakBefore w:val="0"/>
        <w:widowControl w:val="0"/>
        <w:kinsoku/>
        <w:wordWrap/>
        <w:overflowPunct/>
        <w:topLinePunct w:val="0"/>
        <w:autoSpaceDE/>
        <w:autoSpaceDN/>
        <w:bidi w:val="0"/>
        <w:adjustRightInd/>
        <w:snapToGrid/>
        <w:spacing w:line="400" w:lineRule="exact"/>
        <w:ind w:left="-720" w:leftChars="-300" w:right="0" w:rightChars="0" w:firstLine="720" w:firstLineChars="300"/>
        <w:jc w:val="both"/>
        <w:textAlignment w:val="auto"/>
        <w:outlineLvl w:val="9"/>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i w:val="0"/>
          <w:snapToGrid/>
          <w:color w:val="000000" w:themeColor="text1"/>
          <w:kern w:val="2"/>
          <w:sz w:val="24"/>
          <w:szCs w:val="24"/>
          <w:highlight w:val="none"/>
          <w:u w:val="none"/>
          <w:shd w:val="clear" w:color="auto" w:fill="FFFFFF"/>
          <w:lang w:eastAsia="zh-CN"/>
          <w14:textFill>
            <w14:solidFill>
              <w14:schemeClr w14:val="tx1"/>
            </w14:solidFill>
          </w14:textFill>
        </w:rPr>
        <w:t>定标委员会根据定标因素对定标候选人进行评审比较后，每名定标委员会成员</w:t>
      </w:r>
      <w:r>
        <w:rPr>
          <w:rFonts w:hint="eastAsia" w:ascii="宋体" w:hAnsi="宋体" w:eastAsia="宋体" w:cs="宋体"/>
          <w:snapToGrid/>
          <w:color w:val="000000" w:themeColor="text1"/>
          <w:kern w:val="2"/>
          <w:sz w:val="24"/>
          <w:szCs w:val="24"/>
          <w:highlight w:val="none"/>
          <w:u w:val="none"/>
          <w:lang w:val="en-US" w:eastAsia="zh-CN"/>
          <w14:textFill>
            <w14:solidFill>
              <w14:schemeClr w14:val="tx1"/>
            </w14:solidFill>
          </w14:textFill>
        </w:rPr>
        <w:t>有且仅有投出1票的权利，1票只能投1名定标候选人，</w:t>
      </w:r>
      <w:r>
        <w:rPr>
          <w:rFonts w:hint="eastAsia" w:ascii="宋体" w:hAnsi="宋体" w:eastAsia="宋体" w:cs="宋体"/>
          <w:b w:val="0"/>
          <w:i w:val="0"/>
          <w:snapToGrid/>
          <w:color w:val="000000" w:themeColor="text1"/>
          <w:kern w:val="2"/>
          <w:sz w:val="24"/>
          <w:szCs w:val="24"/>
          <w:highlight w:val="none"/>
          <w:u w:val="none"/>
          <w:shd w:val="clear" w:color="auto" w:fill="FFFFFF"/>
          <w:lang w:eastAsia="zh-CN"/>
          <w14:textFill>
            <w14:solidFill>
              <w14:schemeClr w14:val="tx1"/>
            </w14:solidFill>
          </w14:textFill>
        </w:rPr>
        <w:t>进行票决排名确定排序的中标候选人。即各定标委员会成员对定标候选人进行投票，按得票高低推荐排序的前三名中标候选人。</w:t>
      </w:r>
      <w:r>
        <w:rPr>
          <w:rFonts w:hint="eastAsia" w:ascii="宋体" w:hAnsi="宋体" w:eastAsia="宋体" w:cs="宋体"/>
          <w:snapToGrid/>
          <w:color w:val="000000" w:themeColor="text1"/>
          <w:kern w:val="2"/>
          <w:sz w:val="24"/>
          <w:szCs w:val="24"/>
          <w:highlight w:val="none"/>
          <w:u w:val="none"/>
          <w:lang w:val="en-US" w:eastAsia="zh-CN"/>
          <w14:textFill>
            <w14:solidFill>
              <w14:schemeClr w14:val="tx1"/>
            </w14:solidFill>
          </w14:textFill>
        </w:rPr>
        <w:t>若第一轮投票中前三名中标候选人有</w:t>
      </w:r>
      <w:r>
        <w:rPr>
          <w:rFonts w:hint="eastAsia" w:ascii="宋体" w:hAnsi="宋体" w:eastAsia="宋体" w:cs="宋体"/>
          <w:snapToGrid/>
          <w:color w:val="000000" w:themeColor="text1"/>
          <w:kern w:val="2"/>
          <w:sz w:val="24"/>
          <w:szCs w:val="24"/>
          <w:highlight w:val="none"/>
          <w:u w:val="none"/>
          <w:shd w:val="clear" w:color="auto" w:fill="FFFFFF"/>
          <w:lang w:val="en-US" w:eastAsia="zh-CN"/>
          <w14:textFill>
            <w14:solidFill>
              <w14:schemeClr w14:val="tx1"/>
            </w14:solidFill>
          </w14:textFill>
        </w:rPr>
        <w:t>得票相同且影响中标候选人排序确定的，由定标委员会对总票数相同的单位进行再次票决确定排序,</w:t>
      </w:r>
      <w:r>
        <w:rPr>
          <w:rFonts w:hint="eastAsia" w:ascii="宋体" w:hAnsi="宋体" w:eastAsia="宋体" w:cs="宋体"/>
          <w:snapToGrid/>
          <w:color w:val="000000" w:themeColor="text1"/>
          <w:kern w:val="2"/>
          <w:sz w:val="24"/>
          <w:szCs w:val="24"/>
          <w:highlight w:val="none"/>
          <w:u w:val="none"/>
          <w:lang w:val="en-US" w:eastAsia="zh-CN"/>
          <w14:textFill>
            <w14:solidFill>
              <w14:schemeClr w14:val="tx1"/>
            </w14:solidFill>
          </w14:textFill>
        </w:rPr>
        <w:t>直至决出排序的前三名中标候选人。若定标候选人中没有符合评审要求的三名中标候选人，则宣告本次招标失败。</w:t>
      </w:r>
      <w:r>
        <w:rPr>
          <w:rFonts w:hint="eastAsia" w:ascii="宋体" w:hAnsi="宋体" w:eastAsia="宋体" w:cs="宋体"/>
          <w:b w:val="0"/>
          <w:i w:val="0"/>
          <w:snapToGrid/>
          <w:color w:val="000000" w:themeColor="text1"/>
          <w:kern w:val="2"/>
          <w:sz w:val="24"/>
          <w:szCs w:val="24"/>
          <w:highlight w:val="none"/>
          <w:u w:val="none"/>
          <w:shd w:val="clear" w:color="auto" w:fill="FFFFFF"/>
          <w:lang w:eastAsia="zh-CN"/>
          <w14:textFill>
            <w14:solidFill>
              <w14:schemeClr w14:val="tx1"/>
            </w14:solidFill>
          </w14:textFill>
        </w:rPr>
        <w:t>票决采用记名方式并注明投票理由。</w:t>
      </w:r>
    </w:p>
    <w:p w14:paraId="325447AA">
      <w:pPr>
        <w:keepNext w:val="0"/>
        <w:keepLines w:val="0"/>
        <w:pageBreakBefore w:val="0"/>
        <w:widowControl w:val="0"/>
        <w:kinsoku/>
        <w:wordWrap/>
        <w:overflowPunct/>
        <w:topLinePunct w:val="0"/>
        <w:autoSpaceDE/>
        <w:autoSpaceDN/>
        <w:bidi w:val="0"/>
        <w:adjustRightInd/>
        <w:snapToGrid/>
        <w:spacing w:line="400" w:lineRule="exact"/>
        <w:ind w:left="1" w:leftChars="-100" w:right="0" w:rightChars="0" w:hanging="241" w:hangingChars="100"/>
        <w:jc w:val="both"/>
        <w:textAlignment w:val="auto"/>
        <w:outlineLvl w:val="9"/>
        <w:rPr>
          <w:rFonts w:hint="eastAsia" w:ascii="宋体" w:hAnsi="宋体" w:eastAsia="宋体" w:cs="宋体"/>
          <w:b/>
          <w:bCs/>
          <w:snapToGrid/>
          <w:color w:val="000000" w:themeColor="text1"/>
          <w:kern w:val="2"/>
          <w:sz w:val="24"/>
          <w:szCs w:val="24"/>
          <w:highlight w:val="none"/>
          <w:u w:val="none"/>
          <w:shd w:val="clear" w:color="auto" w:fill="FFFFFF"/>
          <w:lang w:eastAsia="zh-CN"/>
          <w14:textFill>
            <w14:solidFill>
              <w14:schemeClr w14:val="tx1"/>
            </w14:solidFill>
          </w14:textFill>
        </w:rPr>
      </w:pPr>
      <w:r>
        <w:rPr>
          <w:rFonts w:hint="eastAsia" w:ascii="宋体" w:hAnsi="宋体" w:eastAsia="宋体" w:cs="宋体"/>
          <w:b/>
          <w:bCs/>
          <w:snapToGrid/>
          <w:color w:val="000000" w:themeColor="text1"/>
          <w:spacing w:val="0"/>
          <w:kern w:val="2"/>
          <w:position w:val="0"/>
          <w:sz w:val="24"/>
          <w:szCs w:val="24"/>
          <w:highlight w:val="none"/>
          <w:u w:val="none" w:color="auto"/>
          <w:lang w:val="en-US" w:eastAsia="zh-CN"/>
          <w14:textFill>
            <w14:solidFill>
              <w14:schemeClr w14:val="tx1"/>
            </w14:solidFill>
          </w14:textFill>
        </w:rPr>
        <w:t>5.1.1.</w:t>
      </w:r>
      <w:r>
        <w:rPr>
          <w:rFonts w:hint="eastAsia" w:ascii="宋体" w:hAnsi="宋体" w:eastAsia="宋体" w:cs="宋体"/>
          <w:b/>
          <w:bCs/>
          <w:snapToGrid/>
          <w:color w:val="000000" w:themeColor="text1"/>
          <w:kern w:val="2"/>
          <w:sz w:val="24"/>
          <w:szCs w:val="24"/>
          <w:highlight w:val="none"/>
          <w:u w:val="none"/>
          <w:shd w:val="clear" w:color="auto" w:fill="FFFFFF"/>
          <w:lang w:eastAsia="zh-CN"/>
          <w14:textFill>
            <w14:solidFill>
              <w14:schemeClr w14:val="tx1"/>
            </w14:solidFill>
          </w14:textFill>
        </w:rPr>
        <w:t>项目情况介绍</w:t>
      </w:r>
    </w:p>
    <w:p w14:paraId="669C01CA">
      <w:pPr>
        <w:keepNext w:val="0"/>
        <w:keepLines w:val="0"/>
        <w:pageBreakBefore w:val="0"/>
        <w:widowControl w:val="0"/>
        <w:kinsoku/>
        <w:wordWrap/>
        <w:overflowPunct/>
        <w:topLinePunct w:val="0"/>
        <w:autoSpaceDE/>
        <w:autoSpaceDN/>
        <w:bidi w:val="0"/>
        <w:adjustRightInd/>
        <w:snapToGrid/>
        <w:spacing w:line="400" w:lineRule="exact"/>
        <w:ind w:left="-720" w:leftChars="-300" w:right="0" w:rightChars="0" w:firstLine="480" w:firstLineChars="200"/>
        <w:jc w:val="both"/>
        <w:textAlignment w:val="auto"/>
        <w:outlineLvl w:val="9"/>
        <w:rPr>
          <w:rFonts w:hint="eastAsia" w:ascii="宋体" w:hAnsi="宋体" w:eastAsia="宋体" w:cs="宋体"/>
          <w:b w:val="0"/>
          <w:bCs w:val="0"/>
          <w:snapToGrid/>
          <w:color w:val="000000" w:themeColor="text1"/>
          <w:spacing w:val="0"/>
          <w:kern w:val="2"/>
          <w:position w:val="0"/>
          <w:sz w:val="24"/>
          <w:szCs w:val="24"/>
          <w:highlight w:val="none"/>
          <w:u w:val="none" w:color="auto"/>
          <w:lang w:eastAsia="zh-CN"/>
          <w14:textFill>
            <w14:solidFill>
              <w14:schemeClr w14:val="tx1"/>
            </w14:solidFill>
          </w14:textFill>
        </w:rPr>
      </w:pPr>
      <w:r>
        <w:rPr>
          <w:rFonts w:hint="eastAsia" w:ascii="宋体" w:hAnsi="宋体" w:eastAsia="宋体" w:cs="宋体"/>
          <w:b w:val="0"/>
          <w:bCs w:val="0"/>
          <w:snapToGrid/>
          <w:color w:val="000000" w:themeColor="text1"/>
          <w:spacing w:val="0"/>
          <w:kern w:val="2"/>
          <w:position w:val="0"/>
          <w:sz w:val="24"/>
          <w:szCs w:val="24"/>
          <w:highlight w:val="none"/>
          <w:u w:val="none" w:color="auto"/>
          <w:lang w:eastAsia="zh-CN"/>
          <w14:textFill>
            <w14:solidFill>
              <w14:schemeClr w14:val="tx1"/>
            </w14:solidFill>
          </w14:textFill>
        </w:rPr>
        <w:t>招标人代表介绍项目的概况及招标要求，以及定标方法与定标工作规则，不得发表具有倾向性的言论。</w:t>
      </w:r>
    </w:p>
    <w:p w14:paraId="466A7ACF">
      <w:pPr>
        <w:keepNext w:val="0"/>
        <w:keepLines w:val="0"/>
        <w:pageBreakBefore w:val="0"/>
        <w:widowControl w:val="0"/>
        <w:kinsoku/>
        <w:wordWrap/>
        <w:overflowPunct/>
        <w:topLinePunct w:val="0"/>
        <w:autoSpaceDE/>
        <w:autoSpaceDN/>
        <w:bidi w:val="0"/>
        <w:adjustRightInd/>
        <w:snapToGrid/>
        <w:spacing w:line="400" w:lineRule="exact"/>
        <w:ind w:left="1" w:leftChars="-100" w:right="0" w:rightChars="0" w:hanging="241" w:hangingChars="100"/>
        <w:jc w:val="both"/>
        <w:textAlignment w:val="auto"/>
        <w:outlineLvl w:val="9"/>
        <w:rPr>
          <w:rFonts w:hint="eastAsia" w:ascii="宋体" w:hAnsi="宋体" w:eastAsia="宋体" w:cs="宋体"/>
          <w:b/>
          <w:bCs/>
          <w:snapToGrid/>
          <w:color w:val="000000" w:themeColor="text1"/>
          <w:spacing w:val="0"/>
          <w:kern w:val="2"/>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snapToGrid/>
          <w:color w:val="000000" w:themeColor="text1"/>
          <w:spacing w:val="0"/>
          <w:kern w:val="2"/>
          <w:position w:val="0"/>
          <w:sz w:val="24"/>
          <w:szCs w:val="24"/>
          <w:highlight w:val="none"/>
          <w:u w:val="none" w:color="auto"/>
          <w:lang w:val="en-US" w:eastAsia="zh-CN"/>
          <w14:textFill>
            <w14:solidFill>
              <w14:schemeClr w14:val="tx1"/>
            </w14:solidFill>
          </w14:textFill>
        </w:rPr>
        <w:t>5.1.2.</w:t>
      </w:r>
      <w:r>
        <w:rPr>
          <w:rFonts w:hint="eastAsia" w:ascii="宋体" w:hAnsi="宋体" w:eastAsia="宋体" w:cs="宋体"/>
          <w:b/>
          <w:bCs/>
          <w:snapToGrid/>
          <w:color w:val="000000" w:themeColor="text1"/>
          <w:kern w:val="2"/>
          <w:sz w:val="24"/>
          <w:szCs w:val="24"/>
          <w:highlight w:val="none"/>
          <w:u w:val="none"/>
          <w:shd w:val="clear" w:color="auto" w:fill="FFFFFF"/>
          <w:lang w:eastAsia="zh-CN"/>
          <w14:textFill>
            <w14:solidFill>
              <w14:schemeClr w14:val="tx1"/>
            </w14:solidFill>
          </w14:textFill>
        </w:rPr>
        <w:t>审阅定标资料</w:t>
      </w:r>
    </w:p>
    <w:p w14:paraId="786F17DB">
      <w:pPr>
        <w:keepNext w:val="0"/>
        <w:keepLines w:val="0"/>
        <w:pageBreakBefore w:val="0"/>
        <w:widowControl w:val="0"/>
        <w:kinsoku/>
        <w:wordWrap/>
        <w:overflowPunct/>
        <w:topLinePunct w:val="0"/>
        <w:autoSpaceDE/>
        <w:autoSpaceDN/>
        <w:bidi w:val="0"/>
        <w:adjustRightInd/>
        <w:snapToGrid/>
        <w:spacing w:line="400" w:lineRule="exact"/>
        <w:ind w:left="-806" w:leftChars="-336" w:right="0" w:rightChars="0" w:firstLine="480" w:firstLineChars="200"/>
        <w:jc w:val="both"/>
        <w:textAlignment w:val="auto"/>
        <w:outlineLvl w:val="9"/>
        <w:rPr>
          <w:rFonts w:hint="eastAsia" w:ascii="宋体" w:hAnsi="宋体" w:eastAsia="宋体" w:cs="宋体"/>
          <w:b w:val="0"/>
          <w:bCs w:val="0"/>
          <w:snapToGrid/>
          <w:color w:val="000000" w:themeColor="text1"/>
          <w:spacing w:val="0"/>
          <w:kern w:val="2"/>
          <w:position w:val="0"/>
          <w:sz w:val="24"/>
          <w:szCs w:val="24"/>
          <w:highlight w:val="none"/>
          <w:u w:val="none" w:color="auto"/>
          <w:lang w:eastAsia="zh-CN"/>
          <w14:textFill>
            <w14:solidFill>
              <w14:schemeClr w14:val="tx1"/>
            </w14:solidFill>
          </w14:textFill>
        </w:rPr>
      </w:pPr>
      <w:r>
        <w:rPr>
          <w:rFonts w:hint="eastAsia" w:ascii="宋体" w:hAnsi="宋体" w:eastAsia="宋体" w:cs="宋体"/>
          <w:b w:val="0"/>
          <w:bCs w:val="0"/>
          <w:snapToGrid/>
          <w:color w:val="000000" w:themeColor="text1"/>
          <w:spacing w:val="0"/>
          <w:kern w:val="2"/>
          <w:position w:val="0"/>
          <w:sz w:val="24"/>
          <w:szCs w:val="24"/>
          <w:highlight w:val="none"/>
          <w:u w:val="none" w:color="auto"/>
          <w:lang w:eastAsia="zh-CN"/>
          <w14:textFill>
            <w14:solidFill>
              <w14:schemeClr w14:val="tx1"/>
            </w14:solidFill>
          </w14:textFill>
        </w:rPr>
        <w:t>定标委员会成员对各定标候选人的投标文件进行审阅，审阅内容主要是定标工作规则所规定的定标因素，</w:t>
      </w:r>
      <w:r>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t>聚焦于项目需求与候选人能力的匹配度</w:t>
      </w:r>
      <w:r>
        <w:rPr>
          <w:rFonts w:hint="eastAsia" w:ascii="宋体" w:hAnsi="宋体" w:eastAsia="宋体" w:cs="宋体"/>
          <w:snapToGrid/>
          <w:color w:val="000000" w:themeColor="text1"/>
          <w:kern w:val="2"/>
          <w:sz w:val="24"/>
          <w:szCs w:val="24"/>
          <w:highlight w:val="none"/>
          <w:u w:val="none"/>
          <w:shd w:val="clear" w:color="auto" w:fill="FFFFFF"/>
          <w:lang w:eastAsia="zh-CN"/>
          <w14:textFill>
            <w14:solidFill>
              <w14:schemeClr w14:val="tx1"/>
            </w14:solidFill>
          </w14:textFill>
        </w:rPr>
        <w:t>。</w:t>
      </w:r>
    </w:p>
    <w:p w14:paraId="4638C29A">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1" w:leftChars="-100" w:right="0" w:hanging="241" w:hangingChars="100"/>
        <w:jc w:val="both"/>
        <w:textAlignment w:val="auto"/>
        <w:outlineLvl w:val="9"/>
        <w:rPr>
          <w:rFonts w:hint="eastAsia" w:ascii="宋体" w:hAnsi="宋体" w:eastAsia="宋体" w:cs="宋体"/>
          <w:b/>
          <w:bCs/>
          <w:snapToGrid w:val="0"/>
          <w:color w:val="000000" w:themeColor="text1"/>
          <w:kern w:val="0"/>
          <w:sz w:val="24"/>
          <w:szCs w:val="24"/>
          <w:highlight w:val="none"/>
          <w:u w:val="none"/>
          <w:shd w:val="clear" w:color="auto" w:fill="FFFFFF"/>
          <w:lang w:val="en-US" w:eastAsia="zh-CN" w:bidi="ar"/>
          <w14:textFill>
            <w14:solidFill>
              <w14:schemeClr w14:val="tx1"/>
            </w14:solidFill>
          </w14:textFill>
        </w:rPr>
      </w:pPr>
      <w:r>
        <w:rPr>
          <w:rFonts w:hint="eastAsia" w:ascii="宋体" w:hAnsi="宋体" w:eastAsia="宋体" w:cs="宋体"/>
          <w:b/>
          <w:bCs/>
          <w:snapToGrid w:val="0"/>
          <w:color w:val="000000" w:themeColor="text1"/>
          <w:spacing w:val="0"/>
          <w:kern w:val="0"/>
          <w:position w:val="0"/>
          <w:sz w:val="24"/>
          <w:szCs w:val="24"/>
          <w:highlight w:val="none"/>
          <w:u w:val="none" w:color="auto"/>
          <w:lang w:val="en-US" w:eastAsia="zh-CN" w:bidi="ar"/>
          <w14:textFill>
            <w14:solidFill>
              <w14:schemeClr w14:val="tx1"/>
            </w14:solidFill>
          </w14:textFill>
        </w:rPr>
        <w:t>5.1.3.</w:t>
      </w:r>
      <w:r>
        <w:rPr>
          <w:rFonts w:hint="eastAsia" w:ascii="宋体" w:hAnsi="宋体" w:eastAsia="宋体" w:cs="宋体"/>
          <w:b/>
          <w:bCs/>
          <w:snapToGrid w:val="0"/>
          <w:color w:val="000000" w:themeColor="text1"/>
          <w:kern w:val="0"/>
          <w:sz w:val="24"/>
          <w:szCs w:val="24"/>
          <w:highlight w:val="none"/>
          <w:u w:val="none"/>
          <w:shd w:val="clear" w:color="auto" w:fill="FFFFFF"/>
          <w:lang w:val="en-US" w:eastAsia="zh-CN" w:bidi="ar"/>
          <w14:textFill>
            <w14:solidFill>
              <w14:schemeClr w14:val="tx1"/>
            </w14:solidFill>
          </w14:textFill>
        </w:rPr>
        <w:t>疑问澄清</w:t>
      </w:r>
    </w:p>
    <w:p w14:paraId="0E5CD66B">
      <w:pPr>
        <w:keepNext w:val="0"/>
        <w:keepLines w:val="0"/>
        <w:pageBreakBefore w:val="0"/>
        <w:widowControl w:val="0"/>
        <w:kinsoku/>
        <w:wordWrap/>
        <w:overflowPunct/>
        <w:topLinePunct w:val="0"/>
        <w:autoSpaceDE/>
        <w:autoSpaceDN/>
        <w:bidi w:val="0"/>
        <w:adjustRightInd/>
        <w:snapToGrid/>
        <w:spacing w:line="400" w:lineRule="exact"/>
        <w:ind w:left="-960" w:leftChars="-400" w:right="0" w:rightChars="0" w:firstLine="720" w:firstLineChars="300"/>
        <w:jc w:val="both"/>
        <w:textAlignment w:val="auto"/>
        <w:outlineLvl w:val="9"/>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pPr>
      <w:r>
        <w:rPr>
          <w:rFonts w:hint="eastAsia" w:ascii="宋体" w:hAnsi="宋体" w:eastAsia="宋体" w:cs="宋体"/>
          <w:snapToGrid/>
          <w:color w:val="000000" w:themeColor="text1"/>
          <w:kern w:val="2"/>
          <w:sz w:val="24"/>
          <w:szCs w:val="24"/>
          <w:highlight w:val="none"/>
          <w:u w:val="none"/>
          <w:shd w:val="clear" w:color="auto" w:fill="FFFFFF"/>
          <w:lang w:eastAsia="zh-CN"/>
          <w14:textFill>
            <w14:solidFill>
              <w14:schemeClr w14:val="tx1"/>
            </w14:solidFill>
          </w14:textFill>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7DD58DDA">
      <w:pPr>
        <w:keepNext w:val="0"/>
        <w:keepLines w:val="0"/>
        <w:pageBreakBefore w:val="0"/>
        <w:widowControl w:val="0"/>
        <w:kinsoku/>
        <w:wordWrap/>
        <w:overflowPunct/>
        <w:topLinePunct w:val="0"/>
        <w:autoSpaceDE/>
        <w:autoSpaceDN/>
        <w:bidi w:val="0"/>
        <w:adjustRightInd/>
        <w:snapToGrid/>
        <w:spacing w:line="400" w:lineRule="exact"/>
        <w:ind w:left="1" w:leftChars="-100" w:right="0" w:rightChars="0" w:hanging="241" w:hangingChars="100"/>
        <w:jc w:val="both"/>
        <w:textAlignment w:val="auto"/>
        <w:outlineLvl w:val="9"/>
        <w:rPr>
          <w:rFonts w:hint="eastAsia" w:ascii="宋体" w:hAnsi="宋体" w:eastAsia="宋体" w:cs="宋体"/>
          <w:b/>
          <w:bCs/>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bCs/>
          <w:snapToGrid/>
          <w:color w:val="000000" w:themeColor="text1"/>
          <w:kern w:val="0"/>
          <w:sz w:val="24"/>
          <w:szCs w:val="24"/>
          <w:highlight w:val="none"/>
          <w:u w:val="none"/>
          <w:shd w:val="clear" w:color="auto" w:fill="FFFFFF"/>
          <w:lang w:val="en-US" w:eastAsia="zh-CN" w:bidi="ar-SA"/>
          <w14:textFill>
            <w14:solidFill>
              <w14:schemeClr w14:val="tx1"/>
            </w14:solidFill>
          </w14:textFill>
        </w:rPr>
        <w:t>5.1.4.投票，收票，点票和汇总</w:t>
      </w:r>
    </w:p>
    <w:p w14:paraId="7F549008">
      <w:pPr>
        <w:keepNext w:val="0"/>
        <w:keepLines w:val="0"/>
        <w:pageBreakBefore w:val="0"/>
        <w:widowControl w:val="0"/>
        <w:kinsoku/>
        <w:wordWrap/>
        <w:overflowPunct/>
        <w:topLinePunct w:val="0"/>
        <w:autoSpaceDE/>
        <w:autoSpaceDN/>
        <w:bidi w:val="0"/>
        <w:adjustRightInd/>
        <w:snapToGrid/>
        <w:spacing w:line="400" w:lineRule="exact"/>
        <w:ind w:left="-720" w:leftChars="-300" w:right="0" w:rightChars="0" w:firstLine="480" w:firstLineChars="200"/>
        <w:jc w:val="both"/>
        <w:textAlignment w:val="auto"/>
        <w:outlineLvl w:val="9"/>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snapToGrid/>
          <w:color w:val="000000" w:themeColor="text1"/>
          <w:spacing w:val="0"/>
          <w:kern w:val="2"/>
          <w:position w:val="0"/>
          <w:sz w:val="24"/>
          <w:szCs w:val="24"/>
          <w:highlight w:val="none"/>
          <w:u w:val="none" w:color="auto"/>
          <w:lang w:eastAsia="zh-CN"/>
          <w14:textFill>
            <w14:solidFill>
              <w14:schemeClr w14:val="tx1"/>
            </w14:solidFill>
          </w14:textFill>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0869BC2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snapToGrid/>
          <w:color w:val="000000" w:themeColor="text1"/>
          <w:kern w:val="2"/>
          <w:sz w:val="24"/>
          <w:szCs w:val="24"/>
          <w:highlight w:val="none"/>
          <w:lang w:eastAsia="zh-CN"/>
          <w14:textFill>
            <w14:solidFill>
              <w14:schemeClr w14:val="tx1"/>
            </w14:solidFill>
          </w14:textFill>
        </w:rPr>
      </w:pPr>
      <w:r>
        <w:rPr>
          <w:rFonts w:hint="eastAsia" w:ascii="宋体" w:hAnsi="宋体" w:eastAsia="宋体" w:cs="宋体"/>
          <w:b/>
          <w:bCs/>
          <w:snapToGrid/>
          <w:color w:val="000000" w:themeColor="text1"/>
          <w:kern w:val="0"/>
          <w:sz w:val="24"/>
          <w:szCs w:val="24"/>
          <w:highlight w:val="none"/>
          <w:u w:val="none"/>
          <w:shd w:val="clear" w:color="auto" w:fill="FFFFFF"/>
          <w:lang w:val="en-US" w:eastAsia="zh-CN" w:bidi="ar-SA"/>
          <w14:textFill>
            <w14:solidFill>
              <w14:schemeClr w14:val="tx1"/>
            </w14:solidFill>
          </w14:textFill>
        </w:rPr>
        <w:t>5.1.5.公布结果和出具定标报告</w:t>
      </w:r>
    </w:p>
    <w:p w14:paraId="1D8B8BD6">
      <w:pPr>
        <w:keepNext w:val="0"/>
        <w:keepLines w:val="0"/>
        <w:pageBreakBefore w:val="0"/>
        <w:widowControl w:val="0"/>
        <w:kinsoku/>
        <w:wordWrap/>
        <w:overflowPunct/>
        <w:topLinePunct w:val="0"/>
        <w:autoSpaceDE/>
        <w:autoSpaceDN/>
        <w:bidi w:val="0"/>
        <w:adjustRightInd/>
        <w:snapToGrid/>
        <w:spacing w:line="400" w:lineRule="exact"/>
        <w:ind w:left="-480" w:leftChars="-300" w:right="0" w:rightChars="0" w:hanging="240" w:hangingChars="100"/>
        <w:jc w:val="both"/>
        <w:textAlignment w:val="auto"/>
        <w:outlineLvl w:val="9"/>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snapToGrid/>
          <w:color w:val="000000" w:themeColor="text1"/>
          <w:kern w:val="2"/>
          <w:sz w:val="24"/>
          <w:szCs w:val="24"/>
          <w:highlight w:val="none"/>
          <w:lang w:eastAsia="zh-CN"/>
          <w14:textFill>
            <w14:solidFill>
              <w14:schemeClr w14:val="tx1"/>
            </w14:solidFill>
          </w14:textFill>
        </w:rPr>
        <w:t>点票工作完成后，定标委员会组长汇总定标结果，编制定标报告，确定中标候选人，全体成员签名。</w:t>
      </w:r>
    </w:p>
    <w:p w14:paraId="54D4983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482" w:leftChars="0" w:right="0" w:hanging="482" w:hangingChars="200"/>
        <w:jc w:val="both"/>
        <w:textAlignment w:val="auto"/>
        <w:outlineLvl w:val="9"/>
        <w:rPr>
          <w:rFonts w:hint="eastAsia" w:ascii="宋体" w:hAnsi="宋体" w:eastAsia="宋体" w:cs="宋体"/>
          <w:b/>
          <w:bCs/>
          <w:snapToGrid w:val="0"/>
          <w:color w:val="000000" w:themeColor="text1"/>
          <w:kern w:val="0"/>
          <w:sz w:val="24"/>
          <w:szCs w:val="24"/>
          <w:highlight w:val="none"/>
          <w:u w:val="none"/>
          <w:shd w:val="clear" w:color="auto" w:fill="FFFFFF"/>
          <w:lang w:val="en-US" w:eastAsia="zh-CN" w:bidi="ar"/>
          <w14:textFill>
            <w14:solidFill>
              <w14:schemeClr w14:val="tx1"/>
            </w14:solidFill>
          </w14:textFill>
        </w:rPr>
      </w:pPr>
      <w:r>
        <w:rPr>
          <w:rFonts w:hint="eastAsia" w:ascii="宋体" w:hAnsi="宋体" w:eastAsia="宋体" w:cs="宋体"/>
          <w:b/>
          <w:bCs/>
          <w:snapToGrid w:val="0"/>
          <w:color w:val="000000" w:themeColor="text1"/>
          <w:spacing w:val="0"/>
          <w:kern w:val="0"/>
          <w:position w:val="0"/>
          <w:sz w:val="24"/>
          <w:szCs w:val="24"/>
          <w:highlight w:val="none"/>
          <w:u w:val="none" w:color="auto"/>
          <w:lang w:val="en-US" w:eastAsia="zh-CN" w:bidi="ar"/>
          <w14:textFill>
            <w14:solidFill>
              <w14:schemeClr w14:val="tx1"/>
            </w14:solidFill>
          </w14:textFill>
        </w:rPr>
        <w:t>5.1.6.</w:t>
      </w:r>
      <w:r>
        <w:rPr>
          <w:rFonts w:hint="eastAsia" w:ascii="宋体" w:hAnsi="宋体" w:eastAsia="宋体" w:cs="宋体"/>
          <w:b/>
          <w:bCs/>
          <w:snapToGrid w:val="0"/>
          <w:color w:val="000000" w:themeColor="text1"/>
          <w:kern w:val="0"/>
          <w:sz w:val="24"/>
          <w:szCs w:val="24"/>
          <w:highlight w:val="none"/>
          <w:u w:val="none"/>
          <w:shd w:val="clear" w:color="auto" w:fill="FFFFFF"/>
          <w:lang w:val="en-US" w:eastAsia="zh-CN" w:bidi="ar"/>
          <w14:textFill>
            <w14:solidFill>
              <w14:schemeClr w14:val="tx1"/>
            </w14:solidFill>
          </w14:textFill>
        </w:rPr>
        <w:t>全程监督</w:t>
      </w:r>
    </w:p>
    <w:p w14:paraId="14B5573E">
      <w:pPr>
        <w:keepNext w:val="0"/>
        <w:keepLines w:val="0"/>
        <w:pageBreakBefore w:val="0"/>
        <w:widowControl w:val="0"/>
        <w:kinsoku/>
        <w:wordWrap/>
        <w:overflowPunct/>
        <w:topLinePunct w:val="0"/>
        <w:autoSpaceDE/>
        <w:autoSpaceDN/>
        <w:bidi w:val="0"/>
        <w:adjustRightInd/>
        <w:snapToGrid/>
        <w:spacing w:line="400" w:lineRule="exact"/>
        <w:ind w:left="-960" w:leftChars="-400" w:right="0" w:rightChars="0" w:firstLine="720" w:firstLineChars="300"/>
        <w:jc w:val="both"/>
        <w:textAlignment w:val="auto"/>
        <w:outlineLvl w:val="9"/>
        <w:rPr>
          <w:rFonts w:hint="eastAsia" w:ascii="宋体" w:hAnsi="宋体" w:eastAsia="宋体" w:cs="宋体"/>
          <w:b w:val="0"/>
          <w:bCs/>
          <w:snapToGrid/>
          <w:color w:val="000000" w:themeColor="text1"/>
          <w:kern w:val="2"/>
          <w:sz w:val="24"/>
          <w:szCs w:val="24"/>
          <w:highlight w:val="none"/>
          <w:lang w:eastAsia="zh-CN"/>
          <w14:textFill>
            <w14:solidFill>
              <w14:schemeClr w14:val="tx1"/>
            </w14:solidFill>
          </w14:textFill>
        </w:rPr>
      </w:pPr>
      <w:r>
        <w:rPr>
          <w:rFonts w:hint="eastAsia" w:ascii="宋体" w:hAnsi="宋体" w:eastAsia="宋体" w:cs="宋体"/>
          <w:b w:val="0"/>
          <w:bCs/>
          <w:snapToGrid/>
          <w:color w:val="000000" w:themeColor="text1"/>
          <w:kern w:val="2"/>
          <w:sz w:val="24"/>
          <w:szCs w:val="24"/>
          <w:highlight w:val="none"/>
          <w:lang w:eastAsia="zh-CN"/>
          <w14:textFill>
            <w14:solidFill>
              <w14:schemeClr w14:val="tx1"/>
            </w14:solidFill>
          </w14:textFill>
        </w:rPr>
        <w:t>招标监督小组对集体议定的全过程进行监督，确保程序合规、讨论充分、记录完整，结论形成过程公正、透明。</w:t>
      </w:r>
    </w:p>
    <w:p w14:paraId="57D6AEF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bCs/>
          <w:snapToGrid/>
          <w:color w:val="000000" w:themeColor="text1"/>
          <w:spacing w:val="0"/>
          <w:kern w:val="2"/>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snapToGrid/>
          <w:color w:val="000000" w:themeColor="text1"/>
          <w:spacing w:val="0"/>
          <w:kern w:val="2"/>
          <w:position w:val="0"/>
          <w:sz w:val="24"/>
          <w:szCs w:val="24"/>
          <w:highlight w:val="none"/>
          <w:u w:val="none" w:color="auto"/>
          <w:lang w:val="en-US" w:eastAsia="zh-CN"/>
          <w14:textFill>
            <w14:solidFill>
              <w14:schemeClr w14:val="tx1"/>
            </w14:solidFill>
          </w14:textFill>
        </w:rPr>
        <w:t>5.2定标因素</w:t>
      </w:r>
    </w:p>
    <w:p w14:paraId="7700FF7E">
      <w:pPr>
        <w:keepNext w:val="0"/>
        <w:keepLines w:val="0"/>
        <w:pageBreakBefore w:val="0"/>
        <w:widowControl w:val="0"/>
        <w:kinsoku/>
        <w:wordWrap/>
        <w:overflowPunct/>
        <w:topLinePunct w:val="0"/>
        <w:autoSpaceDE/>
        <w:autoSpaceDN/>
        <w:bidi w:val="0"/>
        <w:adjustRightInd/>
        <w:snapToGrid/>
        <w:spacing w:line="400" w:lineRule="exact"/>
        <w:ind w:left="0" w:leftChars="-100" w:right="0" w:rightChars="0" w:hanging="240" w:hangingChars="100"/>
        <w:jc w:val="both"/>
        <w:textAlignment w:val="auto"/>
        <w:outlineLvl w:val="9"/>
        <w:rPr>
          <w:rFonts w:hint="eastAsia" w:ascii="宋体" w:hAnsi="宋体" w:eastAsia="宋体" w:cs="宋体"/>
          <w:b w:val="0"/>
          <w:bCs w:val="0"/>
          <w:i/>
          <w:iCs/>
          <w:snapToGrid/>
          <w:color w:val="000000" w:themeColor="text1"/>
          <w:spacing w:val="0"/>
          <w:kern w:val="2"/>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t>在同等条件下，择优的定标因素和相对标准有以下几个方面：</w:t>
      </w:r>
    </w:p>
    <w:p w14:paraId="23CFDF67">
      <w:pPr>
        <w:keepNext w:val="0"/>
        <w:keepLines w:val="0"/>
        <w:pageBreakBefore w:val="0"/>
        <w:widowControl w:val="0"/>
        <w:kinsoku/>
        <w:wordWrap/>
        <w:overflowPunct/>
        <w:topLinePunct w:val="0"/>
        <w:autoSpaceDE/>
        <w:autoSpaceDN/>
        <w:bidi w:val="0"/>
        <w:adjustRightInd/>
        <w:snapToGrid/>
        <w:spacing w:line="400" w:lineRule="exact"/>
        <w:ind w:left="1" w:leftChars="-100" w:right="0" w:rightChars="0" w:hanging="241" w:hangingChars="100"/>
        <w:jc w:val="both"/>
        <w:textAlignment w:val="auto"/>
        <w:outlineLvl w:val="9"/>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snapToGrid/>
          <w:color w:val="000000" w:themeColor="text1"/>
          <w:spacing w:val="0"/>
          <w:kern w:val="2"/>
          <w:position w:val="0"/>
          <w:sz w:val="24"/>
          <w:szCs w:val="24"/>
          <w:highlight w:val="none"/>
          <w:u w:val="none" w:color="auto"/>
          <w:lang w:val="en-US" w:eastAsia="zh-CN"/>
          <w14:textFill>
            <w14:solidFill>
              <w14:schemeClr w14:val="tx1"/>
            </w14:solidFill>
          </w14:textFill>
        </w:rPr>
        <w:t>（1）拟派团队管理能力与水平（履约能力）</w:t>
      </w:r>
    </w:p>
    <w:p w14:paraId="1204373E">
      <w:pPr>
        <w:keepNext w:val="0"/>
        <w:keepLines w:val="0"/>
        <w:pageBreakBefore w:val="0"/>
        <w:widowControl w:val="0"/>
        <w:kinsoku/>
        <w:wordWrap/>
        <w:overflowPunct/>
        <w:topLinePunct w:val="0"/>
        <w:autoSpaceDE/>
        <w:autoSpaceDN/>
        <w:bidi w:val="0"/>
        <w:adjustRightInd/>
        <w:snapToGrid/>
        <w:spacing w:line="400" w:lineRule="exact"/>
        <w:ind w:left="-960" w:leftChars="-400" w:right="0" w:rightChars="0" w:firstLine="720" w:firstLineChars="300"/>
        <w:jc w:val="both"/>
        <w:textAlignment w:val="auto"/>
        <w:outlineLvl w:val="9"/>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t>相对标准：拟派团队管理能力与水平（履约能力）强的定标候选人优于拟派团队管理能力与水平（履约能力）一般的定标候选人。</w:t>
      </w:r>
    </w:p>
    <w:p w14:paraId="3559E500">
      <w:pPr>
        <w:keepNext w:val="0"/>
        <w:keepLines w:val="0"/>
        <w:pageBreakBefore w:val="0"/>
        <w:widowControl w:val="0"/>
        <w:kinsoku/>
        <w:wordWrap/>
        <w:overflowPunct/>
        <w:topLinePunct w:val="0"/>
        <w:autoSpaceDE/>
        <w:autoSpaceDN/>
        <w:bidi w:val="0"/>
        <w:adjustRightInd/>
        <w:snapToGrid/>
        <w:spacing w:line="400" w:lineRule="exact"/>
        <w:ind w:left="1" w:leftChars="-100" w:right="0" w:rightChars="0" w:hanging="241" w:hangingChars="100"/>
        <w:jc w:val="both"/>
        <w:textAlignment w:val="auto"/>
        <w:outlineLvl w:val="9"/>
        <w:rPr>
          <w:rFonts w:hint="eastAsia" w:ascii="宋体" w:hAnsi="宋体" w:eastAsia="宋体" w:cs="宋体"/>
          <w:b/>
          <w:bCs/>
          <w:snapToGrid/>
          <w:color w:val="000000" w:themeColor="text1"/>
          <w:spacing w:val="0"/>
          <w:kern w:val="2"/>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snapToGrid/>
          <w:color w:val="000000" w:themeColor="text1"/>
          <w:spacing w:val="0"/>
          <w:kern w:val="2"/>
          <w:position w:val="0"/>
          <w:sz w:val="24"/>
          <w:szCs w:val="24"/>
          <w:highlight w:val="none"/>
          <w:u w:val="none" w:color="auto"/>
          <w:lang w:val="en-US" w:eastAsia="zh-CN"/>
          <w14:textFill>
            <w14:solidFill>
              <w14:schemeClr w14:val="tx1"/>
            </w14:solidFill>
          </w14:textFill>
        </w:rPr>
        <w:t>（2）企业信誉</w:t>
      </w:r>
    </w:p>
    <w:p w14:paraId="1C57CFFD">
      <w:pPr>
        <w:keepNext w:val="0"/>
        <w:keepLines w:val="0"/>
        <w:pageBreakBefore w:val="0"/>
        <w:widowControl w:val="0"/>
        <w:kinsoku/>
        <w:wordWrap/>
        <w:overflowPunct/>
        <w:topLinePunct w:val="0"/>
        <w:autoSpaceDE/>
        <w:autoSpaceDN/>
        <w:bidi w:val="0"/>
        <w:adjustRightInd/>
        <w:snapToGrid/>
        <w:spacing w:line="400" w:lineRule="exact"/>
        <w:ind w:left="0" w:leftChars="-100" w:right="0" w:rightChars="0" w:hanging="240" w:hangingChars="100"/>
        <w:jc w:val="both"/>
        <w:textAlignment w:val="auto"/>
        <w:outlineLvl w:val="9"/>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t>相对标准：企业信誉评价好的定标候选人优于企业信誉评价一般的定标候选人。</w:t>
      </w:r>
    </w:p>
    <w:p w14:paraId="4EF399CE">
      <w:pPr>
        <w:keepNext w:val="0"/>
        <w:keepLines w:val="0"/>
        <w:pageBreakBefore w:val="0"/>
        <w:widowControl w:val="0"/>
        <w:kinsoku/>
        <w:wordWrap/>
        <w:overflowPunct/>
        <w:topLinePunct w:val="0"/>
        <w:autoSpaceDE/>
        <w:autoSpaceDN/>
        <w:bidi w:val="0"/>
        <w:adjustRightInd/>
        <w:snapToGrid/>
        <w:spacing w:line="400" w:lineRule="exact"/>
        <w:ind w:left="1" w:leftChars="-100" w:right="0" w:rightChars="0" w:hanging="241" w:hangingChars="100"/>
        <w:jc w:val="both"/>
        <w:textAlignment w:val="auto"/>
        <w:outlineLvl w:val="9"/>
        <w:rPr>
          <w:rFonts w:hint="eastAsia" w:ascii="宋体" w:hAnsi="宋体" w:eastAsia="宋体" w:cs="宋体"/>
          <w:b/>
          <w:bCs/>
          <w:snapToGrid/>
          <w:color w:val="000000" w:themeColor="text1"/>
          <w:spacing w:val="0"/>
          <w:kern w:val="2"/>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snapToGrid/>
          <w:color w:val="000000" w:themeColor="text1"/>
          <w:spacing w:val="0"/>
          <w:kern w:val="2"/>
          <w:position w:val="0"/>
          <w:sz w:val="24"/>
          <w:szCs w:val="24"/>
          <w:highlight w:val="none"/>
          <w:u w:val="none" w:color="auto"/>
          <w:lang w:val="en-US" w:eastAsia="zh-CN"/>
          <w14:textFill>
            <w14:solidFill>
              <w14:schemeClr w14:val="tx1"/>
            </w14:solidFill>
          </w14:textFill>
        </w:rPr>
        <w:t>（3）评标报告</w:t>
      </w:r>
    </w:p>
    <w:p w14:paraId="24D27562">
      <w:pPr>
        <w:keepNext w:val="0"/>
        <w:keepLines w:val="0"/>
        <w:pageBreakBefore w:val="0"/>
        <w:widowControl w:val="0"/>
        <w:kinsoku/>
        <w:wordWrap/>
        <w:overflowPunct/>
        <w:topLinePunct w:val="0"/>
        <w:autoSpaceDE/>
        <w:autoSpaceDN/>
        <w:bidi w:val="0"/>
        <w:adjustRightInd/>
        <w:snapToGrid/>
        <w:spacing w:line="400" w:lineRule="exact"/>
        <w:ind w:left="-720" w:leftChars="-300" w:right="0" w:rightChars="0" w:firstLine="240" w:firstLineChars="100"/>
        <w:jc w:val="both"/>
        <w:textAlignment w:val="auto"/>
        <w:outlineLvl w:val="9"/>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t>相对标准：评标委员会评审意见为具有优势</w:t>
      </w:r>
      <w:r>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t>风险</w:t>
      </w: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低</w:t>
      </w:r>
      <w:r>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t>的定标候选人优于评标委员会评审意见为没有优势</w:t>
      </w:r>
      <w:r>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t>风险</w:t>
      </w:r>
      <w:r>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t>高</w:t>
      </w:r>
      <w:r>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t>的</w:t>
      </w:r>
      <w:r>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t>定标候选人（</w:t>
      </w:r>
      <w:r>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t>综合考虑评标委员会的评审意见，对各定标候选人</w:t>
      </w:r>
      <w:r>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t>的优势、风险等评审情况</w:t>
      </w:r>
      <w:r>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t>进行评审比较</w:t>
      </w:r>
      <w:r>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t>）</w:t>
      </w:r>
      <w:r>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t>。</w:t>
      </w:r>
    </w:p>
    <w:p w14:paraId="4E8003A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bCs/>
          <w:snapToGrid/>
          <w:color w:val="000000" w:themeColor="text1"/>
          <w:spacing w:val="0"/>
          <w:kern w:val="2"/>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snapToGrid/>
          <w:color w:val="000000" w:themeColor="text1"/>
          <w:spacing w:val="0"/>
          <w:kern w:val="2"/>
          <w:position w:val="0"/>
          <w:sz w:val="24"/>
          <w:szCs w:val="24"/>
          <w:highlight w:val="none"/>
          <w:u w:val="none" w:color="auto"/>
          <w:lang w:val="en-US" w:eastAsia="zh-CN"/>
          <w14:textFill>
            <w14:solidFill>
              <w14:schemeClr w14:val="tx1"/>
            </w14:solidFill>
          </w14:textFill>
        </w:rPr>
        <w:t>（4）农民工工资保障情况</w:t>
      </w:r>
    </w:p>
    <w:p w14:paraId="5885E7DF">
      <w:pPr>
        <w:keepNext w:val="0"/>
        <w:keepLines w:val="0"/>
        <w:pageBreakBefore w:val="0"/>
        <w:widowControl w:val="0"/>
        <w:kinsoku/>
        <w:wordWrap/>
        <w:overflowPunct/>
        <w:topLinePunct w:val="0"/>
        <w:autoSpaceDE/>
        <w:autoSpaceDN/>
        <w:bidi w:val="0"/>
        <w:adjustRightInd/>
        <w:snapToGrid/>
        <w:spacing w:line="400" w:lineRule="exact"/>
        <w:ind w:left="-720" w:leftChars="-300" w:right="0" w:rightChars="0" w:firstLine="480" w:firstLineChars="200"/>
        <w:jc w:val="both"/>
        <w:textAlignment w:val="auto"/>
        <w:outlineLvl w:val="9"/>
        <w:rPr>
          <w:rFonts w:hint="eastAsia" w:ascii="宋体" w:hAnsi="宋体" w:eastAsia="宋体" w:cs="宋体"/>
          <w:b/>
          <w:bCs/>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spacing w:val="0"/>
          <w:kern w:val="2"/>
          <w:position w:val="0"/>
          <w:sz w:val="24"/>
          <w:szCs w:val="24"/>
          <w:highlight w:val="none"/>
          <w:u w:val="none" w:color="auto"/>
          <w:lang w:val="en-US" w:eastAsia="zh-CN"/>
          <w14:textFill>
            <w14:solidFill>
              <w14:schemeClr w14:val="tx1"/>
            </w14:solidFill>
          </w14:textFill>
        </w:rPr>
        <w:t>相对标准：农民工工资保障情况好的定标候选人优于农民工工资保障情况差的定标候选人（结合</w:t>
      </w: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定标候选人提交的证明材料和招标人查询的材料进行评审）。</w:t>
      </w:r>
    </w:p>
    <w:p w14:paraId="377D3A7C">
      <w:pPr>
        <w:keepNext w:val="0"/>
        <w:keepLines w:val="0"/>
        <w:pageBreakBefore w:val="0"/>
        <w:widowControl w:val="0"/>
        <w:kinsoku/>
        <w:wordWrap/>
        <w:overflowPunct/>
        <w:topLinePunct w:val="0"/>
        <w:autoSpaceDE/>
        <w:autoSpaceDN/>
        <w:bidi w:val="0"/>
        <w:adjustRightInd/>
        <w:snapToGrid/>
        <w:spacing w:line="400" w:lineRule="exact"/>
        <w:ind w:left="1" w:leftChars="-100" w:right="0" w:rightChars="0" w:hanging="241" w:hangingChars="100"/>
        <w:jc w:val="both"/>
        <w:textAlignment w:val="auto"/>
        <w:outlineLvl w:val="9"/>
        <w:rPr>
          <w:rFonts w:hint="eastAsia" w:ascii="宋体" w:hAnsi="宋体" w:eastAsia="宋体" w:cs="宋体"/>
          <w:b/>
          <w:bCs/>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bCs/>
          <w:snapToGrid/>
          <w:color w:val="000000" w:themeColor="text1"/>
          <w:kern w:val="0"/>
          <w:sz w:val="24"/>
          <w:szCs w:val="24"/>
          <w:highlight w:val="none"/>
          <w:u w:val="none"/>
          <w:shd w:val="clear" w:color="auto" w:fill="FFFFFF"/>
          <w:lang w:val="en-US" w:eastAsia="zh-CN" w:bidi="ar-SA"/>
          <w14:textFill>
            <w14:solidFill>
              <w14:schemeClr w14:val="tx1"/>
            </w14:solidFill>
          </w14:textFill>
        </w:rPr>
        <w:t>6.定标结果公示</w:t>
      </w:r>
    </w:p>
    <w:p w14:paraId="1908F2A3">
      <w:pPr>
        <w:keepNext w:val="0"/>
        <w:keepLines w:val="0"/>
        <w:pageBreakBefore w:val="0"/>
        <w:widowControl w:val="0"/>
        <w:kinsoku/>
        <w:wordWrap/>
        <w:overflowPunct/>
        <w:topLinePunct w:val="0"/>
        <w:autoSpaceDE/>
        <w:autoSpaceDN/>
        <w:bidi w:val="0"/>
        <w:adjustRightInd/>
        <w:snapToGrid/>
        <w:spacing w:line="400" w:lineRule="exact"/>
        <w:ind w:left="-720" w:leftChars="-300" w:right="0" w:rightChars="0" w:firstLine="480" w:firstLineChars="200"/>
        <w:jc w:val="both"/>
        <w:textAlignment w:val="auto"/>
        <w:outlineLvl w:val="9"/>
        <w:rPr>
          <w:rFonts w:hint="eastAsia" w:ascii="宋体" w:hAnsi="宋体" w:eastAsia="宋体" w:cs="宋体"/>
          <w:snapToGrid/>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定标委员会完成定标</w:t>
      </w:r>
      <w:r>
        <w:rPr>
          <w:rFonts w:hint="eastAsia" w:ascii="宋体" w:hAnsi="宋体" w:eastAsia="宋体" w:cs="宋体"/>
          <w:b w:val="0"/>
          <w:bCs w:val="0"/>
          <w:snapToGrid/>
          <w:color w:val="000000" w:themeColor="text1"/>
          <w:kern w:val="0"/>
          <w:sz w:val="24"/>
          <w:szCs w:val="24"/>
          <w:highlight w:val="none"/>
          <w:lang w:val="en-US" w:eastAsia="zh-CN"/>
          <w14:textFill>
            <w14:solidFill>
              <w14:schemeClr w14:val="tx1"/>
            </w14:solidFill>
          </w14:textFill>
        </w:rPr>
        <w:t>后</w:t>
      </w:r>
      <w:r>
        <w:rPr>
          <w:rFonts w:hint="eastAsia" w:ascii="宋体" w:hAnsi="宋体" w:eastAsia="宋体" w:cs="宋体"/>
          <w:snapToGrid/>
          <w:color w:val="000000" w:themeColor="text1"/>
          <w:kern w:val="0"/>
          <w:sz w:val="24"/>
          <w:szCs w:val="24"/>
          <w:highlight w:val="none"/>
          <w:lang w:val="en-US" w:eastAsia="zh-CN"/>
          <w14:textFill>
            <w14:solidFill>
              <w14:schemeClr w14:val="tx1"/>
            </w14:solidFill>
          </w14:textFill>
        </w:rPr>
        <w:t>，招标人应于定标会结束后3个日历天内将中标候选人和定标情况在广东省招标投标监管网和韶关市公共资源交易中心工程交易系统上公示，公示时间不少于3个日历天。公示主要内容包括：公示主要内容包括：定标报告（定标成员信息除外）、中标人名单、中标价和拟投入本项目的项目负责人、技术负责人及各专业负责人（如有）等内容。</w:t>
      </w:r>
    </w:p>
    <w:p w14:paraId="3184E74E">
      <w:pPr>
        <w:widowControl/>
        <w:kinsoku/>
        <w:autoSpaceDE/>
        <w:autoSpaceDN/>
        <w:adjustRightInd/>
        <w:snapToGrid/>
        <w:spacing w:line="360" w:lineRule="auto"/>
        <w:jc w:val="both"/>
        <w:textAlignment w:val="baseline"/>
        <w:rPr>
          <w:rFonts w:hint="eastAsia" w:ascii="宋体" w:hAnsi="宋体" w:eastAsia="宋体" w:cs="宋体"/>
          <w:snapToGrid/>
          <w:color w:val="000000" w:themeColor="text1"/>
          <w:kern w:val="2"/>
          <w:sz w:val="24"/>
          <w:szCs w:val="24"/>
          <w:highlight w:val="none"/>
          <w:lang w:val="en-US" w:eastAsia="zh-CN"/>
          <w14:textFill>
            <w14:solidFill>
              <w14:schemeClr w14:val="tx1"/>
            </w14:solidFill>
          </w14:textFill>
        </w:rPr>
      </w:pPr>
    </w:p>
    <w:p w14:paraId="09A07B38">
      <w:pPr>
        <w:widowControl/>
        <w:tabs>
          <w:tab w:val="left" w:pos="885"/>
        </w:tabs>
        <w:kinsoku/>
        <w:autoSpaceDE/>
        <w:autoSpaceDN/>
        <w:adjustRightInd/>
        <w:snapToGrid w:val="0"/>
        <w:spacing w:line="360" w:lineRule="auto"/>
        <w:jc w:val="both"/>
        <w:textAlignment w:val="baseline"/>
        <w:outlineLvl w:val="1"/>
        <w:rPr>
          <w:rFonts w:hint="eastAsia" w:ascii="宋体" w:hAnsi="宋体" w:eastAsia="宋体" w:cs="宋体"/>
          <w:b/>
          <w:bCs/>
          <w:snapToGrid/>
          <w:color w:val="000000" w:themeColor="text1"/>
          <w:kern w:val="2"/>
          <w:sz w:val="24"/>
          <w:szCs w:val="24"/>
          <w:highlight w:val="none"/>
          <w:lang w:val="en-US" w:eastAsia="zh-CN"/>
          <w14:textFill>
            <w14:solidFill>
              <w14:schemeClr w14:val="tx1"/>
            </w14:solidFill>
          </w14:textFill>
        </w:rPr>
      </w:pPr>
      <w:bookmarkStart w:id="320" w:name="_Toc209"/>
      <w:bookmarkStart w:id="321" w:name="_Toc16282"/>
      <w:bookmarkStart w:id="322" w:name="_Toc13023"/>
      <w:r>
        <w:rPr>
          <w:rFonts w:hint="eastAsia" w:ascii="宋体" w:hAnsi="宋体" w:eastAsia="宋体" w:cs="宋体"/>
          <w:b/>
          <w:bCs/>
          <w:snapToGrid/>
          <w:color w:val="000000" w:themeColor="text1"/>
          <w:kern w:val="2"/>
          <w:sz w:val="24"/>
          <w:szCs w:val="24"/>
          <w:highlight w:val="none"/>
          <w:lang w:eastAsia="zh-CN"/>
          <w14:textFill>
            <w14:solidFill>
              <w14:schemeClr w14:val="tx1"/>
            </w14:solidFill>
          </w14:textFill>
        </w:rPr>
        <w:t>第</w:t>
      </w:r>
      <w:r>
        <w:rPr>
          <w:rFonts w:hint="eastAsia" w:ascii="宋体" w:hAnsi="宋体" w:eastAsia="宋体" w:cs="宋体"/>
          <w:b/>
          <w:bCs/>
          <w:snapToGrid/>
          <w:color w:val="000000" w:themeColor="text1"/>
          <w:kern w:val="2"/>
          <w:sz w:val="24"/>
          <w:szCs w:val="24"/>
          <w:highlight w:val="none"/>
          <w:lang w:val="en-US" w:eastAsia="zh-CN"/>
          <w14:textFill>
            <w14:solidFill>
              <w14:schemeClr w14:val="tx1"/>
            </w14:solidFill>
          </w14:textFill>
        </w:rPr>
        <w:t>六</w:t>
      </w:r>
      <w:r>
        <w:rPr>
          <w:rFonts w:hint="eastAsia" w:ascii="宋体" w:hAnsi="宋体" w:eastAsia="宋体" w:cs="宋体"/>
          <w:b/>
          <w:bCs/>
          <w:snapToGrid/>
          <w:color w:val="000000" w:themeColor="text1"/>
          <w:kern w:val="2"/>
          <w:sz w:val="24"/>
          <w:szCs w:val="24"/>
          <w:highlight w:val="none"/>
          <w:lang w:eastAsia="zh-CN"/>
          <w14:textFill>
            <w14:solidFill>
              <w14:schemeClr w14:val="tx1"/>
            </w14:solidFill>
          </w14:textFill>
        </w:rPr>
        <w:t>节 中标确认</w:t>
      </w:r>
      <w:bookmarkEnd w:id="320"/>
      <w:bookmarkEnd w:id="321"/>
      <w:bookmarkEnd w:id="322"/>
    </w:p>
    <w:p w14:paraId="4CEA487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bCs/>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bCs/>
          <w:snapToGrid/>
          <w:color w:val="000000" w:themeColor="text1"/>
          <w:kern w:val="0"/>
          <w:sz w:val="24"/>
          <w:szCs w:val="24"/>
          <w:highlight w:val="none"/>
          <w:u w:val="none"/>
          <w:shd w:val="clear" w:color="auto" w:fill="FFFFFF"/>
          <w:lang w:val="en-US" w:eastAsia="zh-CN" w:bidi="ar-SA"/>
          <w14:textFill>
            <w14:solidFill>
              <w14:schemeClr w14:val="tx1"/>
            </w14:solidFill>
          </w14:textFill>
        </w:rPr>
        <w:t>1.中标人确定</w:t>
      </w:r>
    </w:p>
    <w:p w14:paraId="52C9AF25">
      <w:pPr>
        <w:keepNext w:val="0"/>
        <w:keepLines w:val="0"/>
        <w:pageBreakBefore w:val="0"/>
        <w:widowControl w:val="0"/>
        <w:kinsoku/>
        <w:wordWrap/>
        <w:overflowPunct/>
        <w:topLinePunct w:val="0"/>
        <w:autoSpaceDE/>
        <w:autoSpaceDN/>
        <w:bidi w:val="0"/>
        <w:adjustRightInd/>
        <w:snapToGrid/>
        <w:spacing w:line="400" w:lineRule="exact"/>
        <w:ind w:left="-720" w:leftChars="-300" w:right="0" w:rightChars="0" w:firstLine="480" w:firstLineChars="20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1.1 中标人确定。中标结果公示期满无异议的，招标人确认排名第一的中标候选人为中标人，中标人的投标报价即为中标价。</w:t>
      </w:r>
    </w:p>
    <w:p w14:paraId="1AEC508F">
      <w:pPr>
        <w:keepNext w:val="0"/>
        <w:keepLines w:val="0"/>
        <w:pageBreakBefore w:val="0"/>
        <w:widowControl w:val="0"/>
        <w:kinsoku/>
        <w:wordWrap/>
        <w:overflowPunct/>
        <w:topLinePunct w:val="0"/>
        <w:autoSpaceDE/>
        <w:autoSpaceDN/>
        <w:bidi w:val="0"/>
        <w:adjustRightInd/>
        <w:snapToGrid/>
        <w:spacing w:line="400" w:lineRule="exact"/>
        <w:ind w:left="-720" w:leftChars="-300" w:right="0" w:rightChars="0" w:firstLine="480" w:firstLineChars="20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1.2 中标人确定后，招标人应当于7日内完成加盖招标人</w:t>
      </w:r>
      <w:r>
        <w:rPr>
          <w:rFonts w:hint="eastAsia"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单位</w:t>
      </w: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在中标通知书发出后5个工作日内，韶关市公共资源交易中心将投标保证金（或银行保函）退还给中标候选人以外的投标人。</w:t>
      </w:r>
    </w:p>
    <w:p w14:paraId="2996DA3B">
      <w:pPr>
        <w:keepNext w:val="0"/>
        <w:keepLines w:val="0"/>
        <w:pageBreakBefore w:val="0"/>
        <w:widowControl w:val="0"/>
        <w:kinsoku/>
        <w:wordWrap/>
        <w:overflowPunct/>
        <w:topLinePunct w:val="0"/>
        <w:autoSpaceDE/>
        <w:autoSpaceDN/>
        <w:bidi w:val="0"/>
        <w:adjustRightInd/>
        <w:snapToGrid/>
        <w:spacing w:line="400" w:lineRule="exact"/>
        <w:ind w:left="-720" w:leftChars="-300" w:right="0" w:rightChars="0" w:firstLine="480" w:firstLineChars="20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42754806">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snapToGrid/>
          <w:color w:val="000000" w:themeColor="text1"/>
          <w:kern w:val="2"/>
          <w:sz w:val="24"/>
          <w:szCs w:val="24"/>
          <w:highlight w:val="none"/>
          <w:lang w:eastAsia="zh-CN"/>
          <w14:textFill>
            <w14:solidFill>
              <w14:schemeClr w14:val="tx1"/>
            </w14:solidFill>
          </w14:textFill>
        </w:rPr>
      </w:pPr>
      <w:r>
        <w:rPr>
          <w:rFonts w:hint="eastAsia" w:ascii="宋体" w:hAnsi="宋体" w:eastAsia="宋体" w:cs="宋体"/>
          <w:b/>
          <w:bCs/>
          <w:snapToGrid/>
          <w:color w:val="000000" w:themeColor="text1"/>
          <w:kern w:val="2"/>
          <w:sz w:val="24"/>
          <w:szCs w:val="24"/>
          <w:highlight w:val="none"/>
          <w:lang w:val="en-US" w:eastAsia="zh-CN"/>
          <w14:textFill>
            <w14:solidFill>
              <w14:schemeClr w14:val="tx1"/>
            </w14:solidFill>
          </w14:textFill>
        </w:rPr>
        <w:t>2</w:t>
      </w:r>
      <w:r>
        <w:rPr>
          <w:rFonts w:hint="eastAsia" w:ascii="宋体" w:hAnsi="宋体" w:eastAsia="宋体" w:cs="宋体"/>
          <w:b/>
          <w:bCs/>
          <w:snapToGrid/>
          <w:color w:val="000000" w:themeColor="text1"/>
          <w:kern w:val="2"/>
          <w:sz w:val="24"/>
          <w:szCs w:val="24"/>
          <w:highlight w:val="none"/>
          <w:lang w:eastAsia="zh-CN"/>
          <w14:textFill>
            <w14:solidFill>
              <w14:schemeClr w14:val="tx1"/>
            </w14:solidFill>
          </w14:textFill>
        </w:rPr>
        <w:t>.异议和投诉</w:t>
      </w:r>
    </w:p>
    <w:p w14:paraId="18457C24">
      <w:pPr>
        <w:keepNext w:val="0"/>
        <w:keepLines w:val="0"/>
        <w:pageBreakBefore w:val="0"/>
        <w:widowControl w:val="0"/>
        <w:kinsoku/>
        <w:wordWrap/>
        <w:overflowPunct/>
        <w:topLinePunct w:val="0"/>
        <w:autoSpaceDE/>
        <w:autoSpaceDN/>
        <w:bidi w:val="0"/>
        <w:adjustRightInd/>
        <w:snapToGrid/>
        <w:spacing w:line="400" w:lineRule="exact"/>
        <w:ind w:left="-720" w:leftChars="-300" w:right="0" w:rightChars="0" w:firstLine="720" w:firstLineChars="30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2.1 投标人或者其他利害关系人对招标项目的评标和中标结果有异议的，应当在定标候选人和中标候选人公示期间按规定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4638B37A">
      <w:pPr>
        <w:keepNext w:val="0"/>
        <w:keepLines w:val="0"/>
        <w:pageBreakBefore w:val="0"/>
        <w:widowControl w:val="0"/>
        <w:kinsoku/>
        <w:wordWrap/>
        <w:overflowPunct/>
        <w:topLinePunct w:val="0"/>
        <w:autoSpaceDE/>
        <w:autoSpaceDN/>
        <w:bidi w:val="0"/>
        <w:adjustRightInd/>
        <w:snapToGrid/>
        <w:spacing w:line="400" w:lineRule="exact"/>
        <w:ind w:left="-720" w:leftChars="-300" w:right="0" w:rightChars="0" w:firstLine="480" w:firstLineChars="20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2.2在定标候选人和中标候选人公示期间有关评标结果的异议成立的，招标人原则上应当组织原评标委员会和原定标委员会对有关的问题予以纠正，问题纠正后再公示定标候选人和中标候选人。</w:t>
      </w:r>
    </w:p>
    <w:p w14:paraId="5AEF184A">
      <w:pPr>
        <w:keepNext w:val="0"/>
        <w:keepLines w:val="0"/>
        <w:pageBreakBefore w:val="0"/>
        <w:widowControl w:val="0"/>
        <w:kinsoku/>
        <w:wordWrap/>
        <w:overflowPunct/>
        <w:topLinePunct w:val="0"/>
        <w:autoSpaceDE/>
        <w:autoSpaceDN/>
        <w:bidi w:val="0"/>
        <w:adjustRightInd/>
        <w:snapToGrid/>
        <w:spacing w:line="400" w:lineRule="exact"/>
        <w:ind w:left="-720" w:leftChars="-300" w:right="0" w:rightChars="0" w:firstLine="480" w:firstLineChars="20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E487BC">
      <w:pPr>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val="0"/>
        <w:autoSpaceDN w:val="0"/>
        <w:bidi w:val="0"/>
        <w:adjustRightInd/>
        <w:snapToGrid/>
        <w:spacing w:before="0" w:beforeLines="0" w:beforeAutospacing="0" w:after="0" w:afterLines="0" w:afterAutospacing="0" w:line="340" w:lineRule="exact"/>
        <w:ind w:left="0" w:leftChars="0" w:right="0" w:firstLine="0" w:firstLineChars="0"/>
        <w:jc w:val="both"/>
        <w:textAlignment w:val="auto"/>
        <w:outlineLvl w:val="9"/>
        <w:rPr>
          <w:rFonts w:hint="eastAsia" w:ascii="宋体" w:hAnsi="宋体" w:eastAsia="宋体" w:cs="宋体"/>
          <w:b/>
          <w:bCs/>
          <w:i/>
          <w:snapToGrid w:val="0"/>
          <w:color w:val="000000" w:themeColor="text1"/>
          <w:kern w:val="0"/>
          <w:sz w:val="24"/>
          <w:szCs w:val="24"/>
          <w:highlight w:val="none"/>
          <w:lang w:val="en-US" w:eastAsia="zh-CN" w:bidi="ar"/>
          <w14:textFill>
            <w14:solidFill>
              <w14:schemeClr w14:val="tx1"/>
            </w14:solidFill>
          </w14:textFill>
        </w:rPr>
      </w:pPr>
      <w:bookmarkStart w:id="323" w:name="_Toc236550039"/>
      <w:r>
        <w:rPr>
          <w:rStyle w:val="26"/>
          <w:rFonts w:hint="eastAsia" w:ascii="宋体" w:hAnsi="宋体" w:eastAsia="宋体" w:cs="宋体"/>
          <w:b/>
          <w:bCs/>
          <w:i w:val="0"/>
          <w:snapToGrid w:val="0"/>
          <w:color w:val="000000" w:themeColor="text1"/>
          <w:kern w:val="2"/>
          <w:sz w:val="24"/>
          <w:szCs w:val="24"/>
          <w:highlight w:val="none"/>
          <w:lang w:val="en-US" w:eastAsia="zh-CN" w:bidi="ar-SA"/>
          <w14:textFill>
            <w14:solidFill>
              <w14:schemeClr w14:val="tx1"/>
            </w14:solidFill>
          </w14:textFill>
        </w:rPr>
        <w:t>3．废除授标</w:t>
      </w:r>
      <w:bookmarkEnd w:id="323"/>
      <w:r>
        <w:rPr>
          <w:rStyle w:val="26"/>
          <w:rFonts w:hint="eastAsia" w:ascii="宋体" w:hAnsi="宋体" w:eastAsia="宋体" w:cs="宋体"/>
          <w:b/>
          <w:bCs/>
          <w:i w:val="0"/>
          <w:snapToGrid w:val="0"/>
          <w:color w:val="000000" w:themeColor="text1"/>
          <w:kern w:val="2"/>
          <w:sz w:val="24"/>
          <w:szCs w:val="24"/>
          <w:highlight w:val="none"/>
          <w:lang w:val="en-US" w:eastAsia="zh-CN" w:bidi="ar-SA"/>
          <w14:textFill>
            <w14:solidFill>
              <w14:schemeClr w14:val="tx1"/>
            </w14:solidFill>
          </w14:textFill>
        </w:rPr>
        <w:t>及授标</w:t>
      </w:r>
    </w:p>
    <w:p w14:paraId="052289DA">
      <w:pPr>
        <w:keepNext w:val="0"/>
        <w:keepLines w:val="0"/>
        <w:pageBreakBefore w:val="0"/>
        <w:widowControl w:val="0"/>
        <w:kinsoku/>
        <w:wordWrap/>
        <w:overflowPunct/>
        <w:topLinePunct w:val="0"/>
        <w:autoSpaceDE/>
        <w:autoSpaceDN/>
        <w:bidi w:val="0"/>
        <w:adjustRightInd/>
        <w:snapToGrid/>
        <w:spacing w:line="400" w:lineRule="exact"/>
        <w:ind w:left="-720" w:leftChars="-300" w:right="0" w:rightChars="0" w:firstLine="720" w:firstLineChars="30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3.1评定标完成后，中标候选人有下列情形之一的，招标人应按规定取消中标候选人资格或废除授标：</w:t>
      </w:r>
    </w:p>
    <w:p w14:paraId="4B7A9CD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（1）以他人名义投标或者以其他方式弄虚作假骗取中标的；</w:t>
      </w:r>
    </w:p>
    <w:p w14:paraId="1388340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（2）与其他投标人串通投标或以行贿的手段谋取中标的；</w:t>
      </w:r>
    </w:p>
    <w:p w14:paraId="518C90A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（3）不是从本投标企业基本账户提交投标担保或以虚假方式提交投标保证金保函（保单）的；</w:t>
      </w:r>
    </w:p>
    <w:p w14:paraId="5D02D9C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（4）中标人于投标有效期终止之前撤回投标文件，或者排名第一的中标候选人放弃中标资格的；</w:t>
      </w:r>
    </w:p>
    <w:p w14:paraId="5735680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（5）因中标人过错而未能按照规定与招标人签订工程承包合同或中标人因不可抗力提出不能履行合同的；</w:t>
      </w:r>
    </w:p>
    <w:p w14:paraId="034597F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（6）因中标人过错而未能按照招标文件要求向招标人提交履约担保的；</w:t>
      </w:r>
    </w:p>
    <w:p w14:paraId="39E3E24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（7）中标单位拟派的项目负责人从投标截止时间起在其他建设工程担任项目负责人；</w:t>
      </w:r>
    </w:p>
    <w:p w14:paraId="1B1F375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（8）中标人被有关部门查实存在影响中标结果的违法行为，不符合中标条件的；</w:t>
      </w:r>
    </w:p>
    <w:p w14:paraId="496E3E5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（9）中标人在参加本项目投标时有本企业投标承诺书所列被依法限制或暂停承揽业务或停业的处罚的；</w:t>
      </w:r>
    </w:p>
    <w:p w14:paraId="6E84AF0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（10）招标文件明确规定可以废除授标的其他情形。</w:t>
      </w:r>
    </w:p>
    <w:p w14:paraId="718AB063">
      <w:pPr>
        <w:keepNext w:val="0"/>
        <w:keepLines w:val="0"/>
        <w:pageBreakBefore w:val="0"/>
        <w:widowControl w:val="0"/>
        <w:kinsoku/>
        <w:wordWrap/>
        <w:overflowPunct/>
        <w:topLinePunct w:val="0"/>
        <w:autoSpaceDE/>
        <w:autoSpaceDN/>
        <w:bidi w:val="0"/>
        <w:adjustRightInd/>
        <w:snapToGrid/>
        <w:spacing w:line="400" w:lineRule="exact"/>
        <w:ind w:left="-720" w:leftChars="-300" w:right="0" w:rightChars="0" w:firstLine="720" w:firstLineChars="30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757EF37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3.3 招标人有下列情形之一的，应依法承担相应的责任：</w:t>
      </w:r>
    </w:p>
    <w:p w14:paraId="3238B11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（1）无正当理由不发出中标通知书的；</w:t>
      </w:r>
    </w:p>
    <w:p w14:paraId="66685B4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（2）招标人不按照规定确定中标人的；</w:t>
      </w:r>
    </w:p>
    <w:p w14:paraId="5893B80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（3）中标通知书发出后无正当理由改变中标结果的；</w:t>
      </w:r>
    </w:p>
    <w:p w14:paraId="2480657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（4）无正当理由不与中标人签订工程承包合同的；</w:t>
      </w:r>
    </w:p>
    <w:p w14:paraId="747C94F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snapToGrid/>
          <w:color w:val="000000" w:themeColor="text1"/>
          <w:kern w:val="0"/>
          <w:sz w:val="24"/>
          <w:szCs w:val="24"/>
          <w:highlight w:val="none"/>
          <w:u w:val="none"/>
          <w:shd w:val="clear" w:color="auto" w:fill="FFFFFF"/>
          <w:lang w:val="en-US" w:eastAsia="zh-CN" w:bidi="ar-SA"/>
          <w14:textFill>
            <w14:solidFill>
              <w14:schemeClr w14:val="tx1"/>
            </w14:solidFill>
          </w14:textFill>
        </w:rPr>
        <w:t>（5）在签订工程承包合同时向中标人提出附加条件或者更改合同实质性内容的。</w:t>
      </w:r>
    </w:p>
    <w:p w14:paraId="764ACF96">
      <w:pP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br w:type="page"/>
      </w:r>
    </w:p>
    <w:p w14:paraId="2680555D">
      <w:pPr>
        <w:pStyle w:val="39"/>
        <w:keepNext/>
        <w:keepLines/>
        <w:tabs>
          <w:tab w:val="left" w:pos="885"/>
        </w:tabs>
        <w:spacing w:line="400" w:lineRule="exact"/>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324" w:name="_Toc31341"/>
      <w:bookmarkStart w:id="325" w:name="_Toc27896"/>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第二章</w:t>
      </w:r>
      <w:bookmarkStart w:id="326" w:name="_Hlt87793831"/>
      <w:bookmarkEnd w:id="326"/>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 xml:space="preserve"> 拟签订合同的主要条款</w:t>
      </w:r>
      <w:bookmarkEnd w:id="298"/>
      <w:bookmarkEnd w:id="299"/>
      <w:bookmarkEnd w:id="300"/>
      <w:bookmarkEnd w:id="301"/>
      <w:bookmarkEnd w:id="302"/>
      <w:bookmarkEnd w:id="303"/>
      <w:bookmarkEnd w:id="304"/>
      <w:bookmarkEnd w:id="305"/>
      <w:bookmarkEnd w:id="324"/>
      <w:bookmarkEnd w:id="325"/>
    </w:p>
    <w:p w14:paraId="028A984B">
      <w:pPr>
        <w:pStyle w:val="38"/>
        <w:rPr>
          <w:rFonts w:hint="eastAsia" w:asciiTheme="minorEastAsia" w:hAnsiTheme="minorEastAsia" w:eastAsiaTheme="minorEastAsia" w:cstheme="minorEastAsia"/>
          <w:color w:val="000000" w:themeColor="text1"/>
          <w:highlight w:val="none"/>
          <w14:textFill>
            <w14:solidFill>
              <w14:schemeClr w14:val="tx1"/>
            </w14:solidFill>
          </w14:textFill>
        </w:rPr>
      </w:pPr>
    </w:p>
    <w:bookmarkEnd w:id="306"/>
    <w:bookmarkEnd w:id="307"/>
    <w:p w14:paraId="5B0BC685">
      <w:pPr>
        <w:pStyle w:val="40"/>
        <w:keepNext/>
        <w:keepLines/>
        <w:ind w:firstLine="480"/>
        <w:jc w:val="both"/>
        <w:rPr>
          <w:rFonts w:hint="eastAsia" w:asciiTheme="minorEastAsia" w:hAnsiTheme="minorEastAsia" w:eastAsiaTheme="minorEastAsia" w:cstheme="minorEastAsia"/>
          <w:b/>
          <w:color w:val="000000" w:themeColor="text1"/>
          <w:kern w:val="2"/>
          <w:highlight w:val="none"/>
          <w14:textFill>
            <w14:solidFill>
              <w14:schemeClr w14:val="tx1"/>
            </w14:solidFill>
          </w14:textFill>
        </w:rPr>
      </w:pPr>
      <w:bookmarkStart w:id="327" w:name="_Toc19055"/>
      <w:bookmarkStart w:id="328" w:name="_Toc326916629"/>
      <w:bookmarkStart w:id="329" w:name="_Toc19931"/>
      <w:bookmarkStart w:id="330" w:name="_Toc18454"/>
      <w:bookmarkStart w:id="331" w:name="_Toc12651"/>
      <w:bookmarkStart w:id="332" w:name="_Toc7347"/>
      <w:bookmarkStart w:id="333" w:name="_Toc26552"/>
      <w:bookmarkStart w:id="334" w:name="_Toc322793288"/>
      <w:bookmarkStart w:id="335" w:name="_Toc28378"/>
      <w:bookmarkStart w:id="336" w:name="_Toc8407"/>
      <w:bookmarkStart w:id="337" w:name="_Toc26565"/>
      <w:bookmarkStart w:id="338" w:name="_Toc22879"/>
      <w:bookmarkStart w:id="339" w:name="_Toc21667"/>
      <w:bookmarkStart w:id="340" w:name="_Hlt69698722"/>
      <w:bookmarkStart w:id="341" w:name="_Hlt69698769"/>
      <w:bookmarkStart w:id="342" w:name="_Hlt69698741"/>
      <w:r>
        <w:rPr>
          <w:rFonts w:hint="eastAsia" w:asciiTheme="minorEastAsia" w:hAnsiTheme="minorEastAsia" w:eastAsiaTheme="minorEastAsia" w:cstheme="minorEastAsia"/>
          <w:b/>
          <w:color w:val="000000" w:themeColor="text1"/>
          <w:kern w:val="2"/>
          <w:highlight w:val="none"/>
          <w14:textFill>
            <w14:solidFill>
              <w14:schemeClr w14:val="tx1"/>
            </w14:solidFill>
          </w14:textFill>
        </w:rPr>
        <w:t>1 工程承包方式</w:t>
      </w:r>
      <w:bookmarkEnd w:id="327"/>
      <w:bookmarkEnd w:id="328"/>
      <w:bookmarkEnd w:id="329"/>
      <w:bookmarkEnd w:id="330"/>
      <w:bookmarkEnd w:id="331"/>
      <w:bookmarkEnd w:id="332"/>
      <w:bookmarkEnd w:id="333"/>
      <w:bookmarkEnd w:id="334"/>
      <w:bookmarkEnd w:id="335"/>
      <w:bookmarkEnd w:id="336"/>
      <w:bookmarkEnd w:id="337"/>
      <w:bookmarkEnd w:id="338"/>
      <w:bookmarkEnd w:id="339"/>
    </w:p>
    <w:p w14:paraId="127D77C7">
      <w:pPr>
        <w:pStyle w:val="38"/>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1.1承包人按中标价以总承包方式在规定的期限内对</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勘察、</w:t>
      </w:r>
      <w:r>
        <w:rPr>
          <w:rFonts w:hint="eastAsia" w:asciiTheme="minorEastAsia" w:hAnsiTheme="minorEastAsia" w:eastAsiaTheme="minorEastAsia" w:cstheme="minorEastAsia"/>
          <w:color w:val="000000" w:themeColor="text1"/>
          <w:highlight w:val="none"/>
          <w14:textFill>
            <w14:solidFill>
              <w14:schemeClr w14:val="tx1"/>
            </w14:solidFill>
          </w14:textFill>
        </w:rPr>
        <w:t>设计、施工（包工</w:t>
      </w:r>
      <w:bookmarkStart w:id="343" w:name="_Hlt87948212"/>
      <w:bookmarkEnd w:id="343"/>
      <w:r>
        <w:rPr>
          <w:rFonts w:hint="eastAsia" w:asciiTheme="minorEastAsia" w:hAnsiTheme="minorEastAsia" w:eastAsiaTheme="minorEastAsia" w:cstheme="minorEastAsia"/>
          <w:color w:val="000000" w:themeColor="text1"/>
          <w:highlight w:val="none"/>
          <w14:textFill>
            <w14:solidFill>
              <w14:schemeClr w14:val="tx1"/>
            </w14:solidFill>
          </w14:textFill>
        </w:rPr>
        <w:t>包料、包质量、包机械、包绿色安全文明施工、包工期等）进行总承包，不允许转包和违法分包，如承包人无相应专业资质，确需分包须与发包人协商并得到发包人和监理人同意并报工程主管部门备案。</w:t>
      </w:r>
    </w:p>
    <w:p w14:paraId="610509CE">
      <w:pPr>
        <w:pStyle w:val="38"/>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1.1.1 包工包料：材料符合招标文件要求</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及合同的相关约定</w:t>
      </w:r>
      <w:r>
        <w:rPr>
          <w:rFonts w:hint="eastAsia" w:asciiTheme="minorEastAsia" w:hAnsiTheme="minorEastAsia" w:eastAsiaTheme="minorEastAsia" w:cstheme="minorEastAsia"/>
          <w:color w:val="000000" w:themeColor="text1"/>
          <w:highlight w:val="none"/>
          <w14:textFill>
            <w14:solidFill>
              <w14:schemeClr w14:val="tx1"/>
            </w14:solidFill>
          </w14:textFill>
        </w:rPr>
        <w:t>，报验使用；办理用工保险。</w:t>
      </w:r>
    </w:p>
    <w:p w14:paraId="6F1A281D">
      <w:pPr>
        <w:pStyle w:val="38"/>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1.1.2 包质量：符合招标文件要求</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及合同有关质量的相关约定</w:t>
      </w:r>
      <w:r>
        <w:rPr>
          <w:rFonts w:hint="eastAsia" w:asciiTheme="minorEastAsia" w:hAnsiTheme="minorEastAsia" w:eastAsiaTheme="minorEastAsia" w:cstheme="minorEastAsia"/>
          <w:color w:val="000000" w:themeColor="text1"/>
          <w:highlight w:val="none"/>
          <w14:textFill>
            <w14:solidFill>
              <w14:schemeClr w14:val="tx1"/>
            </w14:solidFill>
          </w14:textFill>
        </w:rPr>
        <w:t>。</w:t>
      </w:r>
    </w:p>
    <w:p w14:paraId="49CBA812">
      <w:pPr>
        <w:wordWrap w:val="0"/>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1.1.3 包安全包文明施工：符合国家及省、市的相关规定及招标文件、合同的相关约定要求。</w:t>
      </w:r>
    </w:p>
    <w:p w14:paraId="0721E94B">
      <w:pPr>
        <w:pStyle w:val="38"/>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1.1.4 包工期：</w:t>
      </w:r>
      <w:r>
        <w:rPr>
          <w:rFonts w:hint="eastAsia"/>
          <w:snapToGrid w:val="0"/>
          <w:color w:val="000000" w:themeColor="text1"/>
          <w:kern w:val="0"/>
          <w:szCs w:val="21"/>
          <w:highlight w:val="none"/>
          <w14:textFill>
            <w14:solidFill>
              <w14:schemeClr w14:val="tx1"/>
            </w14:solidFill>
          </w14:textFill>
        </w:rPr>
        <w:t>本招标工程</w:t>
      </w:r>
      <w:r>
        <w:rPr>
          <w:rFonts w:hint="eastAsia" w:ascii="宋体" w:hAnsi="宋体" w:cs="宋体"/>
          <w:bCs/>
          <w:color w:val="000000" w:themeColor="text1"/>
          <w:szCs w:val="21"/>
          <w:highlight w:val="none"/>
          <w14:textFill>
            <w14:solidFill>
              <w14:schemeClr w14:val="tx1"/>
            </w14:solidFill>
          </w14:textFill>
        </w:rPr>
        <w:t>勘察、设计、施工</w:t>
      </w:r>
      <w:r>
        <w:rPr>
          <w:rFonts w:hint="eastAsia"/>
          <w:snapToGrid w:val="0"/>
          <w:color w:val="000000" w:themeColor="text1"/>
          <w:kern w:val="0"/>
          <w:szCs w:val="21"/>
          <w:highlight w:val="none"/>
          <w14:textFill>
            <w14:solidFill>
              <w14:schemeClr w14:val="tx1"/>
            </w14:solidFill>
          </w14:textFill>
        </w:rPr>
        <w:t>必须在招标</w:t>
      </w:r>
      <w:r>
        <w:rPr>
          <w:rFonts w:hint="eastAsia"/>
          <w:snapToGrid w:val="0"/>
          <w:color w:val="000000" w:themeColor="text1"/>
          <w:kern w:val="0"/>
          <w:szCs w:val="21"/>
          <w:highlight w:val="none"/>
          <w:lang w:val="en-US" w:eastAsia="zh-CN"/>
          <w14:textFill>
            <w14:solidFill>
              <w14:schemeClr w14:val="tx1"/>
            </w14:solidFill>
          </w14:textFill>
        </w:rPr>
        <w:t>文件</w:t>
      </w:r>
      <w:r>
        <w:rPr>
          <w:rFonts w:hint="eastAsia" w:ascii="宋体" w:hAnsi="宋体" w:eastAsia="宋体" w:cs="宋体"/>
          <w:color w:val="000000" w:themeColor="text1"/>
          <w:highlight w:val="none"/>
          <w14:textFill>
            <w14:solidFill>
              <w14:schemeClr w14:val="tx1"/>
            </w14:solidFill>
          </w14:textFill>
        </w:rPr>
        <w:t>规定</w:t>
      </w:r>
      <w:r>
        <w:rPr>
          <w:rFonts w:hint="eastAsia" w:ascii="宋体" w:hAnsi="宋体" w:eastAsia="宋体" w:cs="宋体"/>
          <w:color w:val="000000" w:themeColor="text1"/>
          <w:highlight w:val="none"/>
          <w:lang w:val="en-US" w:eastAsia="zh-CN"/>
          <w14:textFill>
            <w14:solidFill>
              <w14:schemeClr w14:val="tx1"/>
            </w14:solidFill>
          </w14:textFill>
        </w:rPr>
        <w:t>的</w:t>
      </w:r>
      <w:r>
        <w:rPr>
          <w:rFonts w:hint="eastAsia"/>
          <w:snapToGrid w:val="0"/>
          <w:color w:val="000000" w:themeColor="text1"/>
          <w:kern w:val="0"/>
          <w:szCs w:val="21"/>
          <w:highlight w:val="none"/>
          <w14:textFill>
            <w14:solidFill>
              <w14:schemeClr w14:val="tx1"/>
            </w14:solidFill>
          </w14:textFill>
        </w:rPr>
        <w:t>工期内完成</w:t>
      </w:r>
      <w:r>
        <w:rPr>
          <w:rFonts w:hint="eastAsia" w:asciiTheme="minorEastAsia" w:hAnsiTheme="minorEastAsia" w:eastAsiaTheme="minorEastAsia" w:cstheme="minorEastAsia"/>
          <w:color w:val="000000" w:themeColor="text1"/>
          <w:highlight w:val="none"/>
          <w14:textFill>
            <w14:solidFill>
              <w14:schemeClr w14:val="tx1"/>
            </w14:solidFill>
          </w14:textFill>
        </w:rPr>
        <w:t>。</w:t>
      </w:r>
    </w:p>
    <w:p w14:paraId="5DC2B73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 xml:space="preserve">1.2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限额设计要求：</w:t>
      </w:r>
    </w:p>
    <w:p w14:paraId="0C35371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1.2.1</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初步设计概算中的建安工程费不得超过招标文件明确的建安工程估算金额，</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施工图预算中的建安工程费不得超过初步设计概算中的建安工程费且不得超过建安工程费的中标价。</w:t>
      </w:r>
    </w:p>
    <w:p w14:paraId="6C5E2BD5">
      <w:pPr>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1.2.2 承包人在提交设计施工图时必须同时提交施工图预算。施工图预算作为承包人自我核算是否符合限额设计要求的依据。若造价咨询单位按施工图编制或审核的建安工程费高于前条1.2.1条规定时，承包人必须无条件对施工图进行修改，直至满足限额设计要求，不另行增加设计费，且由此造成发包人委托的造价咨询单位重复编制或审核施工图预算的费用由承包人承担，结算时在设计费中扣除。</w:t>
      </w:r>
    </w:p>
    <w:p w14:paraId="78691A86">
      <w:pPr>
        <w:pStyle w:val="53"/>
        <w:keepNext/>
        <w:keepLines/>
        <w:ind w:firstLine="480"/>
        <w:jc w:val="both"/>
        <w:rPr>
          <w:rFonts w:hint="eastAsia" w:asciiTheme="minorEastAsia" w:hAnsiTheme="minorEastAsia" w:eastAsiaTheme="minorEastAsia" w:cstheme="minorEastAsia"/>
          <w:b/>
          <w:color w:val="000000" w:themeColor="text1"/>
          <w:highlight w:val="none"/>
          <w14:textFill>
            <w14:solidFill>
              <w14:schemeClr w14:val="tx1"/>
            </w14:solidFill>
          </w14:textFill>
        </w:rPr>
      </w:pPr>
      <w:bookmarkStart w:id="344" w:name="_Toc469940920"/>
      <w:bookmarkStart w:id="345" w:name="_Toc27815"/>
      <w:bookmarkStart w:id="346" w:name="_Toc20951"/>
      <w:bookmarkStart w:id="347" w:name="_Toc16000"/>
      <w:bookmarkStart w:id="348" w:name="_Toc16582"/>
      <w:bookmarkStart w:id="349" w:name="_Toc4817"/>
      <w:bookmarkStart w:id="350" w:name="_Toc1359"/>
      <w:bookmarkStart w:id="351" w:name="_Toc10533"/>
      <w:bookmarkStart w:id="352" w:name="_Toc3936"/>
      <w:bookmarkStart w:id="353" w:name="_Toc5382"/>
      <w:bookmarkStart w:id="354" w:name="_Toc467587699"/>
      <w:bookmarkStart w:id="355" w:name="_Toc13383"/>
      <w:bookmarkStart w:id="356" w:name="_Toc16679"/>
      <w:r>
        <w:rPr>
          <w:rFonts w:hint="eastAsia" w:asciiTheme="minorEastAsia" w:hAnsiTheme="minorEastAsia" w:eastAsiaTheme="minorEastAsia" w:cstheme="minorEastAsia"/>
          <w:b/>
          <w:color w:val="000000" w:themeColor="text1"/>
          <w:highlight w:val="none"/>
          <w14:textFill>
            <w14:solidFill>
              <w14:schemeClr w14:val="tx1"/>
            </w14:solidFill>
          </w14:textFill>
        </w:rPr>
        <w:t>2 施工图工程量清单预算的编制原则</w:t>
      </w:r>
      <w:bookmarkEnd w:id="344"/>
      <w:bookmarkEnd w:id="345"/>
      <w:bookmarkEnd w:id="346"/>
      <w:bookmarkEnd w:id="347"/>
      <w:bookmarkEnd w:id="348"/>
      <w:bookmarkEnd w:id="349"/>
      <w:bookmarkEnd w:id="350"/>
      <w:bookmarkEnd w:id="351"/>
      <w:bookmarkEnd w:id="352"/>
      <w:bookmarkEnd w:id="353"/>
      <w:bookmarkEnd w:id="354"/>
      <w:bookmarkEnd w:id="355"/>
      <w:bookmarkEnd w:id="356"/>
    </w:p>
    <w:p w14:paraId="09A1E1C1">
      <w:pPr>
        <w:pStyle w:val="54"/>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2.1 施工图设计必须符合本项目限额设计要求。本项目的建安工程费预算价不得超过已批复概算中相应的建安工程费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且不得超过建安工程费的中标价</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。否则，承包人必须进行调整，直至符合限额设计要求为止。</w:t>
      </w:r>
    </w:p>
    <w:p w14:paraId="6FED40E9">
      <w:pPr>
        <w:spacing w:line="360" w:lineRule="auto"/>
        <w:ind w:firstLine="480" w:firstLineChars="200"/>
        <w:jc w:val="left"/>
        <w:rPr>
          <w:rFonts w:hint="eastAsia" w:asciiTheme="minorEastAsia" w:hAnsiTheme="minorEastAsia" w:eastAsiaTheme="minorEastAsia" w:cstheme="minorEastAsia"/>
          <w:i/>
          <w:strike/>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2.2</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施工图工程量清单预算价的编制：承包人根据招标文件及设计任务书等相关的文件完成本项目的</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勘察、</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设计工作，承包人设计的施工图经发包人确认后由发包人委托有资质的审图公司审查，施工图经审查合格后，由承包人编制的施工图工程量清单预算</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需经过发包人委托的第三方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造价咨询单位审核</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通过后，并报</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财政局投资评审中心</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审核</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。施工图工程量清单预算的编制依据为：（1）</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《建设工程工程量清单计价标准》（GB/T50500-2024）</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工程量按施工图计算，主要材料价格按预算编制时（招标文件所规定的设计预算编制工期内）当季</w:t>
      </w:r>
      <w:r>
        <w:rPr>
          <w:rFonts w:hint="eastAsia" w:asciiTheme="minorEastAsia" w:hAnsiTheme="minorEastAsia" w:eastAsiaTheme="minorEastAsia" w:cstheme="minorEastAsia"/>
          <w:color w:val="000000" w:themeColor="text1"/>
          <w:kern w:val="0"/>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工程造价管理机构发布的人工、材料、机械台班综合单价（若</w:t>
      </w:r>
      <w:r>
        <w:rPr>
          <w:rFonts w:hint="eastAsia" w:asciiTheme="minorEastAsia" w:hAnsiTheme="minorEastAsia" w:eastAsiaTheme="minorEastAsia" w:cstheme="minorEastAsia"/>
          <w:color w:val="000000" w:themeColor="text1"/>
          <w:kern w:val="0"/>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未发布信息则依次参照广东省韶关市、广东省清远市、广东省肇庆市、广东省佛山市、广东省东莞市、广东省广州市，若以上城市均没有信息价则按市场询价，市场询价方式优先从京东、国美、苏宁等大型电商平台查询）执行、经发包人确认的材料价格或暂定材料价格计算，规费、税金等其它费用则按有关规定计算（费率有上、下限的按平均值计算），预算包干费按2018年广东省计价办法的规定计算，赶工措施费不另行计算。</w:t>
      </w:r>
    </w:p>
    <w:p w14:paraId="34CE21CF">
      <w:pPr>
        <w:pStyle w:val="4"/>
        <w:keepNext/>
        <w:keepLines/>
        <w:spacing w:line="360" w:lineRule="auto"/>
        <w:ind w:firstLine="480"/>
        <w:jc w:val="both"/>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pPr>
      <w:bookmarkStart w:id="357" w:name="_Toc6675"/>
      <w:bookmarkStart w:id="358" w:name="_Toc4412"/>
      <w:bookmarkStart w:id="359" w:name="_Toc11307"/>
      <w:bookmarkStart w:id="360" w:name="_Toc755"/>
      <w:bookmarkStart w:id="361" w:name="_Toc2286"/>
      <w:bookmarkStart w:id="362" w:name="_Toc30405"/>
      <w:bookmarkStart w:id="363" w:name="_Toc28537"/>
      <w:bookmarkStart w:id="364" w:name="_Toc3958"/>
      <w:bookmarkStart w:id="365" w:name="_Toc176"/>
      <w:bookmarkStart w:id="366" w:name="_Toc466640604"/>
      <w:bookmarkStart w:id="367" w:name="_Toc25565"/>
      <w:bookmarkStart w:id="368" w:name="_Toc13437"/>
      <w:bookmarkStart w:id="369" w:name="_Hlt87948449"/>
      <w:bookmarkStart w:id="370" w:name="_Hlt87948447"/>
      <w:r>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t>3 工程结算原则</w:t>
      </w:r>
      <w:bookmarkEnd w:id="357"/>
      <w:bookmarkEnd w:id="358"/>
      <w:bookmarkEnd w:id="359"/>
      <w:bookmarkEnd w:id="360"/>
      <w:bookmarkEnd w:id="361"/>
      <w:bookmarkEnd w:id="362"/>
      <w:bookmarkEnd w:id="363"/>
      <w:bookmarkEnd w:id="364"/>
      <w:bookmarkEnd w:id="365"/>
      <w:bookmarkEnd w:id="366"/>
      <w:bookmarkEnd w:id="367"/>
      <w:bookmarkEnd w:id="368"/>
    </w:p>
    <w:p w14:paraId="203FD975">
      <w:pPr>
        <w:spacing w:line="360" w:lineRule="auto"/>
        <w:ind w:firstLine="480" w:firstLineChars="20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3.1</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勘察、</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设计费结算原则</w:t>
      </w:r>
    </w:p>
    <w:p w14:paraId="73EDBF7F">
      <w:pPr>
        <w:spacing w:line="360" w:lineRule="auto"/>
        <w:ind w:firstLine="480" w:firstLineChars="200"/>
        <w:jc w:val="left"/>
        <w:rPr>
          <w:rFonts w:hint="default" w:asciiTheme="minorEastAsia" w:hAnsiTheme="minorEastAsia" w:eastAsiaTheme="minorEastAsia" w:cstheme="minorEastAsia"/>
          <w:color w:val="000000" w:themeColor="text1"/>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3.1.1勘察费结算价：投标人在勘察费（含测绘费）的最高投标限价范围内进行自主报价，结算时勘察费、测绘费按实结算。</w:t>
      </w:r>
    </w:p>
    <w:p w14:paraId="12A55B10">
      <w:pPr>
        <w:spacing w:line="360" w:lineRule="auto"/>
        <w:ind w:firstLine="960" w:firstLineChars="400"/>
        <w:jc w:val="left"/>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设计</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费结算价：按经审定的建安工程费最高投标限价×设计费中标费率进行结算</w:t>
      </w:r>
      <w:r>
        <w:rPr>
          <w:rFonts w:hint="eastAsia" w:asciiTheme="minorEastAsia" w:hAnsiTheme="minorEastAsia" w:eastAsiaTheme="minorEastAsia" w:cstheme="minorEastAsia"/>
          <w:color w:val="000000" w:themeColor="text1"/>
          <w:kern w:val="1"/>
          <w:szCs w:val="24"/>
          <w:highlight w:val="none"/>
          <w14:textFill>
            <w14:solidFill>
              <w14:schemeClr w14:val="tx1"/>
            </w14:solidFill>
          </w14:textFill>
        </w:rPr>
        <w:t>。</w:t>
      </w:r>
    </w:p>
    <w:p w14:paraId="300B2F64">
      <w:pPr>
        <w:spacing w:line="360" w:lineRule="auto"/>
        <w:ind w:firstLine="480" w:firstLineChars="200"/>
        <w:jc w:val="left"/>
        <w:rPr>
          <w:rFonts w:hint="default" w:asciiTheme="minorEastAsia" w:hAnsiTheme="minorEastAsia" w:eastAsiaTheme="minorEastAsia" w:cstheme="minorEastAsia"/>
          <w:color w:val="000000" w:themeColor="text1"/>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3.1.2勘察设计费在中标价范围内按实结算，结算价超中标价时按中标价结算。</w:t>
      </w:r>
    </w:p>
    <w:p w14:paraId="732A3D05">
      <w:pPr>
        <w:spacing w:line="360" w:lineRule="auto"/>
        <w:ind w:firstLine="480" w:firstLineChars="200"/>
        <w:jc w:val="left"/>
        <w:rPr>
          <w:rFonts w:hint="eastAsia" w:asciiTheme="minorEastAsia" w:hAnsiTheme="minorEastAsia" w:eastAsiaTheme="minorEastAsia" w:cstheme="minorEastAsia"/>
          <w:strike/>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3.2工程费用结算基准价的确定：以</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本章</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第2条工程预算价编制原则编制的经审核后的预算价乘以（1－承包人中标下浮率）作为此工程项目的建安工程结算基准价，其分部分项工程量清单对应的综合单价即为结算基准单价。</w:t>
      </w:r>
    </w:p>
    <w:p w14:paraId="469E3744">
      <w:pPr>
        <w:spacing w:line="360" w:lineRule="auto"/>
        <w:ind w:firstLine="480" w:firstLineChars="200"/>
        <w:jc w:val="left"/>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3.3</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费用结算原则：发包人在不增减建设规模的情况下，结算价即为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结算基准价</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，但下列情形除外：</w:t>
      </w:r>
    </w:p>
    <w:p w14:paraId="26D1DB1C">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3.3.1 国家政策性人工价差调整：</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调整方式按省、市有关规定调整。</w:t>
      </w:r>
    </w:p>
    <w:p w14:paraId="1883FD61">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3.3.2 当后继相关法律、法规、规章和政策引起安全文明施工费发生变化时，应当按照省建设行政主管部门或省、韶关市、</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工程造价管理机构据此发布的规定调整；</w:t>
      </w:r>
    </w:p>
    <w:p w14:paraId="665781D7">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3.3.3 当后继相关法律、法规、规章和政策引起规费、税金等发生变化时，应当按照省政府或省、韶关市、</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有关主管部门据此发布的规定调整；</w:t>
      </w:r>
    </w:p>
    <w:p w14:paraId="569FF8D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3.3.4 当施工期间市场物价发生涨落，引起工程所在地工程造价管理机构发布的价格信息中材料价格变化，主要建筑材料价格浮动超过±5%（指钢材、商品砼、商品砂浆、水泥、砂、石等主要材料），则双方同意调整5％以外部分价差；</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人工费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根据国家政策按实调整；机械费浮动超过±10%，双方同意调整10％以外部分价差。其工、料、机消耗量以发包人确认的</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施工图工程量清单预算</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及进度中的消耗量为准。</w:t>
      </w:r>
    </w:p>
    <w:p w14:paraId="443527C1">
      <w:pPr>
        <w:spacing w:line="440" w:lineRule="exact"/>
        <w:ind w:firstLine="482" w:firstLineChars="200"/>
        <w:rPr>
          <w:rFonts w:hint="eastAsia" w:asciiTheme="minorEastAsia" w:hAnsiTheme="minorEastAsia" w:eastAsiaTheme="minorEastAsia" w:cstheme="minorEastAsia"/>
          <w:b/>
          <w:bCs/>
          <w:color w:val="000000" w:themeColor="text1"/>
          <w:kern w:val="0"/>
          <w:szCs w:val="24"/>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4"/>
          <w:highlight w:val="none"/>
          <w:u w:val="single"/>
          <w14:textFill>
            <w14:solidFill>
              <w14:schemeClr w14:val="tx1"/>
            </w14:solidFill>
          </w14:textFill>
        </w:rPr>
        <w:t>注：人工费、材料单价、机械台班的价差调整基数是以施工当季《</w:t>
      </w:r>
      <w:r>
        <w:rPr>
          <w:rFonts w:hint="eastAsia" w:asciiTheme="minorEastAsia" w:hAnsiTheme="minorEastAsia" w:eastAsiaTheme="minorEastAsia" w:cstheme="minorEastAsia"/>
          <w:b/>
          <w:bCs/>
          <w:color w:val="000000" w:themeColor="text1"/>
          <w:kern w:val="0"/>
          <w:szCs w:val="24"/>
          <w:highlight w:val="none"/>
          <w:u w:val="single"/>
          <w:lang w:val="en-US" w:eastAsia="zh-CN"/>
          <w14:textFill>
            <w14:solidFill>
              <w14:schemeClr w14:val="tx1"/>
            </w14:solidFill>
          </w14:textFill>
        </w:rPr>
        <w:t>仁化县</w:t>
      </w:r>
      <w:r>
        <w:rPr>
          <w:rFonts w:hint="eastAsia" w:asciiTheme="minorEastAsia" w:hAnsiTheme="minorEastAsia" w:eastAsiaTheme="minorEastAsia" w:cstheme="minorEastAsia"/>
          <w:b/>
          <w:bCs/>
          <w:color w:val="000000" w:themeColor="text1"/>
          <w:kern w:val="0"/>
          <w:szCs w:val="24"/>
          <w:highlight w:val="none"/>
          <w:u w:val="single"/>
          <w14:textFill>
            <w14:solidFill>
              <w14:schemeClr w14:val="tx1"/>
            </w14:solidFill>
          </w14:textFill>
        </w:rPr>
        <w:t>建筑工程造价信息》</w:t>
      </w:r>
      <w:r>
        <w:rPr>
          <w:rFonts w:hint="eastAsia" w:asciiTheme="minorEastAsia" w:hAnsiTheme="minorEastAsia" w:eastAsiaTheme="minorEastAsia" w:cstheme="minorEastAsia"/>
          <w:b/>
          <w:bCs/>
          <w:color w:val="000000" w:themeColor="text1"/>
          <w:szCs w:val="24"/>
          <w:highlight w:val="none"/>
          <w:u w:val="single"/>
          <w14:textFill>
            <w14:solidFill>
              <w14:schemeClr w14:val="tx1"/>
            </w14:solidFill>
          </w14:textFill>
        </w:rPr>
        <w:t>（如信息价没有时参考施工当月&lt;韶关建筑工程造价信息&gt;）</w:t>
      </w:r>
      <w:r>
        <w:rPr>
          <w:rFonts w:hint="eastAsia" w:asciiTheme="minorEastAsia" w:hAnsiTheme="minorEastAsia" w:eastAsiaTheme="minorEastAsia" w:cstheme="minorEastAsia"/>
          <w:b/>
          <w:bCs/>
          <w:color w:val="000000" w:themeColor="text1"/>
          <w:kern w:val="0"/>
          <w:szCs w:val="24"/>
          <w:highlight w:val="none"/>
          <w:u w:val="single"/>
          <w14:textFill>
            <w14:solidFill>
              <w14:schemeClr w14:val="tx1"/>
            </w14:solidFill>
          </w14:textFill>
        </w:rPr>
        <w:t>公布的信息价（包括人工费、材料单价、机械台班）为F1与编制施工图工程量清单预算当季</w:t>
      </w:r>
      <w:r>
        <w:rPr>
          <w:rFonts w:hint="eastAsia" w:asciiTheme="minorEastAsia" w:hAnsiTheme="minorEastAsia" w:eastAsiaTheme="minorEastAsia" w:cstheme="minorEastAsia"/>
          <w:b/>
          <w:color w:val="000000" w:themeColor="text1"/>
          <w:kern w:val="0"/>
          <w:szCs w:val="24"/>
          <w:highlight w:val="none"/>
          <w:u w:val="single"/>
          <w14:textFill>
            <w14:solidFill>
              <w14:schemeClr w14:val="tx1"/>
            </w14:solidFill>
          </w14:textFill>
        </w:rPr>
        <w:t>（招标文件所规定的设计预算编制工期内）</w:t>
      </w:r>
      <w:r>
        <w:rPr>
          <w:rFonts w:hint="eastAsia" w:asciiTheme="minorEastAsia" w:hAnsiTheme="minorEastAsia" w:eastAsiaTheme="minorEastAsia" w:cstheme="minorEastAsia"/>
          <w:b/>
          <w:bCs/>
          <w:color w:val="000000" w:themeColor="text1"/>
          <w:kern w:val="0"/>
          <w:szCs w:val="24"/>
          <w:highlight w:val="none"/>
          <w:u w:val="single"/>
          <w14:textFill>
            <w14:solidFill>
              <w14:schemeClr w14:val="tx1"/>
            </w14:solidFill>
          </w14:textFill>
        </w:rPr>
        <w:t>《</w:t>
      </w:r>
      <w:r>
        <w:rPr>
          <w:rFonts w:hint="eastAsia" w:asciiTheme="minorEastAsia" w:hAnsiTheme="minorEastAsia" w:eastAsiaTheme="minorEastAsia" w:cstheme="minorEastAsia"/>
          <w:b/>
          <w:bCs/>
          <w:color w:val="000000" w:themeColor="text1"/>
          <w:kern w:val="0"/>
          <w:szCs w:val="24"/>
          <w:highlight w:val="none"/>
          <w:u w:val="single"/>
          <w:lang w:val="en-US" w:eastAsia="zh-CN"/>
          <w14:textFill>
            <w14:solidFill>
              <w14:schemeClr w14:val="tx1"/>
            </w14:solidFill>
          </w14:textFill>
        </w:rPr>
        <w:t>仁化县</w:t>
      </w:r>
      <w:r>
        <w:rPr>
          <w:rFonts w:hint="eastAsia" w:asciiTheme="minorEastAsia" w:hAnsiTheme="minorEastAsia" w:eastAsiaTheme="minorEastAsia" w:cstheme="minorEastAsia"/>
          <w:b/>
          <w:bCs/>
          <w:color w:val="000000" w:themeColor="text1"/>
          <w:kern w:val="0"/>
          <w:szCs w:val="24"/>
          <w:highlight w:val="none"/>
          <w:u w:val="single"/>
          <w14:textFill>
            <w14:solidFill>
              <w14:schemeClr w14:val="tx1"/>
            </w14:solidFill>
          </w14:textFill>
        </w:rPr>
        <w:t>建筑工程造价信息》</w:t>
      </w:r>
      <w:r>
        <w:rPr>
          <w:rFonts w:hint="eastAsia" w:asciiTheme="minorEastAsia" w:hAnsiTheme="minorEastAsia" w:eastAsiaTheme="minorEastAsia" w:cstheme="minorEastAsia"/>
          <w:b/>
          <w:bCs/>
          <w:color w:val="000000" w:themeColor="text1"/>
          <w:szCs w:val="24"/>
          <w:highlight w:val="none"/>
          <w:u w:val="single"/>
          <w14:textFill>
            <w14:solidFill>
              <w14:schemeClr w14:val="tx1"/>
            </w14:solidFill>
          </w14:textFill>
        </w:rPr>
        <w:t>（如信息价没有时参考预算编制当月</w:t>
      </w:r>
      <w:r>
        <w:rPr>
          <w:rFonts w:hint="eastAsia" w:asciiTheme="minorEastAsia" w:hAnsiTheme="minorEastAsia" w:eastAsiaTheme="minorEastAsia" w:cstheme="minorEastAsia"/>
          <w:b/>
          <w:color w:val="000000" w:themeColor="text1"/>
          <w:kern w:val="0"/>
          <w:szCs w:val="24"/>
          <w:highlight w:val="none"/>
          <w:u w:val="single"/>
          <w14:textFill>
            <w14:solidFill>
              <w14:schemeClr w14:val="tx1"/>
            </w14:solidFill>
          </w14:textFill>
        </w:rPr>
        <w:t>（招标文件所规定的设计预算编制工期内）</w:t>
      </w:r>
      <w:r>
        <w:rPr>
          <w:rFonts w:hint="eastAsia" w:asciiTheme="minorEastAsia" w:hAnsiTheme="minorEastAsia" w:eastAsiaTheme="minorEastAsia" w:cstheme="minorEastAsia"/>
          <w:b/>
          <w:bCs/>
          <w:color w:val="000000" w:themeColor="text1"/>
          <w:szCs w:val="24"/>
          <w:highlight w:val="none"/>
          <w:u w:val="single"/>
          <w14:textFill>
            <w14:solidFill>
              <w14:schemeClr w14:val="tx1"/>
            </w14:solidFill>
          </w14:textFill>
        </w:rPr>
        <w:t>&lt;韶关建筑工程造价信息&gt;）</w:t>
      </w:r>
      <w:r>
        <w:rPr>
          <w:rFonts w:hint="eastAsia" w:asciiTheme="minorEastAsia" w:hAnsiTheme="minorEastAsia" w:eastAsiaTheme="minorEastAsia" w:cstheme="minorEastAsia"/>
          <w:b/>
          <w:bCs/>
          <w:color w:val="000000" w:themeColor="text1"/>
          <w:kern w:val="0"/>
          <w:szCs w:val="24"/>
          <w:highlight w:val="none"/>
          <w:u w:val="single"/>
          <w14:textFill>
            <w14:solidFill>
              <w14:schemeClr w14:val="tx1"/>
            </w14:solidFill>
          </w14:textFill>
        </w:rPr>
        <w:t>公布的信息价（包括人工费、材料单价、机械台班）F0比较。</w:t>
      </w:r>
    </w:p>
    <w:p w14:paraId="37A3F831">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1）人工费调整方式：按省、市有关规定调整。</w:t>
      </w:r>
    </w:p>
    <w:p w14:paraId="2C0380D6">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2）材料补差方式：</w:t>
      </w:r>
    </w:p>
    <w:p w14:paraId="50240B22">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调价系数A=（F1-F0）÷F0×100%</w:t>
      </w:r>
    </w:p>
    <w:p w14:paraId="22E220CC">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当材料涨价时，材料补差= F0×（A-5%），当材料跌价时，材料补差= F0×（A+5%），材料补差只计算相应的规费和税金。</w:t>
      </w:r>
    </w:p>
    <w:p w14:paraId="2DCF655F">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3）施工机械使用费补差方式：</w:t>
      </w:r>
    </w:p>
    <w:p w14:paraId="0DDF170A">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调价系数A=（F1-F0）÷F0×100%</w:t>
      </w:r>
    </w:p>
    <w:p w14:paraId="24B5ACA7">
      <w:pPr>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当施工机械台班费涨价时，机械台班补差= F0×（A-10%），当施工机械台班费跌价时，机械台班补差= F0×（A+10%）， 施工机械使用费补差只计算相应的规费和税金。</w:t>
      </w:r>
    </w:p>
    <w:p w14:paraId="5FCA9015">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4）若项目规模、建设标准等发生变化，因变化而发生的措施项目费结算时进行相应增减。</w:t>
      </w:r>
    </w:p>
    <w:p w14:paraId="032C5537">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5）施工合同履行期间，由于非承包人原因导致工程变更的，发、承包双方应当按照《</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建设工程工程量清单计价标准</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GB/T50500-2024</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）和省的有关规定，依据实际变更项目调整工程价款。工程变更引起工程量发生变化，出现本合同价款调整方式第3.3.5款情形的，应当按照其规定调整；其他情形的，按照以下规定调整：</w:t>
      </w:r>
    </w:p>
    <w:p w14:paraId="662934E0">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①结算基准价中有适用于变更工程项目的，按照该项目的单价或合价调整；</w:t>
      </w:r>
    </w:p>
    <w:p w14:paraId="5C96A918">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②结算基准价中没有适用、只有类似于变更工程项目的，可在合理范围内参照类似项目的单价或合价调整；</w:t>
      </w:r>
    </w:p>
    <w:p w14:paraId="10E0BB8E">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③结算基准价中没有适用也没有类似于变更工程项目的，根据变更工程资料、计量规则和计价办法、施工期间工程造价管理机构发布的价格信息，按本结算原则第3.3.5款重新确定综合单价后，相应调整工程价款；</w:t>
      </w:r>
    </w:p>
    <w:p w14:paraId="65DD9695">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④结算基准价中没有适用也没有类似于变更工程项目，且施工期间工程造价管理机构发布的价格信息缺项的，根据变更工程资料、计量规则、计价办法和通过市场调查等的有合法依据的市场价格，按本原则第3.3.5条提出变更工程项目的单价或合价，经发、承包双方确认后调整；</w:t>
      </w:r>
    </w:p>
    <w:p w14:paraId="03A5169B">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⑤如发包人只调整材料的等级、规格或品牌，则其综合单价按结算基准价中单价＋该项材料的价差（经发包人审定后的材料单价-结算基准价中的材料单价）进行调整，规费、税金按有关规定调整。</w:t>
      </w:r>
    </w:p>
    <w:p w14:paraId="47B400A0">
      <w:pPr>
        <w:spacing w:line="360" w:lineRule="auto"/>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6）建设工程完工后，发、承包双方和受其委托具有相应资质的工程造价咨询企业必须按照《</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建设工程工程量清单计价标准</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GB/T50500-2024</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）和省的有关规定办理竣工结算。</w:t>
      </w:r>
    </w:p>
    <w:p w14:paraId="5BBE6D4D">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3.3.5 工程造价调整项目若是结算基准价中没有的项目，其造价调整如下：</w:t>
      </w:r>
    </w:p>
    <w:p w14:paraId="253A3E8D">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按（1）《</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建设工程工程量清单计价标准</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GB/T50500-2024</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2018年广东省建设工程计价依据（包括2018年《广东省市政工程综合定额》、2018年《广东省房屋建筑与装饰工程综合定额》、2018年《广东省通用安装工程综合定额》、2018年《广东省园林绿化工程综合定额》、2018年《广东省建设工程施工机具台班费用编制规则》），工程量按发、承包双方签证确认的、应予计量的实际完成的工程量计算，主要材料价格按施工同期工程所在地工程造价管理机构发布的价格信息中的综合单价计算，工程所在地工程造价管理机构发布的价格信息中参考价没有的材料价由发、承包双方市场询价确定，规费、税金等其它费用则按有关规定计算（费率有上、下限的以下限计算），预算包干费及赶工措施费不予计算。经发包人或其指定的有关单位审核，经审核后的造价按承包人的建安工程费中标下浮率下浮后作为工程结算价。</w:t>
      </w:r>
    </w:p>
    <w:p w14:paraId="65EE150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清单项目如只单独调整人工、材料、机械台班价差的，其人工、材料、机械台班消耗量均以审定施工图预算中的该清单项目的人工、材料、机械台班消耗量为准。</w:t>
      </w:r>
    </w:p>
    <w:p w14:paraId="5A12654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承包人不得以不完全了解现场情况为理由，提出额外付款或延长工期等要求。对此类要求，发包人不作任何考虑及答复。</w:t>
      </w:r>
    </w:p>
    <w:p w14:paraId="0A7AF76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合同履行期间，由于承包人原因导致发生设计变更或现场签证的，由此增加的工程造价费用，由承包人自行承担，发包人不予以考虑和补偿，同时按相关违约条款处罚。</w:t>
      </w:r>
    </w:p>
    <w:p w14:paraId="54D8B074">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 xml:space="preserve">    3.4 如发包人减少建设规模，则</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根据</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经发包人确认的预算书</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扣减减少</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部分工程造价。</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最终结算价由</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财政局投资评审中心审定为准</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 xml:space="preserve">。 </w:t>
      </w:r>
    </w:p>
    <w:p w14:paraId="4AC7E498">
      <w:pPr>
        <w:spacing w:line="360" w:lineRule="auto"/>
        <w:rPr>
          <w:rFonts w:hint="eastAsia" w:asciiTheme="minorEastAsia" w:hAnsiTheme="minorEastAsia" w:eastAsiaTheme="minorEastAsia" w:cstheme="minorEastAsia"/>
          <w:strike/>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3.5 预备费：</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由发包人掌握使用，不发生时不计入结算总价。使用范围用于以下情形：</w:t>
      </w:r>
    </w:p>
    <w:p w14:paraId="4D2F6EBF">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（1）由于发包人的要求导致发生设计变更或合同约定调整因素出现时的工程价款调整以及发生的索赔、现场签证等，其工程量按实调整，结算时按实际施工工作量及招标文件、合同约定进行结算，</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不发生时不计入结算总价</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p>
    <w:p w14:paraId="60EE5A42">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（2）国家政策变化导致的调整。</w:t>
      </w:r>
    </w:p>
    <w:p w14:paraId="520FB0E5">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（3）施工期间市场物价涨落，引起工程所在地工程造价管理机构发布的价格信息中材料价格变化，主要建筑材料（具体参照第3.3.4条款）价格浮动超过+5%的。</w:t>
      </w:r>
    </w:p>
    <w:p w14:paraId="33EC5932">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（4）施工合同签订时尚未确定或者不可预见的所需材料、设备、服务的采购。结算时按实际发生根据本招标文件的工程结算原则第3.3.5款进行结算。</w:t>
      </w:r>
    </w:p>
    <w:p w14:paraId="791D0F73">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（5）因不可预见的原因施工局部调整或施工技术工艺调整或应急工作需要发生的工程量。</w:t>
      </w:r>
    </w:p>
    <w:p w14:paraId="71947CF9">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（6）土石方工程等相应的投资概算范围之外的及因地质情况引起的基础变更的工程价款调整：其工程量按实调整，结算时按实际施工工作量及招标文件、合同约定进行结算。</w:t>
      </w:r>
    </w:p>
    <w:p w14:paraId="20EAC7DF">
      <w:pPr>
        <w:spacing w:line="500" w:lineRule="exact"/>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3.6 预算包干费：根据2018年《广东省市政工程综合定额》、2018年《广东省房屋建筑与装饰工程综合定额》、2018年《广东省通用安装工程综合定额》、2018年《广东省园林绿化工程综合定额》，以各专业分部分项的人工费与施工机具费之和为基础计算预算包干费。本工程的预算包干内容包括：按《广东省建设工程计价依据（2018）》相关规定。</w:t>
      </w:r>
    </w:p>
    <w:p w14:paraId="08A75463">
      <w:pPr>
        <w:spacing w:line="500" w:lineRule="exact"/>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3.7本工程结算不另行计取高温补贴费用、预算编制费、专业分包总包服务及配合费、设计优化及修改增加的费用。</w:t>
      </w:r>
    </w:p>
    <w:p w14:paraId="5F346420">
      <w:pPr>
        <w:spacing w:line="500" w:lineRule="exact"/>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3.8 本工程暂估价（若有）为发包人用于支付必然发生但暂时不能确定价格的材料、工程设备的单价以及专业工程的金额，其结算原则按本章“2～3 工程结算原则”有关条款进行结算，结算时不得超过预算中所列相应的暂估价。</w:t>
      </w:r>
    </w:p>
    <w:p w14:paraId="72F28E1E">
      <w:pPr>
        <w:spacing w:line="500" w:lineRule="exact"/>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3.9 因本项目为设计、施工总承包，如果设计图纸、施工图预算由于设计深度原因导致的设计变更，不另行增加费用。</w:t>
      </w:r>
    </w:p>
    <w:p w14:paraId="00025507">
      <w:pPr>
        <w:spacing w:line="500" w:lineRule="exact"/>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3.10 项目工程费用最终结算价以</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财政局投资评审中心的审定意见为准：若最终结算价超过中标价，则按中标价结算；若最终结算价未超过中标价，则按</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财政局投资评审中心审定的结算价进行结算。</w:t>
      </w:r>
    </w:p>
    <w:bookmarkEnd w:id="369"/>
    <w:bookmarkEnd w:id="370"/>
    <w:p w14:paraId="70D6157D">
      <w:pPr>
        <w:pStyle w:val="40"/>
        <w:keepNext/>
        <w:keepLines/>
        <w:spacing w:line="500" w:lineRule="exact"/>
        <w:ind w:firstLine="480"/>
        <w:jc w:val="both"/>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pPr>
      <w:bookmarkStart w:id="371" w:name="_Hlt112206782"/>
      <w:bookmarkEnd w:id="371"/>
      <w:bookmarkStart w:id="372" w:name="_Toc16793"/>
      <w:bookmarkStart w:id="373" w:name="_Toc24211"/>
      <w:bookmarkStart w:id="374" w:name="_Toc322793290"/>
      <w:bookmarkStart w:id="375" w:name="_Toc15300"/>
      <w:bookmarkStart w:id="376" w:name="_Toc3897"/>
      <w:bookmarkStart w:id="377" w:name="_Toc14810"/>
      <w:bookmarkStart w:id="378" w:name="_Toc326916631"/>
      <w:bookmarkStart w:id="379" w:name="_Toc29998"/>
      <w:bookmarkStart w:id="380" w:name="_Toc30894"/>
      <w:bookmarkStart w:id="381" w:name="_Toc11208"/>
      <w:bookmarkStart w:id="382" w:name="_Toc2973"/>
      <w:bookmarkStart w:id="383" w:name="_Toc23408"/>
      <w:bookmarkStart w:id="384" w:name="_Toc20983"/>
      <w:bookmarkStart w:id="385" w:name="_Hlt87951777"/>
      <w:r>
        <w:rPr>
          <w:rFonts w:hint="eastAsia" w:asciiTheme="minorEastAsia" w:hAnsiTheme="minorEastAsia" w:eastAsiaTheme="minorEastAsia" w:cstheme="minorEastAsia"/>
          <w:b/>
          <w:color w:val="000000" w:themeColor="text1"/>
          <w:kern w:val="2"/>
          <w:szCs w:val="24"/>
          <w:highlight w:val="none"/>
          <w14:textFill>
            <w14:solidFill>
              <w14:schemeClr w14:val="tx1"/>
            </w14:solidFill>
          </w14:textFill>
        </w:rPr>
        <w:t>4 工程付款办法</w:t>
      </w:r>
      <w:bookmarkEnd w:id="372"/>
      <w:bookmarkEnd w:id="373"/>
      <w:bookmarkEnd w:id="374"/>
      <w:bookmarkEnd w:id="375"/>
      <w:bookmarkEnd w:id="376"/>
      <w:bookmarkEnd w:id="377"/>
      <w:bookmarkEnd w:id="378"/>
      <w:bookmarkEnd w:id="379"/>
      <w:bookmarkEnd w:id="380"/>
      <w:bookmarkEnd w:id="381"/>
      <w:bookmarkEnd w:id="382"/>
      <w:bookmarkEnd w:id="383"/>
      <w:bookmarkEnd w:id="384"/>
    </w:p>
    <w:bookmarkEnd w:id="385"/>
    <w:p w14:paraId="321EF06C">
      <w:pPr>
        <w:pStyle w:val="38"/>
        <w:spacing w:line="500" w:lineRule="exact"/>
        <w:ind w:firstLine="480"/>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bookmarkStart w:id="386" w:name="_Hlt66608388"/>
      <w:bookmarkEnd w:id="386"/>
      <w:bookmarkStart w:id="387" w:name="_Hlt70150985"/>
      <w:bookmarkEnd w:id="387"/>
      <w:bookmarkStart w:id="388" w:name="_Hlt69700007"/>
      <w:bookmarkEnd w:id="388"/>
      <w:bookmarkStart w:id="389" w:name="_Hlt66591689"/>
      <w:bookmarkEnd w:id="389"/>
      <w:bookmarkStart w:id="390" w:name="_Hlt69114106"/>
      <w:bookmarkEnd w:id="390"/>
      <w:bookmarkStart w:id="391" w:name="_Hlt88976467"/>
      <w:bookmarkEnd w:id="391"/>
      <w:bookmarkStart w:id="392" w:name="_Hlt69669774"/>
      <w:bookmarkEnd w:id="392"/>
      <w:bookmarkStart w:id="393" w:name="_Hlt66593437"/>
      <w:bookmarkEnd w:id="393"/>
      <w:r>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t>4.1</w:t>
      </w:r>
      <w:r>
        <w:rPr>
          <w:rFonts w:hint="eastAsia" w:asciiTheme="minorEastAsia" w:hAnsiTheme="minorEastAsia" w:eastAsiaTheme="minorEastAsia" w:cstheme="minorEastAsia"/>
          <w:b/>
          <w:bCs/>
          <w:color w:val="000000" w:themeColor="text1"/>
          <w:szCs w:val="22"/>
          <w:highlight w:val="none"/>
          <w:lang w:val="en-US" w:eastAsia="zh-CN"/>
          <w14:textFill>
            <w14:solidFill>
              <w14:schemeClr w14:val="tx1"/>
            </w14:solidFill>
          </w14:textFill>
        </w:rPr>
        <w:t>勘察</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设计费的支付</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w:t>
      </w:r>
    </w:p>
    <w:p w14:paraId="015A0E1F">
      <w:pPr>
        <w:pStyle w:val="38"/>
        <w:spacing w:line="440" w:lineRule="exact"/>
        <w:ind w:firstLine="480"/>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4.1.1</w:t>
      </w:r>
      <w:r>
        <w:rPr>
          <w:rFonts w:hint="eastAsia" w:ascii="宋体" w:hAnsi="宋体" w:eastAsia="宋体" w:cs="宋体"/>
          <w:color w:val="000000" w:themeColor="text1"/>
          <w:sz w:val="24"/>
          <w:szCs w:val="24"/>
          <w:highlight w:val="none"/>
          <w:u w:val="none"/>
          <w14:textFill>
            <w14:solidFill>
              <w14:schemeClr w14:val="tx1"/>
            </w14:solidFill>
          </w14:textFill>
        </w:rPr>
        <w:t>合同签定后发包人付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勘察</w:t>
      </w:r>
      <w:r>
        <w:rPr>
          <w:rFonts w:hint="eastAsia" w:ascii="宋体" w:hAnsi="宋体" w:eastAsia="宋体" w:cs="宋体"/>
          <w:color w:val="000000" w:themeColor="text1"/>
          <w:sz w:val="24"/>
          <w:szCs w:val="24"/>
          <w:highlight w:val="none"/>
          <w:u w:val="none"/>
          <w14:textFill>
            <w14:solidFill>
              <w14:schemeClr w14:val="tx1"/>
            </w14:solidFill>
          </w14:textFill>
        </w:rPr>
        <w:t>设计费</w:t>
      </w:r>
      <w:r>
        <w:rPr>
          <w:rFonts w:hint="eastAsia" w:asciiTheme="minorEastAsia" w:hAnsiTheme="minorEastAsia" w:eastAsiaTheme="minorEastAsia" w:cstheme="minorEastAsia"/>
          <w:color w:val="000000" w:themeColor="text1"/>
          <w:highlight w:val="none"/>
          <w14:textFill>
            <w14:solidFill>
              <w14:schemeClr w14:val="tx1"/>
            </w14:solidFill>
          </w14:textFill>
        </w:rPr>
        <w:t>合同价款</w:t>
      </w:r>
      <w:r>
        <w:rPr>
          <w:rFonts w:hint="eastAsia" w:ascii="宋体" w:hAnsi="宋体" w:eastAsia="宋体" w:cs="宋体"/>
          <w:color w:val="000000" w:themeColor="text1"/>
          <w:sz w:val="24"/>
          <w:szCs w:val="24"/>
          <w:highlight w:val="none"/>
          <w:u w:val="none"/>
          <w14:textFill>
            <w14:solidFill>
              <w14:schemeClr w14:val="tx1"/>
            </w14:solidFill>
          </w14:textFill>
        </w:rPr>
        <w:t>的30%</w:t>
      </w:r>
      <w:r>
        <w:rPr>
          <w:rFonts w:hint="eastAsia" w:ascii="宋体" w:hAnsi="宋体" w:eastAsia="宋体" w:cs="宋体"/>
          <w:color w:val="000000" w:themeColor="text1"/>
          <w:sz w:val="24"/>
          <w:szCs w:val="24"/>
          <w:highlight w:val="none"/>
          <w:u w:val="none"/>
          <w:lang w:eastAsia="zh-CN"/>
          <w14:textFill>
            <w14:solidFill>
              <w14:schemeClr w14:val="tx1"/>
            </w14:solidFill>
          </w14:textFill>
        </w:rPr>
        <w:t>；</w:t>
      </w:r>
    </w:p>
    <w:p w14:paraId="0075D262">
      <w:pPr>
        <w:pStyle w:val="38"/>
        <w:spacing w:line="440" w:lineRule="exact"/>
        <w:ind w:firstLine="480"/>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4.1.2</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提交初步勘察报告、初步</w:t>
      </w:r>
      <w:r>
        <w:rPr>
          <w:rFonts w:hint="eastAsia" w:asciiTheme="minorEastAsia" w:hAnsiTheme="minorEastAsia" w:eastAsiaTheme="minorEastAsia" w:cstheme="minorEastAsia"/>
          <w:color w:val="000000" w:themeColor="text1"/>
          <w:highlight w:val="none"/>
          <w14:textFill>
            <w14:solidFill>
              <w14:schemeClr w14:val="tx1"/>
            </w14:solidFill>
          </w14:textFill>
        </w:rPr>
        <w:t>设计</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文件及工程概算</w:t>
      </w:r>
      <w:r>
        <w:rPr>
          <w:rFonts w:hint="eastAsia" w:asciiTheme="minorEastAsia" w:hAnsiTheme="minorEastAsia" w:eastAsiaTheme="minorEastAsia" w:cstheme="minorEastAsia"/>
          <w:color w:val="000000" w:themeColor="text1"/>
          <w:highlight w:val="none"/>
          <w14:textFill>
            <w14:solidFill>
              <w14:schemeClr w14:val="tx1"/>
            </w14:solidFill>
          </w14:textFill>
        </w:rPr>
        <w:t>后，相关请款资料经</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highlight w:val="none"/>
          <w14:textFill>
            <w14:solidFill>
              <w14:schemeClr w14:val="tx1"/>
            </w14:solidFill>
          </w14:textFill>
        </w:rPr>
        <w:t>财政局审批后10个工作日内，支付至</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勘察</w:t>
      </w:r>
      <w:r>
        <w:rPr>
          <w:rFonts w:hint="eastAsia" w:asciiTheme="minorEastAsia" w:hAnsiTheme="minorEastAsia" w:eastAsiaTheme="minorEastAsia" w:cstheme="minorEastAsia"/>
          <w:color w:val="000000" w:themeColor="text1"/>
          <w:highlight w:val="none"/>
          <w14:textFill>
            <w14:solidFill>
              <w14:schemeClr w14:val="tx1"/>
            </w14:solidFill>
          </w14:textFill>
        </w:rPr>
        <w:t>设计费合同价款的</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50</w:t>
      </w:r>
      <w:r>
        <w:rPr>
          <w:rFonts w:hint="eastAsia" w:asciiTheme="minorEastAsia" w:hAnsiTheme="minorEastAsia" w:eastAsiaTheme="minorEastAsia" w:cstheme="minorEastAsia"/>
          <w:color w:val="000000" w:themeColor="text1"/>
          <w:highlight w:val="none"/>
          <w14:textFill>
            <w14:solidFill>
              <w14:schemeClr w14:val="tx1"/>
            </w14:solidFill>
          </w14:textFill>
        </w:rPr>
        <w:t>%</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w:t>
      </w:r>
    </w:p>
    <w:p w14:paraId="360E13A3">
      <w:pPr>
        <w:pStyle w:val="38"/>
        <w:spacing w:line="440" w:lineRule="exact"/>
        <w:ind w:firstLine="48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4.1.3提交详细勘察报告、</w:t>
      </w:r>
      <w:r>
        <w:rPr>
          <w:rFonts w:hint="eastAsia" w:asciiTheme="minorEastAsia" w:hAnsiTheme="minorEastAsia" w:eastAsiaTheme="minorEastAsia" w:cstheme="minorEastAsia"/>
          <w:color w:val="000000" w:themeColor="text1"/>
          <w:highlight w:val="none"/>
          <w14:textFill>
            <w14:solidFill>
              <w14:schemeClr w14:val="tx1"/>
            </w14:solidFill>
          </w14:textFill>
        </w:rPr>
        <w:t>施工图设计</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文件和施工图预算</w:t>
      </w:r>
      <w:r>
        <w:rPr>
          <w:rFonts w:hint="eastAsia" w:asciiTheme="minorEastAsia" w:hAnsiTheme="minorEastAsia" w:eastAsiaTheme="minorEastAsia" w:cstheme="minorEastAsia"/>
          <w:color w:val="000000" w:themeColor="text1"/>
          <w:highlight w:val="none"/>
          <w14:textFill>
            <w14:solidFill>
              <w14:schemeClr w14:val="tx1"/>
            </w14:solidFill>
          </w14:textFill>
        </w:rPr>
        <w:t>，</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且</w:t>
      </w:r>
      <w:r>
        <w:rPr>
          <w:rFonts w:hint="eastAsia" w:asciiTheme="minorEastAsia" w:hAnsiTheme="minorEastAsia" w:eastAsiaTheme="minorEastAsia" w:cstheme="minorEastAsia"/>
          <w:color w:val="000000" w:themeColor="text1"/>
          <w:highlight w:val="none"/>
          <w14:textFill>
            <w14:solidFill>
              <w14:schemeClr w14:val="tx1"/>
            </w14:solidFill>
          </w14:textFill>
        </w:rPr>
        <w:t>本项目工程施工图设计经发包人委托具有资质的第三方审图机构审查合格并提交合格的完整施工图设计成果文件后，相关请款资料经</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highlight w:val="none"/>
          <w14:textFill>
            <w14:solidFill>
              <w14:schemeClr w14:val="tx1"/>
            </w14:solidFill>
          </w14:textFill>
        </w:rPr>
        <w:t>财政局审批后10个工作日内，支付至</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勘察</w:t>
      </w:r>
      <w:r>
        <w:rPr>
          <w:rFonts w:hint="eastAsia" w:asciiTheme="minorEastAsia" w:hAnsiTheme="minorEastAsia" w:eastAsiaTheme="minorEastAsia" w:cstheme="minorEastAsia"/>
          <w:color w:val="000000" w:themeColor="text1"/>
          <w:highlight w:val="none"/>
          <w14:textFill>
            <w14:solidFill>
              <w14:schemeClr w14:val="tx1"/>
            </w14:solidFill>
          </w14:textFill>
        </w:rPr>
        <w:t>设计费合同价款的</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95</w:t>
      </w:r>
      <w:r>
        <w:rPr>
          <w:rFonts w:hint="eastAsia" w:asciiTheme="minorEastAsia" w:hAnsiTheme="minorEastAsia" w:eastAsiaTheme="minorEastAsia" w:cstheme="minorEastAsia"/>
          <w:color w:val="000000" w:themeColor="text1"/>
          <w:highlight w:val="none"/>
          <w14:textFill>
            <w14:solidFill>
              <w14:schemeClr w14:val="tx1"/>
            </w14:solidFill>
          </w14:textFill>
        </w:rPr>
        <w:t>%。</w:t>
      </w:r>
    </w:p>
    <w:p w14:paraId="0A548E9B">
      <w:pPr>
        <w:pStyle w:val="38"/>
        <w:spacing w:line="440" w:lineRule="exact"/>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4.1.4工</w:t>
      </w:r>
      <w:r>
        <w:rPr>
          <w:rFonts w:hint="eastAsia" w:asciiTheme="minorEastAsia" w:hAnsiTheme="minorEastAsia" w:eastAsiaTheme="minorEastAsia" w:cstheme="minorEastAsia"/>
          <w:color w:val="000000" w:themeColor="text1"/>
          <w:highlight w:val="none"/>
          <w14:textFill>
            <w14:solidFill>
              <w14:schemeClr w14:val="tx1"/>
            </w14:solidFill>
          </w14:textFill>
        </w:rPr>
        <w:t>程竣工验收合格后，相关请款资料经</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highlight w:val="none"/>
          <w14:textFill>
            <w14:solidFill>
              <w14:schemeClr w14:val="tx1"/>
            </w14:solidFill>
          </w14:textFill>
        </w:rPr>
        <w:t>财政局审批后10个工作日内支付剩余的</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勘察</w:t>
      </w:r>
      <w:r>
        <w:rPr>
          <w:rFonts w:hint="eastAsia" w:asciiTheme="minorEastAsia" w:hAnsiTheme="minorEastAsia" w:eastAsiaTheme="minorEastAsia" w:cstheme="minorEastAsia"/>
          <w:color w:val="000000" w:themeColor="text1"/>
          <w:highlight w:val="none"/>
          <w14:textFill>
            <w14:solidFill>
              <w14:schemeClr w14:val="tx1"/>
            </w14:solidFill>
          </w14:textFill>
        </w:rPr>
        <w:t>设计费余额。</w:t>
      </w:r>
    </w:p>
    <w:p w14:paraId="67BD3E49">
      <w:pPr>
        <w:pStyle w:val="38"/>
        <w:spacing w:line="500" w:lineRule="exact"/>
        <w:ind w:firstLine="482"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 xml:space="preserve">4.2 </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建安工程款的支付</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w:t>
      </w:r>
    </w:p>
    <w:p w14:paraId="68558E75">
      <w:pPr>
        <w:pStyle w:val="38"/>
        <w:spacing w:line="500" w:lineRule="exact"/>
        <w:ind w:firstLine="48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4.2.1 本工程</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支付</w:t>
      </w:r>
      <w:r>
        <w:rPr>
          <w:rFonts w:hint="eastAsia" w:asciiTheme="minorEastAsia" w:hAnsiTheme="minorEastAsia" w:eastAsiaTheme="minorEastAsia" w:cstheme="minorEastAsia"/>
          <w:color w:val="000000" w:themeColor="text1"/>
          <w:highlight w:val="none"/>
          <w14:textFill>
            <w14:solidFill>
              <w14:schemeClr w14:val="tx1"/>
            </w14:solidFill>
          </w14:textFill>
        </w:rPr>
        <w:t>施工预付款。</w:t>
      </w:r>
    </w:p>
    <w:p w14:paraId="60174964">
      <w:pPr>
        <w:pStyle w:val="38"/>
        <w:spacing w:line="500" w:lineRule="exact"/>
        <w:ind w:firstLine="480"/>
        <w:rPr>
          <w:rFonts w:hint="eastAsia" w:asciiTheme="minorEastAsia" w:hAnsiTheme="minorEastAsia" w:eastAsiaTheme="minorEastAsia" w:cstheme="minorEastAsia"/>
          <w:i/>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4.2.2 </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施工预付款必须专用于合同工程，并按以下原则支付和抵扣：</w:t>
      </w:r>
    </w:p>
    <w:p w14:paraId="786D911A">
      <w:pPr>
        <w:adjustRightInd w:val="0"/>
        <w:snapToGrid w:val="0"/>
        <w:spacing w:line="500" w:lineRule="exact"/>
        <w:ind w:firstLine="56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 施工预付款支付比例为：按施工合同价的</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30%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支付。</w:t>
      </w:r>
    </w:p>
    <w:p w14:paraId="4A4F23D6">
      <w:pPr>
        <w:adjustRightInd w:val="0"/>
        <w:snapToGrid w:val="0"/>
        <w:spacing w:line="500" w:lineRule="exact"/>
        <w:ind w:firstLine="56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承包人应在签订合同后，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75193BA4">
      <w:pPr>
        <w:pStyle w:val="38"/>
        <w:ind w:firstLine="480" w:firstLineChars="200"/>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（3）预付款应从每支付期应支付给承包人的工程进度款中扣回，扣回比例为每支付期的工程进度款的50%，直到扣回的金额达到合同约定的预付款金额为止。</w:t>
      </w:r>
    </w:p>
    <w:p w14:paraId="24B08995">
      <w:pPr>
        <w:pStyle w:val="38"/>
        <w:ind w:firstLine="480" w:firstLineChars="200"/>
        <w:rPr>
          <w:rFonts w:hint="eastAsia" w:asciiTheme="minorEastAsia" w:hAnsiTheme="minorEastAsia" w:eastAsiaTheme="minorEastAsia" w:cstheme="minorEastAsia"/>
          <w:bCs/>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4.2.3</w:t>
      </w:r>
      <w:r>
        <w:rPr>
          <w:rFonts w:hint="eastAsia" w:ascii="宋体" w:hAnsi="宋体" w:eastAsia="宋体" w:cs="宋体"/>
          <w:snapToGrid w:val="0"/>
          <w:color w:val="000000" w:themeColor="text1"/>
          <w:kern w:val="0"/>
          <w:sz w:val="24"/>
          <w:szCs w:val="24"/>
          <w:highlight w:val="none"/>
          <w14:textFill>
            <w14:solidFill>
              <w14:schemeClr w14:val="tx1"/>
            </w14:solidFill>
          </w14:textFill>
        </w:rPr>
        <w:t>施工过程中按月支付工程进度款：承包人每月按工程实际完成工程量（含变更及增加工程）申报，承包人必须将《已完成工程量报表》和《工程付款申请书》于当月26日前报监理单位核</w:t>
      </w:r>
      <w:bookmarkStart w:id="394" w:name="_Hlt127094354"/>
      <w:bookmarkEnd w:id="394"/>
      <w:r>
        <w:rPr>
          <w:rFonts w:hint="eastAsia" w:ascii="宋体" w:hAnsi="宋体" w:eastAsia="宋体" w:cs="宋体"/>
          <w:snapToGrid w:val="0"/>
          <w:color w:val="000000" w:themeColor="text1"/>
          <w:kern w:val="0"/>
          <w:sz w:val="24"/>
          <w:szCs w:val="24"/>
          <w:highlight w:val="none"/>
          <w14:textFill>
            <w14:solidFill>
              <w14:schemeClr w14:val="tx1"/>
            </w14:solidFill>
          </w14:textFill>
        </w:rPr>
        <w:t>实。经监理单位审核、发包人审定后的工程进度款（指已经按照合同约定，扣除该支付期内因承包人违约而应扣除的管理费），于申报次月支付。</w:t>
      </w:r>
    </w:p>
    <w:p w14:paraId="09E8B826">
      <w:pPr>
        <w:pStyle w:val="38"/>
        <w:rPr>
          <w:rFonts w:hint="eastAsia" w:asciiTheme="minorEastAsia" w:hAnsiTheme="minorEastAsia" w:eastAsiaTheme="minorEastAsia" w:cstheme="minorEastAsia"/>
          <w:strike/>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4.2.4</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每月的工程进度款按应付金额的</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80 % </w:t>
      </w:r>
      <w:r>
        <w:rPr>
          <w:rFonts w:hint="eastAsia" w:ascii="宋体" w:hAnsi="宋体" w:eastAsia="宋体" w:cs="宋体"/>
          <w:snapToGrid w:val="0"/>
          <w:color w:val="000000" w:themeColor="text1"/>
          <w:kern w:val="0"/>
          <w:sz w:val="24"/>
          <w:szCs w:val="24"/>
          <w:highlight w:val="none"/>
          <w14:textFill>
            <w14:solidFill>
              <w14:schemeClr w14:val="tx1"/>
            </w14:solidFill>
          </w14:textFill>
        </w:rPr>
        <w:t>支付，进度款不能超过合同价的80%。工程进度款中的作业工人工资款项由发包人单独足额拨付到承包人的工资专户。</w:t>
      </w:r>
    </w:p>
    <w:p w14:paraId="53D40011">
      <w:pPr>
        <w:wordWrap w:val="0"/>
        <w:adjustRightInd w:val="0"/>
        <w:snapToGrid w:val="0"/>
        <w:spacing w:line="360" w:lineRule="auto"/>
        <w:ind w:firstLine="480" w:firstLineChars="200"/>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4.3</w:t>
      </w:r>
      <w:r>
        <w:rPr>
          <w:rFonts w:hint="eastAsia" w:ascii="宋体" w:hAnsi="宋体" w:eastAsia="宋体" w:cs="宋体"/>
          <w:snapToGrid w:val="0"/>
          <w:color w:val="000000" w:themeColor="text1"/>
          <w:kern w:val="0"/>
          <w:sz w:val="24"/>
          <w:szCs w:val="24"/>
          <w:highlight w:val="none"/>
          <w14:textFill>
            <w14:solidFill>
              <w14:schemeClr w14:val="tx1"/>
            </w14:solidFill>
          </w14:textFill>
        </w:rPr>
        <w:t>措施项目费中的“</w:t>
      </w:r>
      <w:r>
        <w:rPr>
          <w:rFonts w:hint="eastAsia" w:hAnsi="宋体" w:eastAsia="宋体" w:cs="宋体"/>
          <w:snapToGrid w:val="0"/>
          <w:color w:val="000000" w:themeColor="text1"/>
          <w:kern w:val="0"/>
          <w:sz w:val="24"/>
          <w:szCs w:val="24"/>
          <w:highlight w:val="none"/>
          <w:lang w:val="en-US" w:eastAsia="zh-CN"/>
          <w14:textFill>
            <w14:solidFill>
              <w14:schemeClr w14:val="tx1"/>
            </w14:solidFill>
          </w14:textFill>
        </w:rPr>
        <w:t>安全生产措施费</w:t>
      </w:r>
      <w:r>
        <w:rPr>
          <w:rFonts w:hint="eastAsia" w:ascii="宋体" w:hAnsi="宋体" w:eastAsia="宋体" w:cs="宋体"/>
          <w:snapToGrid w:val="0"/>
          <w:color w:val="000000" w:themeColor="text1"/>
          <w:kern w:val="0"/>
          <w:sz w:val="24"/>
          <w:szCs w:val="24"/>
          <w:highlight w:val="none"/>
          <w14:textFill>
            <w14:solidFill>
              <w14:schemeClr w14:val="tx1"/>
            </w14:solidFill>
          </w14:textFill>
        </w:rPr>
        <w:t>”拨付按照《广东省建设工程计价依据（2018）》执行，按照项目所在地的建设行政主管部门有关规定支付。发生一般事故及以上等级重大安全事故的，发包人可扣除承包人金额相当于所有“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安全生产措施费</w:t>
      </w:r>
      <w:r>
        <w:rPr>
          <w:rFonts w:hint="eastAsia" w:ascii="宋体" w:hAnsi="宋体" w:eastAsia="宋体" w:cs="宋体"/>
          <w:snapToGrid w:val="0"/>
          <w:color w:val="000000" w:themeColor="text1"/>
          <w:kern w:val="0"/>
          <w:sz w:val="24"/>
          <w:szCs w:val="24"/>
          <w:highlight w:val="none"/>
          <w14:textFill>
            <w14:solidFill>
              <w14:schemeClr w14:val="tx1"/>
            </w14:solidFill>
          </w14:textFill>
        </w:rPr>
        <w:t>”的工程管理费。</w:t>
      </w:r>
    </w:p>
    <w:p w14:paraId="41722079">
      <w:pPr>
        <w:wordWrap w:val="0"/>
        <w:adjustRightInd w:val="0"/>
        <w:snapToGrid w:val="0"/>
        <w:spacing w:line="360" w:lineRule="auto"/>
        <w:ind w:firstLine="480" w:firstLineChars="200"/>
        <w:rPr>
          <w:rFonts w:hint="eastAsia" w:asciiTheme="minorEastAsia" w:hAnsiTheme="minorEastAsia" w:eastAsiaTheme="minorEastAsia" w:cstheme="minorEastAsia"/>
          <w:strike/>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4.4</w:t>
      </w:r>
      <w:r>
        <w:rPr>
          <w:rFonts w:hint="eastAsia" w:ascii="宋体" w:hAnsi="宋体" w:eastAsia="宋体" w:cs="宋体"/>
          <w:snapToGrid w:val="0"/>
          <w:color w:val="000000" w:themeColor="text1"/>
          <w:kern w:val="0"/>
          <w:sz w:val="24"/>
          <w:szCs w:val="24"/>
          <w:highlight w:val="none"/>
          <w14:textFill>
            <w14:solidFill>
              <w14:schemeClr w14:val="tx1"/>
            </w14:solidFill>
          </w14:textFill>
        </w:rPr>
        <w:t>变更工程造价必须经监理单位核实，并经发包人核定后方可支付。</w:t>
      </w:r>
    </w:p>
    <w:p w14:paraId="16EADF1F">
      <w:pPr>
        <w:pStyle w:val="38"/>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4.5 工程完工后可支付至</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合同价的</w:t>
      </w:r>
      <w:r>
        <w:rPr>
          <w:rFonts w:hint="eastAsia" w:asciiTheme="minorEastAsia" w:hAnsiTheme="minorEastAsia" w:eastAsiaTheme="minorEastAsia" w:cstheme="minorEastAsia"/>
          <w:color w:val="000000" w:themeColor="text1"/>
          <w:highlight w:val="none"/>
          <w14:textFill>
            <w14:solidFill>
              <w14:schemeClr w14:val="tx1"/>
            </w14:solidFill>
          </w14:textFill>
        </w:rPr>
        <w:t>80％</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结算审核完成后，于次月支付至审定总造价的97%。</w:t>
      </w:r>
    </w:p>
    <w:p w14:paraId="41A5B087">
      <w:pPr>
        <w:pStyle w:val="38"/>
        <w:rPr>
          <w:rFonts w:hint="eastAsia" w:asciiTheme="minorEastAsia" w:hAnsiTheme="minorEastAsia" w:eastAsiaTheme="minorEastAsia" w:cstheme="minorEastAsia"/>
          <w:strike/>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4.6 </w:t>
      </w:r>
      <w:r>
        <w:rPr>
          <w:rFonts w:hint="eastAsia" w:ascii="宋体" w:hAnsi="宋体" w:eastAsia="宋体" w:cs="宋体"/>
          <w:snapToGrid w:val="0"/>
          <w:color w:val="000000" w:themeColor="text1"/>
          <w:kern w:val="0"/>
          <w:sz w:val="24"/>
          <w:szCs w:val="24"/>
          <w:highlight w:val="none"/>
          <w14:textFill>
            <w14:solidFill>
              <w14:schemeClr w14:val="tx1"/>
            </w14:solidFill>
          </w14:textFill>
        </w:rPr>
        <w:t>结算审核完成后，于次月支付至合同价格的97%，剩余3%转为质量保证金；承包人提交了等额</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质量保证担保或质量保证保险的，于次月一次性结清合同价格。</w:t>
      </w:r>
    </w:p>
    <w:p w14:paraId="38E063D6">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4.7</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本招标项目缺陷责任期为</w:t>
      </w:r>
      <w:r>
        <w:rPr>
          <w:rFonts w:hint="eastAsia" w:ascii="宋体" w:hAnsi="宋体" w:eastAsia="宋体" w:cs="宋体"/>
          <w:bCs/>
          <w:snapToGrid w:val="0"/>
          <w:color w:val="000000" w:themeColor="text1"/>
          <w:kern w:val="0"/>
          <w:sz w:val="24"/>
          <w:szCs w:val="24"/>
          <w:highlight w:val="none"/>
          <w:u w:val="single"/>
          <w14:textFill>
            <w14:solidFill>
              <w14:schemeClr w14:val="tx1"/>
            </w14:solidFill>
          </w14:textFill>
        </w:rPr>
        <w:t xml:space="preserve"> 2 </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年（自通过竣工验收之日起计）。</w:t>
      </w:r>
      <w:r>
        <w:rPr>
          <w:rFonts w:hint="eastAsia" w:ascii="宋体" w:hAnsi="宋体" w:eastAsia="宋体" w:cs="宋体"/>
          <w:snapToGrid w:val="0"/>
          <w:color w:val="000000" w:themeColor="text1"/>
          <w:kern w:val="0"/>
          <w:sz w:val="24"/>
          <w:szCs w:val="24"/>
          <w:highlight w:val="none"/>
          <w14:textFill>
            <w14:solidFill>
              <w14:schemeClr w14:val="tx1"/>
            </w14:solidFill>
          </w14:textFill>
        </w:rPr>
        <w:t>缺陷责任期到期后，承包人向发包人申请退还质量保证。发包人收到退还申请后，于14天内会同承包人进行核实。经双方核实且均无异议后，发包人在核实之日起</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14 </w:t>
      </w:r>
      <w:r>
        <w:rPr>
          <w:rFonts w:hint="eastAsia" w:ascii="宋体" w:hAnsi="宋体" w:eastAsia="宋体" w:cs="宋体"/>
          <w:snapToGrid w:val="0"/>
          <w:color w:val="000000" w:themeColor="text1"/>
          <w:kern w:val="0"/>
          <w:sz w:val="24"/>
          <w:szCs w:val="24"/>
          <w:highlight w:val="none"/>
          <w14:textFill>
            <w14:solidFill>
              <w14:schemeClr w14:val="tx1"/>
            </w14:solidFill>
          </w14:textFill>
        </w:rPr>
        <w:t>天内将应返保证金（或银行保函）退还承包人。</w:t>
      </w:r>
    </w:p>
    <w:p w14:paraId="3E9DAAB8">
      <w:pPr>
        <w:pStyle w:val="38"/>
        <w:ind w:firstLine="482"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lang w:val="en-US" w:eastAsia="zh-CN"/>
          <w14:textFill>
            <w14:solidFill>
              <w14:schemeClr w14:val="tx1"/>
            </w14:solidFill>
          </w14:textFill>
        </w:rPr>
        <w:t>4.8</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发包人每次支付工程款前，承包人均应提供有效的增值税专用发票。如果承包人无法提供符合要求的发票，由此造成的相应损失由承包人承担。</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w:t>
      </w:r>
    </w:p>
    <w:p w14:paraId="7E13DF6A">
      <w:pPr>
        <w:wordWrap w:val="0"/>
        <w:adjustRightInd w:val="0"/>
        <w:snapToGrid w:val="0"/>
        <w:spacing w:line="360" w:lineRule="auto"/>
        <w:ind w:firstLine="482" w:firstLineChars="200"/>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4.9</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暂列金额支付方式： </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与每个月的工程进度款一并报送，在暂列金额的范围内由监理单位进行签认，造价咨询单位审核，发包人确认，需要列明涉及暂列金额的部分。在暂列金额的范围内由监理单位进行签证，造价咨询单位审核后，经发包人确认后按支付节点支付该款项的50％，其余部分待结算完成审核后支付至97%，剩余3%为工程质量保修金</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78092894">
      <w:pPr>
        <w:pStyle w:val="38"/>
        <w:numPr>
          <w:ilvl w:val="0"/>
          <w:numId w:val="5"/>
        </w:numPr>
        <w:ind w:firstLine="361" w:firstLineChars="15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施工部分</w:t>
      </w:r>
    </w:p>
    <w:p w14:paraId="7C85417A">
      <w:pPr>
        <w:pStyle w:val="55"/>
        <w:widowControl/>
        <w:spacing w:line="360" w:lineRule="auto"/>
        <w:ind w:firstLine="420"/>
        <w:jc w:val="left"/>
        <w:rPr>
          <w:rFonts w:hint="eastAsia" w:asciiTheme="minorEastAsia" w:hAnsiTheme="minorEastAsia" w:eastAsiaTheme="minorEastAsia" w:cstheme="minorEastAsia"/>
          <w:b/>
          <w:bCs/>
          <w:color w:val="000000" w:themeColor="text1"/>
          <w:highlight w:val="none"/>
          <w:lang w:val="zh-CN"/>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5.1</w:t>
      </w:r>
      <w:r>
        <w:rPr>
          <w:rFonts w:hint="eastAsia" w:asciiTheme="minorEastAsia" w:hAnsiTheme="minorEastAsia" w:eastAsiaTheme="minorEastAsia" w:cstheme="minorEastAsia"/>
          <w:b/>
          <w:bCs/>
          <w:color w:val="000000" w:themeColor="text1"/>
          <w:highlight w:val="none"/>
          <w:lang w:val="zh-CN"/>
          <w14:textFill>
            <w14:solidFill>
              <w14:schemeClr w14:val="tx1"/>
            </w14:solidFill>
          </w14:textFill>
        </w:rPr>
        <w:t>项目管理</w:t>
      </w:r>
    </w:p>
    <w:p w14:paraId="78BB4858">
      <w:pPr>
        <w:pStyle w:val="55"/>
        <w:widowControl/>
        <w:spacing w:line="360" w:lineRule="auto"/>
        <w:ind w:firstLine="42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5.1.1项目经理要求：</w:t>
      </w:r>
    </w:p>
    <w:p w14:paraId="102046D0">
      <w:pPr>
        <w:pStyle w:val="55"/>
        <w:widowControl/>
        <w:spacing w:line="360" w:lineRule="auto"/>
        <w:ind w:firstLine="42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项目经理与投标文件承诺不一致或未及时到位，发包人将按照下列方式对承包人进行处罚：</w:t>
      </w:r>
    </w:p>
    <w:p w14:paraId="20177E41">
      <w:pPr>
        <w:pStyle w:val="55"/>
        <w:widowControl/>
        <w:numPr>
          <w:ilvl w:val="0"/>
          <w:numId w:val="6"/>
        </w:numPr>
        <w:spacing w:line="360" w:lineRule="auto"/>
        <w:ind w:firstLine="420"/>
        <w:jc w:val="left"/>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担任项目经理的注册建造师与投标书承诺不一致，将视为承包人严重违约。除符合广东省住房和城乡建设厅《关于建设工程项目招标中标后监督检查的办法》〔2009〕8号文第九条规定的情形外，项目经理一律不得更换。承包人未经监理工程师和发包人书面同意，擅自更换投标书中确认的本工程项目经理的，监理工程师或发包人有权责令承包人三天内整改，且发包人有权提请建设行政主管部门对其作不良行为记录，有权给予承包人履约评价为不合格，同时发包人有权拒绝承包人3年内参加发包人其它工程的投标。</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擅自更换本工程项目经理的，</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即使发包人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事后</w:t>
      </w: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批准同意更换，承包人仍需支付每换一次15万元的违约金（仅被羁押或判处刑罚、身亡可免责）。</w:t>
      </w:r>
    </w:p>
    <w:p w14:paraId="328A740C">
      <w:pPr>
        <w:pStyle w:val="55"/>
        <w:widowControl/>
        <w:numPr>
          <w:ilvl w:val="0"/>
          <w:numId w:val="6"/>
        </w:numPr>
        <w:spacing w:line="360" w:lineRule="auto"/>
        <w:ind w:firstLine="420"/>
        <w:jc w:val="left"/>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项目经理每延迟到位一天承包人应向发包人支付违约金5万元/天，超过10天（含10天）发包人有权单方解除合同，并要求承包人承担由此造成的一切损失。</w:t>
      </w:r>
    </w:p>
    <w:p w14:paraId="4D33B316">
      <w:pPr>
        <w:pStyle w:val="55"/>
        <w:widowControl/>
        <w:numPr>
          <w:ilvl w:val="0"/>
          <w:numId w:val="6"/>
        </w:numPr>
        <w:spacing w:line="360" w:lineRule="auto"/>
        <w:ind w:firstLine="420"/>
        <w:jc w:val="left"/>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项目经理必须按时参加工程例会、图纸会审和技术交底、现场协调会、方案论证会、专项工作碰头会，以及发包人要求其参加的会议。未经发包人同意不到会者，承包人每次向发包人支付1万元违约金，并承担一般违约责任1次。</w:t>
      </w:r>
    </w:p>
    <w:p w14:paraId="45B02A2F">
      <w:pPr>
        <w:pStyle w:val="55"/>
        <w:widowControl/>
        <w:numPr>
          <w:ilvl w:val="0"/>
          <w:numId w:val="6"/>
        </w:numPr>
        <w:spacing w:line="360" w:lineRule="auto"/>
        <w:ind w:firstLine="420"/>
        <w:jc w:val="left"/>
        <w:rPr>
          <w:rFonts w:hint="eastAsia" w:asciiTheme="minorEastAsia" w:hAnsiTheme="minorEastAsia" w:eastAsiaTheme="minorEastAsia" w:cstheme="minorEastAsia"/>
          <w:color w:val="000000" w:themeColor="text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项目经理若需离开施工现场1日以上（含1日）需经发包人批准。在其请假离开的时间段内应委托项目副经理或项目总工全权代表其行使职权，否则每违约一次，承包人应当承担一般违约责任1次。项目经理每月的出勤天数不得少于22天，如少于22天的，按每缺勤一天向发包人支付违约金人民币3仟元，并承担一般违约责任1次。</w:t>
      </w:r>
    </w:p>
    <w:p w14:paraId="484D4B2F">
      <w:pPr>
        <w:pStyle w:val="55"/>
        <w:widowControl/>
        <w:spacing w:line="360" w:lineRule="auto"/>
        <w:ind w:firstLine="480" w:firstLineChars="20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5）对于难以胜任工作项目经理，发包人有权要求承包人进行更换，直至发包人满意为止，且更换人员应在接到书面通知后的3天内到位。更换项目经理期间延误的工期不予顺延，所有费用由承包人承担，给发包人造成的损失由承包人承担。</w:t>
      </w:r>
    </w:p>
    <w:p w14:paraId="70AB9D86">
      <w:pPr>
        <w:pStyle w:val="55"/>
        <w:widowControl/>
        <w:spacing w:line="360" w:lineRule="auto"/>
        <w:ind w:firstLine="42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u w:val="single"/>
          <w14:textFill>
            <w14:solidFill>
              <w14:schemeClr w14:val="tx1"/>
            </w14:solidFill>
          </w14:textFill>
        </w:rPr>
        <w:t>上述违约金由承包人直接向发包人支付，未付清之前，发包人有权暂停支付工程款。</w:t>
      </w:r>
    </w:p>
    <w:p w14:paraId="103D7D44">
      <w:pPr>
        <w:pStyle w:val="55"/>
        <w:widowControl/>
        <w:spacing w:line="360" w:lineRule="auto"/>
        <w:ind w:firstLine="42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5.1.2承包人必须遵守国家相关法律法规、政府相关规定及</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仁化县融鑫文化旅游投资有限公司</w:t>
      </w:r>
      <w:r>
        <w:rPr>
          <w:rFonts w:hint="eastAsia" w:asciiTheme="minorEastAsia" w:hAnsiTheme="minorEastAsia" w:eastAsiaTheme="minorEastAsia" w:cstheme="minorEastAsia"/>
          <w:color w:val="000000" w:themeColor="text1"/>
          <w:highlight w:val="none"/>
          <w14:textFill>
            <w14:solidFill>
              <w14:schemeClr w14:val="tx1"/>
            </w14:solidFill>
          </w14:textFill>
        </w:rPr>
        <w:t>的工程管理制度。</w:t>
      </w:r>
    </w:p>
    <w:p w14:paraId="1C814542">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5.1.3承包人应根据工程实际需要，配备满足进度要求的施工机械，自备发电机保证供电稳定，所有费用已包含在合同价中。</w:t>
      </w:r>
    </w:p>
    <w:p w14:paraId="2239CEC0">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如果承包人未能按照规定的工期完成合同工程（含材料、设备采购等），或者未能在相应的工期内完成某区段或某单项工程，经发包人书面发出通知要求承包人在规定时间内完成前述工程后，承包人仍未完成，则发包人有权直接雇用他人执行该项指令，并向其支付有关费用，所发生的费用从承包人合同总价中扣除，同时，在工程结算时发包人有权扣除承包人向发包人支付所发生费用10%的违约金，并由承包人承担影响工期的一切责任。</w:t>
      </w:r>
    </w:p>
    <w:p w14:paraId="0FB0B478">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5.1.5在合同履行中如发包人、承包人双方发生争议，承包人不得以争议未解决为由擅自停工，否则将视为违约，由此产生工期的延误不予顺延。</w:t>
      </w:r>
    </w:p>
    <w:p w14:paraId="1ED02A19">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5.1.6对于隐蔽工程，若发现承包人在验收合格后到隐蔽施工前，对合格部分做任何改动，应重新进行验收；若承包人同一分项工程验收两次仍不合格，则以后每增加一次验收，承包人向发包人支付违约金5000元。如出现未经验收就进行隐蔽施工，承包人向发包人支付10万元/次的违约金，并且发包人有权暂停支付该部分进度款，直至发包人确认该部分工程合格为止，并通报相关部门，由此产生质量、工期延误等等均由承包人负责。</w:t>
      </w:r>
    </w:p>
    <w:p w14:paraId="6040F85F">
      <w:pPr>
        <w:wordWrap w:val="0"/>
        <w:adjustRightInd w:val="0"/>
        <w:snapToGrid w:val="0"/>
        <w:spacing w:line="44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经承包人的自检确认隐蔽工程和工程的隐蔽部位具备覆盖条件后的24小时内，承包人应通知监理人进行检查，通知应按规定的格式说明检查地点、内容和检查时间，并附有承包人自检记录和必要的检查资料。监理人应按通知约定的时间派员到场进行检查，在监理人员确认质量符合要求，并在检查记录上签字后，承包人才能进行覆盖。</w:t>
      </w:r>
    </w:p>
    <w:p w14:paraId="3EF93B12">
      <w:pPr>
        <w:wordWrap w:val="0"/>
        <w:adjustRightInd w:val="0"/>
        <w:snapToGrid w:val="0"/>
        <w:spacing w:line="44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承包人未及时通知监理人到场检查，私自将隐蔽部位覆盖，监理人有权指示承包人采用钻孔探测揭开进行检查，由此增加的费用和工期延误责任由承包人承担。</w:t>
      </w:r>
    </w:p>
    <w:p w14:paraId="4743ECAB">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5.1.7承包人必须编制合理的交通维护方案并负责实施，保证施工期间的交通组织符合</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公安交通管理的有关规定，确保施工安全，其费用包含在合同价中。</w:t>
      </w:r>
    </w:p>
    <w:p w14:paraId="776AEB15">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5.1.8发生伤亡事故，承包人应在第一时间通知发包人，并按规定立即上报有关部门，同时按法律、法规及相关规定的要求及时处理，否则记承包人严重违约责任一次。</w:t>
      </w:r>
    </w:p>
    <w:p w14:paraId="28DC510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因承包人原因，承包人施工现场发生工伤或其他责任事故的，除按相关法律法规依法接受处理和赔偿所造成的损失外，承包人还须按下列标准向发包人支付惩罚性违约金：</w:t>
      </w:r>
    </w:p>
    <w:p w14:paraId="6844ADB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（1）一次事故或全年累计死亡3人及以上：安全第一责任人在韶关市地区建设范围内公开检查；承包人必须撤换项目经理、安全主管，同时支付合同价款15％的惩罚性违约金。</w:t>
      </w:r>
    </w:p>
    <w:p w14:paraId="1410A39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（2）一次事故或全年累计死亡2人：安全第一责任人在韶关市地区建设范围内公开检查；承包人必须撤换项目经理、安全主管，同时支付合同价款10％的惩罚性违约金。</w:t>
      </w:r>
    </w:p>
    <w:p w14:paraId="41932B3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（3）全年死亡1人：安全第一责任人在韶关市地区建设范围内公开检查，并报其上级单位；承包人必须撤换项目经理、安全主管；同时支付合同价款5％的惩罚性违约金。</w:t>
      </w:r>
    </w:p>
    <w:p w14:paraId="7DDCCE7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（4）重伤事故、造成10人及以上集体中毒住院、经济损失重大的火灾、设备及交通事故，依法由承包人承担责任，并支付惩罚性违约金3万元。</w:t>
      </w:r>
    </w:p>
    <w:p w14:paraId="2A4F27DB">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（5）因施工造成的道路交通中断、通讯中断、管线漏水漏气等全部责任事故，依法由承包人承担责任，并支付惩罚性违约金2万元。</w:t>
      </w:r>
    </w:p>
    <w:p w14:paraId="5183712F">
      <w:pPr>
        <w:pStyle w:val="55"/>
        <w:widowControl/>
        <w:spacing w:line="360" w:lineRule="auto"/>
        <w:ind w:firstLine="42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5.1.9 承包人必须遵守有关环境保护的法律法规，并采取有效措施控制施工现场的各种粉尘、废气、废弃物、噪声、振动等对身体健康和周边环境造成的危害和污染，有关费用已包含在合同价中。 </w:t>
      </w:r>
    </w:p>
    <w:p w14:paraId="603F17E2">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5.1.10 工程竣工验收合格后30天内，承包人必须及时</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按</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韶关市城市建设档案要求及发包人要求提交真实完整的竣工图纸等竣工资料，并由承包人负责汇总后，移交相关管理部门，且办理完成相关移交手续，否则每延迟１天，承包人向发包人支付2000元/天的违约金。同时，承包人向发包人提供完整的竣工图纸等竣工资料各8套（包括声像及电子文件），档案的制作费用由承包人承担。 </w:t>
      </w:r>
    </w:p>
    <w:p w14:paraId="3725CCE5">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5.1.11 如承包人不按合同内容及条款施工，或违反正常施工程序、施工工艺进行施工，或施工质量、安全、环保等达不到有关要求，或施工用材料设备不符合规定，发包人有权勒令承包人暂停施工，承包人必须停工整改，一切责任由承包人负责。</w:t>
      </w:r>
    </w:p>
    <w:p w14:paraId="32A1CF90">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5.1.12 承包人全体现场施工人员佩戴安全帽，全部施工人员佩戴工作牌。</w:t>
      </w:r>
    </w:p>
    <w:p w14:paraId="6AD3CEDC">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5.1.13 未经发包人书面许可，承包人不得在施工现场布置任何与本项目工程无关的商业广告，否则发包人有权要求承包人予以拆除，承包人并向发包人每次支付违约金10000元。</w:t>
      </w:r>
    </w:p>
    <w:p w14:paraId="5CB8657B">
      <w:pPr>
        <w:autoSpaceDE w:val="0"/>
        <w:autoSpaceDN w:val="0"/>
        <w:adjustRightInd w:val="0"/>
        <w:snapToGrid w:val="0"/>
        <w:spacing w:beforeLines="50"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5.1.14 承包人下列人员有以下情形的，承包人必须在24小时内将其调离，并应在3天内补充经发包人批准的相关合格人员。若承包人不及时履行，发包人则有权要求承包人按每人每次支付违约金1000元/天，具体情形如下：</w:t>
      </w:r>
    </w:p>
    <w:p w14:paraId="0B14D976">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（1）发包人确认无法胜任工作者，包括：对分部分项工程施工进度及施工质量达不到合同要求负有责任的施工人员、不熟悉本专业的施工人员、工作责任心不强的施工人员等；</w:t>
      </w:r>
    </w:p>
    <w:p w14:paraId="1B468EA9">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（2）不积极配合发包人、监理工程师正常工作人员；</w:t>
      </w:r>
    </w:p>
    <w:p w14:paraId="00BD5E1E">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（3）违反承包人或发包人工地现场管理规定的人员；</w:t>
      </w:r>
    </w:p>
    <w:p w14:paraId="3B17D936">
      <w:pPr>
        <w:autoSpaceDE w:val="0"/>
        <w:autoSpaceDN w:val="0"/>
        <w:adjustRightInd w:val="0"/>
        <w:snapToGrid w:val="0"/>
        <w:spacing w:line="360" w:lineRule="auto"/>
        <w:ind w:firstLine="240"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（4）无证上岗人员（适用于按规定必须有上岗证的）；</w:t>
      </w:r>
    </w:p>
    <w:p w14:paraId="787AE936">
      <w:pPr>
        <w:adjustRightInd w:val="0"/>
        <w:snapToGrid w:val="0"/>
        <w:spacing w:line="360" w:lineRule="auto"/>
        <w:ind w:firstLine="240"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（5）与本工程施工无关的人员。</w:t>
      </w:r>
    </w:p>
    <w:p w14:paraId="6AC7036C">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5.1.15 本工程禁止转包，若发包人和监理人认为承包人有转包行为，且经行政主管部门落实认定。发包人有权勒令承包人停工、驱逐其出现场，并提请建设行政主管部门对承包人按相关法律法规进行行政处罚；发包人还有权给予承包人履约评价为不合格，及有权拒绝承包人3年内参加发包人其它工程的投标；同时发包人有权单方面解除本合同。由此造成的损失均由承包人承担。 </w:t>
      </w:r>
    </w:p>
    <w:p w14:paraId="2DAEF134">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5.2 用工和劳务</w:t>
      </w:r>
    </w:p>
    <w:p w14:paraId="7C93CBDF">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5.2.1承包人不得从为发包人或工程师服务的人员中招雇任何人员。</w:t>
      </w:r>
    </w:p>
    <w:p w14:paraId="19CD34B0">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5.2.2承包人不得以任何理由延期支付雇员的工资和劳务分包人的劳务费用。对发包人支付的工程款，承包人须优先用于支付工人劳动报酬，确保不发生因拖欠工人工资、劳务费而停工、上访，或因此在媒体曝光等事件。如果发生因拖欠工人工资、劳务费而停工上访，或因此在媒体曝光等事件，视为承包人违约，发包人有权要求承包人支付违约金20万元/次。</w:t>
      </w:r>
    </w:p>
    <w:p w14:paraId="415D10D3">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5.2.3承包人应避免发包人因施工工人追索劳务费或工程款而将发包人诉至法庭或仲裁庭，否则一切责任由承包人承担，所发生的所有费用（包括但不限于诉讼费、调查费、律师费、赔偿费、违约金等）全部由承包人承担，发包人有权将此等费用从任何应支付的工程款中扣除或没收履约保函中的相应金额。</w:t>
      </w:r>
    </w:p>
    <w:p w14:paraId="3F52A91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5.2.4如果现场工程师需要了解承包人在现场的管理人员和各种劳务工种操作人员情况，以及工程师要求的有关承包人机械设备、主要施工机具、周转材料等的详细资料。承包人则应向工程师提交一份详细的统计表，其格式和提交的间隔时间应符合工程师的规定。</w:t>
      </w:r>
    </w:p>
    <w:p w14:paraId="53E514FC">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5.3施工准备工作</w:t>
      </w:r>
    </w:p>
    <w:p w14:paraId="57C4C8F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5.3.1承包人应充分认识到本工程的特殊性和复杂性，施工前应切实做好各项准备工作，包括但不限于以下（1）、（2）、（3）的内容：</w:t>
      </w:r>
    </w:p>
    <w:p w14:paraId="29357F1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（1）必须按要求完成临时设施建设和现场指挥部建设。</w:t>
      </w:r>
    </w:p>
    <w:p w14:paraId="230FD77A">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（2）按照相关规定及发包人要求做好现场申报、宣传、走访、排查和解释工作。</w:t>
      </w:r>
    </w:p>
    <w:p w14:paraId="0CAB7FC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（3）根据现场实际环境，做好防火、防盗、防坠落等各项措施，排除安全隐患，确保施工期间施工的安全。</w:t>
      </w:r>
    </w:p>
    <w:p w14:paraId="7B09516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5.3.2存在设计图纸疑问，必须在施工前30日提出，不得在施工时临时提出，也不得以此手段要求任何索赔，由此造成的一切损失由承包人承担。</w:t>
      </w:r>
    </w:p>
    <w:p w14:paraId="71434D4E">
      <w:pPr>
        <w:spacing w:line="360" w:lineRule="auto"/>
        <w:ind w:left="480" w:leftChars="200"/>
        <w:rPr>
          <w:rFonts w:hint="eastAsia" w:asciiTheme="minorEastAsia" w:hAnsiTheme="minorEastAsia" w:eastAsiaTheme="minorEastAsia" w:cstheme="minorEastAsia"/>
          <w:strike/>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5.4工程变更</w:t>
      </w:r>
    </w:p>
    <w:p w14:paraId="1E33407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5.4.1承包人报送的变更价款，应实事求是，不得虚报数量，增加或变更的工程内容按招标文件中约定计价办法进行计量。若其报送金额超出建设工程造价管理部门或政府审核部门审定金额15%以上的，每次承包人向发包人支付人民币伍仟（￥5000）元的违约金，并在结算中予以扣除。</w:t>
      </w:r>
    </w:p>
    <w:p w14:paraId="34CBA07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5.4.2承包人应充分考虑工程设计变更带来的风险。工程变更须按政府及发包人的有关规定、审批权限和审批程序进行审批，凡未经发包人审批同意，承包人擅自实施的，一律视为无效变更，结算时发包人不予承认。</w:t>
      </w:r>
    </w:p>
    <w:p w14:paraId="1E4F8AF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5.4.3承包人应按</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人民政府办公室《关于加强市本级政府投资项目财政投资评审监督管理的实施意见》的规定及时申报办理工程变更审批手续，并于申请当期工程款之前或一并申报完整的工程变更资料予以备案；凡不符合实施意见要求的变更均为无效变更。</w:t>
      </w:r>
    </w:p>
    <w:p w14:paraId="4413A9BD">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5.5工程量计量的约定：</w:t>
      </w:r>
    </w:p>
    <w:p w14:paraId="1B9138F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①承包人不得自行取消施工图或清单中的任何项目，发包人根据需要取消的未施工项目，经监理工程师核实后予以扣减，相应的措施费用予以扣减。</w:t>
      </w:r>
    </w:p>
    <w:p w14:paraId="508395B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②承包人自身原因造成的返工工程量，不予计量。</w:t>
      </w:r>
    </w:p>
    <w:p w14:paraId="567A697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③凡超出图纸范围又未经变更审批的工程量，不予计量。</w:t>
      </w:r>
    </w:p>
    <w:p w14:paraId="0A91B73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④不符合工程质量标准的工程量，不予计量。</w:t>
      </w:r>
    </w:p>
    <w:p w14:paraId="281ADA9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⑤发包人书面通知承包人取消的工程量，不予计量。</w:t>
      </w:r>
    </w:p>
    <w:p w14:paraId="006747B2">
      <w:pPr>
        <w:pStyle w:val="32"/>
        <w:spacing w:line="360" w:lineRule="auto"/>
        <w:jc w:val="left"/>
        <w:rPr>
          <w:rFonts w:hint="eastAsia" w:asciiTheme="minorEastAsia" w:hAnsiTheme="minorEastAsia" w:eastAsiaTheme="minorEastAsia" w:cstheme="minorEastAsia"/>
          <w:b w:val="0"/>
          <w:bCs/>
          <w:color w:val="000000" w:themeColor="text1"/>
          <w:highlight w:val="none"/>
          <w14:textFill>
            <w14:solidFill>
              <w14:schemeClr w14:val="tx1"/>
            </w14:solidFill>
          </w14:textFill>
        </w:rPr>
      </w:pPr>
      <w:r>
        <w:rPr>
          <w:rFonts w:hint="eastAsia" w:asciiTheme="minorEastAsia" w:hAnsiTheme="minorEastAsia" w:eastAsiaTheme="minorEastAsia" w:cstheme="minorEastAsia"/>
          <w:b w:val="0"/>
          <w:bCs/>
          <w:snapToGrid w:val="0"/>
          <w:color w:val="000000" w:themeColor="text1"/>
          <w:kern w:val="0"/>
          <w:sz w:val="24"/>
          <w:highlight w:val="none"/>
          <w14:textFill>
            <w14:solidFill>
              <w14:schemeClr w14:val="tx1"/>
            </w14:solidFill>
          </w14:textFill>
        </w:rPr>
        <w:t>承包人编制的工程量预算清单中的综合单价为按技术规范与技术要求完成一个规定计量单位的工程所需的人工费、材料费、机械使用费、管理费、利润并考虑风险因素。按技术规范、招标文件、设计图纸、《</w:t>
      </w:r>
      <w:r>
        <w:rPr>
          <w:rFonts w:hint="eastAsia" w:asciiTheme="minorEastAsia" w:hAnsiTheme="minorEastAsia" w:eastAsiaTheme="minorEastAsia" w:cstheme="minorEastAsia"/>
          <w:b w:val="0"/>
          <w:bCs/>
          <w:snapToGrid w:val="0"/>
          <w:color w:val="000000" w:themeColor="text1"/>
          <w:kern w:val="0"/>
          <w:sz w:val="24"/>
          <w:highlight w:val="none"/>
          <w:lang w:eastAsia="zh-CN"/>
          <w14:textFill>
            <w14:solidFill>
              <w14:schemeClr w14:val="tx1"/>
            </w14:solidFill>
          </w14:textFill>
        </w:rPr>
        <w:t>建设工程工程量清单计价标准</w:t>
      </w:r>
      <w:r>
        <w:rPr>
          <w:rFonts w:hint="eastAsia" w:asciiTheme="minorEastAsia" w:hAnsiTheme="minorEastAsia" w:eastAsiaTheme="minorEastAsia" w:cstheme="minorEastAsia"/>
          <w:b w:val="0"/>
          <w:bCs/>
          <w:snapToGrid w:val="0"/>
          <w:color w:val="000000" w:themeColor="text1"/>
          <w:kern w:val="0"/>
          <w:sz w:val="24"/>
          <w:highlight w:val="none"/>
          <w14:textFill>
            <w14:solidFill>
              <w14:schemeClr w14:val="tx1"/>
            </w14:solidFill>
          </w14:textFill>
        </w:rPr>
        <w:t>》（</w:t>
      </w:r>
      <w:r>
        <w:rPr>
          <w:rFonts w:hint="eastAsia" w:asciiTheme="minorEastAsia" w:hAnsiTheme="minorEastAsia" w:eastAsiaTheme="minorEastAsia" w:cstheme="minorEastAsia"/>
          <w:b w:val="0"/>
          <w:bCs/>
          <w:snapToGrid w:val="0"/>
          <w:color w:val="000000" w:themeColor="text1"/>
          <w:kern w:val="0"/>
          <w:sz w:val="24"/>
          <w:highlight w:val="none"/>
          <w:lang w:eastAsia="zh-CN"/>
          <w14:textFill>
            <w14:solidFill>
              <w14:schemeClr w14:val="tx1"/>
            </w14:solidFill>
          </w14:textFill>
        </w:rPr>
        <w:t>GB/T50500-2024</w:t>
      </w:r>
      <w:r>
        <w:rPr>
          <w:rFonts w:hint="eastAsia" w:asciiTheme="minorEastAsia" w:hAnsiTheme="minorEastAsia" w:eastAsiaTheme="minorEastAsia" w:cstheme="minorEastAsia"/>
          <w:b w:val="0"/>
          <w:bCs/>
          <w:snapToGrid w:val="0"/>
          <w:color w:val="000000" w:themeColor="text1"/>
          <w:kern w:val="0"/>
          <w:sz w:val="24"/>
          <w:highlight w:val="none"/>
          <w14:textFill>
            <w14:solidFill>
              <w14:schemeClr w14:val="tx1"/>
            </w14:solidFill>
          </w14:textFill>
        </w:rPr>
        <w:t>）、省市现行计价规程等要求为完成一个规定计量单位的工程量所需的其他一切费用，承包人不得以综合单价和措施费所含工作内容缺漏项为由，向发包人提出任何变更工程价款的要求。</w:t>
      </w:r>
    </w:p>
    <w:p w14:paraId="5B66EE14">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5.6承包人对专业分包的总要求</w:t>
      </w:r>
    </w:p>
    <w:p w14:paraId="30F3A50D">
      <w:pPr>
        <w:adjustRightInd w:val="0"/>
        <w:snapToGrid w:val="0"/>
        <w:spacing w:beforeLines="50"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5.6.1承包人对本工程所有分包人的管理费和相互间的配合费用由承包人与分包人自行商定，已含在承包人的投标报价中，发包人不予任何补偿。承包人承担全部管理、组织、协调和配合工作。</w:t>
      </w:r>
    </w:p>
    <w:p w14:paraId="746013FF">
      <w:pPr>
        <w:spacing w:line="360" w:lineRule="auto"/>
        <w:ind w:firstLine="495"/>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5.6.2若承包人的施工承包资质缺少本工程的专业承包资质，应按照有关规定事先报发包人和监理工程师审查并取得发包人批准后分包给具有相应资质的专业承包人（如果分包工程按规定需要进行招标的，由承包人自行组织），由此产生的一切分包费用、配合费、招标费用以及其他可能存在风险所产生的费用都含在合同价中。承包人因上述情况提出的任何索赔或工期延长申请将不获批准。若承包人在施工过程中由于自身缺少本工程要求的专业承包资质，而又不能按规定时间发包给具有资质的专业承包企业或者分包企业不能按照设计要求实施专业工程的，由此造成工期延误，每延误1天承包人向发包人支付违约金3万元；给发包人造成质量损失的，承包人负责赔偿，同时发包人有权从合同价中按分包工程的审定预算价扣除，并委托其他施工单位实施，承包人须无条件与分包人签订合同。</w:t>
      </w:r>
    </w:p>
    <w:p w14:paraId="15DE5AF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5.6.3若同一分包工程的分包申请被否定二次，发包人有权就该分包工程采用单独招标形式确定分包人或直接指定分包人，承包人须无条件与分包人签订合同，并不得收取任何费用。同时发包人有权从合同价中按分包工程的审定预算价扣除，并委托其他施工单位实施，承包人须无条件与分包人签订合同。同时由此造成工期延误，每延误1天承包人向发包人支付违约金3万元；给发包人造成质量损失的，承包人负责赔偿。</w:t>
      </w:r>
    </w:p>
    <w:p w14:paraId="04D3C4F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5.6.4经工程师、发包人认可，承包人与分包人签订分包合同后的5天内，承包人必须将分包合同等相关资料按规定送建设行政主管部门及其他相关管理部门备案，分包合同与本施工合同发生抵触，以本施工合同为准。承包人对分包合同承担连带责任。分包合同不解除承包人任何义务与责任，承包人在分包现场应派驻监督管理人员，保证合同的履行。分包人的任何违约或疏忽，均视为承包人违约或疏忽。</w:t>
      </w:r>
    </w:p>
    <w:p w14:paraId="37ACC9A9">
      <w:pPr>
        <w:adjustRightInd w:val="0"/>
        <w:snapToGrid w:val="0"/>
        <w:spacing w:line="360" w:lineRule="auto"/>
        <w:ind w:firstLine="600" w:firstLineChars="2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5.6.5若发包人和监理均认定承包人有未经发包人同意的分包行为（无须承包人认可，除非承包人在发包人发出通知后3天内提出有效举证），发包人有权勒令其停工、驱逐出现场等，由此造成的损失均由承包人承担，同时承包人向发包人支付违约金30万元/每次。发包人有权提请建设行政主管部门对其作不良行为记录，有权给予承包人履约评价为不合格，同时发包人有权拒绝承包人3年内参加发包人其它工程的投标。 </w:t>
      </w:r>
    </w:p>
    <w:p w14:paraId="5A16A14B">
      <w:pPr>
        <w:adjustRightInd w:val="0"/>
        <w:snapToGrid w:val="0"/>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5.7 措施项目</w:t>
      </w:r>
    </w:p>
    <w:p w14:paraId="5E1F995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5.7.1现场安全文明设计必须满足国家、省市相关的要求，除此之外，尚应满足如下要求：</w:t>
      </w:r>
    </w:p>
    <w:p w14:paraId="7BC26F82">
      <w:pPr>
        <w:numPr>
          <w:ilvl w:val="0"/>
          <w:numId w:val="7"/>
        </w:num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安全、文明、临时设施要求：①主要管理人员与投标文件内填写的应一致；</w:t>
      </w:r>
    </w:p>
    <w:p w14:paraId="0D331E9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②施工现场应封闭施工。进出口要设大门、门卫和门卫制度。主进出口门头设企业标志，两侧要挂“七牌一图”，标牌应规范、整齐；</w:t>
      </w:r>
    </w:p>
    <w:p w14:paraId="3778AFE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③施工场地及生活区的所有临时道路，无污水、积水，地面要平整，路面满足施工及生活需要；排水要通畅，要有防止泥浆、污物堵塞排水管道的措施；按要求张挂各种安全标志牌和标语，设宣传栏，读报栏和黑板报并设有吸烟处；有绿化布置；</w:t>
      </w:r>
    </w:p>
    <w:p w14:paraId="4C8D106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④施工期间，承包人应随时根据现场情况对围挡进行维修和保护，确保施工界面达到韶关市、</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和建设部有关规定的标准。为确保施工安全，防止无关人员进入现场，承包人必须对施工范围（特殊情况除外）进行全封闭围挡，并设置车辆进出口，若确因条件限制或环境要求无法实施封闭围挡，承包人应切实做好安全防护及安全通道，设置合理科学的安全警示标志。如果承包人开工后经监理工程师下达整改通知后3天内仍未按规定实施，发包人有权安排其他施工队伍进场作好封闭围挡，相应费用从本合同总价中的现场安全文明措施费中扣除。承包人承诺按发包人制定的此条款执行，不得有任何异议；</w:t>
      </w:r>
    </w:p>
    <w:p w14:paraId="7922672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⑤施工场内，建筑材料、构件和料具要按施工现场平面图的布置要求堆放整齐，并挂物料名称，品种，规格等标牌，施工现场渣土和垃圾清运应当采取喷淋压尘装载；</w:t>
      </w:r>
    </w:p>
    <w:p w14:paraId="2667BD1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⑥承包人必须按照粤建安字〔2009〕20号文件要求，在开工前按有关规定要求，编制施工组织设计和施工现场消防设施平面布置图，按规定配备合格的消防器材等，满足施工现场所需的消防措施、制度和灭火器材，灭火器材配置、消防水源所有器材和设备应合理、合格，使用明火应有动火审批手续和动火监护，所发生的费用已含合同中；</w:t>
      </w:r>
    </w:p>
    <w:p w14:paraId="47AF990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⑦施工现场的施工区、 办公区、生活区应当分开设置，实行区划管理，临时办公和生活用房应采用轻钢板房，并要具有抗强台风的措施，确保安全；</w:t>
      </w:r>
    </w:p>
    <w:p w14:paraId="47A5396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⑧工地内要配备经培训的急救人员、保健医药箱、安全急救措施和急救器材，要开展卫生、防病自救、互救宣传教育；</w:t>
      </w:r>
    </w:p>
    <w:p w14:paraId="353A981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⑨要建立治安保卫制度，责任要分解到人。承包人在施工过程中的施工人员应配备必要的劳动、安全保护用品并佩戴工作证，以及满足招标文件中其他相关规定。</w:t>
      </w:r>
    </w:p>
    <w:p w14:paraId="3DF1D3AE">
      <w:pPr>
        <w:numPr>
          <w:ilvl w:val="0"/>
          <w:numId w:val="7"/>
        </w:num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环保要求：承包人在施工过程中必须根据环保部门和城管部门的要求采取一切可能的措施做好环境保护和水土保持工作，有效控制施工现场的各种粉尘、废气、废弃物、噪音、振动、雨污水等对周边环境造成的污染和危害，避免对周围的管线、道路、构筑物、建筑物造成损坏，环境保护所采用的措施包括但不局限于：</w:t>
      </w:r>
    </w:p>
    <w:p w14:paraId="5AFB43C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①环境污染防治措施：禁止向周边和雨水口、河道倾倒一切废物，包括生产和生活污水、生产和生活垃圾等；生活废水要自建生活污水处理装置；生活垃圾要收集在有防雨棚和防地表径流冲刷的临时垃圾池内，及时集中、清运；堆土区表面进行覆盖；</w:t>
      </w:r>
    </w:p>
    <w:p w14:paraId="30DFED8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②大气污染防治措施：采用洒水湿法抑尘；重点时段防护如：对</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工地进出运输</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车辆进行冲洗；运送散装物料的机动车、存放散装物料的堆放场地必须用棚布遮盖，拌和设备尽量封闭；</w:t>
      </w:r>
    </w:p>
    <w:p w14:paraId="0FF9007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③施工噪音防护措施：施工噪音执行《建筑施工噪音标准限值》（GB12523-90）规定的有关标准，未经环保部门批准中午和夜间不得施工作业；对高噪音的施工机械或加工环节尽量安排在远离民居的地方；</w:t>
      </w:r>
    </w:p>
    <w:p w14:paraId="0161DB5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instrText xml:space="preserve"> = 4 \* GB3 </w:instrTex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④</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针对固体废物可能产生的多种环境影响，须采取必要的措施分类收集，运至指定地点和按规定进行处理；</w:t>
      </w:r>
    </w:p>
    <w:p w14:paraId="718AC42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instrText xml:space="preserve"> = 5 \* GB3 </w:instrTex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⑤</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制定建筑废弃物管理计划，达到绿色安全文明施工的要求；</w:t>
      </w:r>
    </w:p>
    <w:p w14:paraId="59FE887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instrText xml:space="preserve"> = 6 \* GB3 </w:instrTex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4"/>
          <w:highlight w:val="none"/>
          <w:lang w:val="zh-CN"/>
          <w14:textFill>
            <w14:solidFill>
              <w14:schemeClr w14:val="tx1"/>
            </w14:solidFill>
          </w14:textFill>
        </w:rPr>
        <w:t>⑥</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fldChar w:fldCharType="end"/>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红线范围内必须落实雨污分流，生活污水须经过化粪池处理后接入市政管网排放。</w:t>
      </w:r>
    </w:p>
    <w:p w14:paraId="2306595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由于承包人原因导致的投诉、索赔、指控，由承包人承担全部责任，同时造成工期延误的，发包人将按照合同条款相关约定进行索赔。</w:t>
      </w:r>
    </w:p>
    <w:p w14:paraId="13761A0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以上须采取的所有措施费用及相关的费用已含在合同价中。</w:t>
      </w:r>
    </w:p>
    <w:p w14:paraId="7BA3A14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第三、承包人须按建设主管部门的相关规定，在工地安装视频监控系统，覆盖全场，保证正常使用。采取相应保卫措施防止出现财、物被盗行为，相关费用已包括在安全文明施工措施费中，发包人不再另行支付此类费用。</w:t>
      </w:r>
    </w:p>
    <w:p w14:paraId="789AB0BF">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5.7.2已完工程及设备保护费</w:t>
      </w:r>
    </w:p>
    <w:p w14:paraId="3F98CB8B">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①承包人应充分考虑本工程的</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已完工程及设备保护，其费用已包含在合同价内，结算不再调整；</w:t>
      </w:r>
    </w:p>
    <w:p w14:paraId="781BF7E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②承包人应充分考虑施工影响范围内的地上、地下设施，建筑物的临时保护等措施，</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以及</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对周围建筑物、周围道路管线的沉降和位移按照施工规范进行质量、安全性检查，对于现场及周边临近的可能发生的危险情况及时向监理工程师或主管部门报告，在施工现场根据相关要求准备应急物资并及时采取有效措施，保护费用已包含在合同价中，结算时不再调整。</w:t>
      </w:r>
    </w:p>
    <w:p w14:paraId="7D2D94E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5.7.3施工降排水</w:t>
      </w:r>
    </w:p>
    <w:p w14:paraId="6546BEE5">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应按照地质报告、设计图纸要求、降水水位要求、现场实际和工程经验等对降排水进行深化设计、维护和加固，其深化应经过设计单位的审批、监理工程师和发包人的同意，施工降排水应包括设计、施工、加固、维护直至竣工的全部施工和抽排水工作，同时</w:t>
      </w: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保证护栏的安全性。</w:t>
      </w:r>
    </w:p>
    <w:p w14:paraId="77FB8265">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 xml:space="preserve">本工程施工期间地表及地下水采用有组织的排放，尤其是主体结构工程施工期间，应确保满足低于设计抗浮水位要求并满足防水工程需要，采取的施工排水、降水应确保周边建（构）筑物的安全等有效措施。 </w:t>
      </w:r>
    </w:p>
    <w:p w14:paraId="39A8D46D">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承包人应综合考虑施工期间除不可抗力原因外的气候条件造成的现场工程量的增加及其它风险（如发包人提供的地质报告等相关资料可能存在与实际不符）。</w:t>
      </w:r>
    </w:p>
    <w:p w14:paraId="7F1E713F">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雨季施工随时与气象部门保持联系，在大雨、台风到来之前按有关主管部门规定的防洪防汛应急措施等。</w:t>
      </w:r>
    </w:p>
    <w:p w14:paraId="679C99AF">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以上有关费用已含在合同价中，结算不作调整。</w:t>
      </w:r>
    </w:p>
    <w:p w14:paraId="7928913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5.7.4水土保持</w:t>
      </w:r>
    </w:p>
    <w:p w14:paraId="64FD2D2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必须按照水土保持方案以及监理和检测单位的要求，采取设置排水沟、排洪沟、沉砂池、砂袋、植草等水土保持和防洪排涝措施，优化挖方填方，对土石方合理利用；对已完工土石方工程裸露表面，及时采取防护措施、严格控制水土流失，实现水土流失防治目标；及时做好排水导流工作，使地表径流和工程用水经沉砂池沉降后方可排放，沉砂池要定期清理，减轻水流对裸露地表的冲刷，防止泥砂流出对周边区域造成危害；临时堆土要全面覆盖，减少粉尘及雨水冲刷，堆土清理后或其他裸露地要采取恢复植被或其他防止水土流失措施。</w:t>
      </w:r>
    </w:p>
    <w:p w14:paraId="3AC4892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5.7.5施工用水、用电等</w:t>
      </w:r>
    </w:p>
    <w:p w14:paraId="77846A2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（1）承包人根据现场条件和工程情况，接通生活和生产区场内外的给水、排水、施工用电、通讯等工作，</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同时承包人应自备充足的发电机，确保施工过程中的水、电安全稳定供应，结算费用不作调整。</w:t>
      </w:r>
    </w:p>
    <w:p w14:paraId="6782BDD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（2）所有施工范围内涉及的清理、外运全部拆除物与垃圾，以及场地平整。</w:t>
      </w:r>
    </w:p>
    <w:p w14:paraId="20248CD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（3）为建设单位、监理单位提供施工现场临时办公用房和办公必须品，并开通通讯线路。</w:t>
      </w:r>
    </w:p>
    <w:p w14:paraId="19CD12B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（4）合同工期和顺延工期内临时用地（含占道）、房屋租赁的手续费和租金。</w:t>
      </w:r>
    </w:p>
    <w:p w14:paraId="3A01FA0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承包人在投标报价时应充分考虑施工场地现状与地形图不符的风险，谨慎报价，该部分报价为包干费用，承包人不得以任何理由提出增加费用。</w:t>
      </w:r>
    </w:p>
    <w:p w14:paraId="3A47F9A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5.7.6与其他工程的衔接、管理与配合费</w:t>
      </w:r>
    </w:p>
    <w:p w14:paraId="2A3D1D7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由承包人负责工程衔接各专业工程进度安排、施工现场管理协调等工作。对安全、文明、施工、运输、仓储、住宿统筹管理；确定合理的工序和进度计划、安排作业面与通道、提供场地；工程完工后的整体调试、验收和竣工资料整理；按专业设计图纸要求配合做好埋件、预留洞、预埋管等工作；提供脚手架供专业承包人使用；提供照明、临时水电等设施。其费用在对其他工程的衔接、管理和配合费用中报价，结算不做调整。</w:t>
      </w:r>
    </w:p>
    <w:p w14:paraId="6217F1D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5.7.7因承包人原因而引起的罚款、索赔和指控等责任由承包人自行承担。</w:t>
      </w:r>
    </w:p>
    <w:p w14:paraId="66C2614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5.7.8工程完工后需要恢复的建筑物、构筑物，承包人必须及时恢复，并使监理工程师和发包人满意，满足政府管理部门的规定和要求。</w:t>
      </w:r>
    </w:p>
    <w:p w14:paraId="541B945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5.7.9承包人必须按有关法规、标准、规定或发包人的合理要求实施有关措施项目，若以上设施或措施达不到要求，工程师发出指令后，承包人应按照要求予以整改，其费用由承包人承担。承包人拒绝整改的，发包人有权要求承包人支付违约金50万元，并将其列入履约考评不良记录，同时发包人有权委托第三方实施，所有费用由承包人承担。由于承包人原因导致的投诉、索赔、指控，由承包人承担全部责任，同时造成工期延误的，发包人将按照合同条款相关约定进行索赔。</w:t>
      </w:r>
    </w:p>
    <w:p w14:paraId="06D651C0">
      <w:pPr>
        <w:spacing w:line="360" w:lineRule="auto"/>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5.7.10承包人必须按照《建设工程安全生产管理条例》和《危险性较大的分部分项工程安全管理办法》进行施工，应按有关规定提供相应的防护措施且在施工前编制危险性较大分部分项工程的专项施工方案，有关费用已含在合同价中。因承包人原因，导致的安全事故，由承包人承担相应责任及发生的费用。</w:t>
      </w:r>
    </w:p>
    <w:p w14:paraId="73A270B4">
      <w:pPr>
        <w:spacing w:line="360" w:lineRule="auto"/>
        <w:ind w:firstLine="480"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5.7.11承包人必须严格按照相关规定和安全规范等，以及设计图纸，结合实际情况对施工作业面进行处理，以保证各施工机械有效支撑，确保其施工安全和正常使用。任何对支护的修改必须经设计单位、发包人和监理工程师同意，方可实施，同时承包人必须对周边建筑物、周边道路管线的沉降和位移进行巡查和跟踪，如因承包人的措施无法满足施工安全、正常施工的要求，有关的责任、损失、补救费用全部由承包人自行承担。</w:t>
      </w:r>
    </w:p>
    <w:p w14:paraId="2F679E4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5.7.12根据广东省、韶关市、</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建设主管部门的相关文件规定，承包人须在工程施工现场安装使用视频监控系统、工人实名制系统并接入至</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住建主管部门建筑工地视频监控专网及发包人视频监控系统。</w:t>
      </w:r>
    </w:p>
    <w:p w14:paraId="6F1FC301">
      <w:pPr>
        <w:spacing w:line="360" w:lineRule="auto"/>
        <w:ind w:firstLine="480" w:firstLineChars="200"/>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以上措施项目有关费用已含在合同价中，结算不作调整。</w:t>
      </w:r>
    </w:p>
    <w:p w14:paraId="1939669D">
      <w:pPr>
        <w:adjustRightInd w:val="0"/>
        <w:snapToGrid w:val="0"/>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5.8 解除合同后续工程的补充约定</w:t>
      </w:r>
    </w:p>
    <w:p w14:paraId="4927225C">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5.8.1发包人向承包人发出解除或部分解除合同通知到达后，本合同即解除或部分解除，承包人必须在3日内停止施工，5日内将现场施工材料设备、工程用机具设备和人员等撤出施工场地，完成现场和有关资料的移交，并于完成交接工作当日内离场。承包人应保护好已完工程、已购设备材料，保证所移交的资料齐全完整。承包人无特殊原因未在规定期限内移交、离场或移交完整资料，发包人有权处理其留在现场的材料、设备和其他物件，处理费用由承包人承担。</w:t>
      </w:r>
    </w:p>
    <w:p w14:paraId="001FD7EE">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对于部分解除合同的情形，承包人拒不履行配合，发包人有权全部解除合同，如果引致发包人工期延误和其他方面的损失，发包人将要求承包人赔偿有关损失。发包人在发出解除合同的通知后，发包人即可清理现场、委托重新招标或委托新的承包人承接该工程。同时，承包人不得影响或阻碍新的承包人办理进场手续和相关工作。</w:t>
      </w:r>
    </w:p>
    <w:p w14:paraId="44A6A0B9">
      <w:pPr>
        <w:spacing w:line="360" w:lineRule="auto"/>
        <w:ind w:left="-2" w:leftChars="-1" w:firstLine="424" w:firstLineChars="177"/>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5.8.2由于承包人原因导致的合同解除或部分合同解除，承包人已经订货的材料、设备，以及已进场尚未安装的材料设备均由承包人负责退货或解除订货合同，不能退还的货款、定金、订金，因退货和解除订货合同发生的费用以及因无法退货造成的损失均由承包人承担，发包人不予补偿。</w:t>
      </w:r>
    </w:p>
    <w:p w14:paraId="53AC4137">
      <w:pPr>
        <w:spacing w:line="360" w:lineRule="auto"/>
        <w:ind w:left="-2" w:leftChars="-1" w:firstLine="424" w:firstLineChars="177"/>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承包人没有正当合理的理由中途退场，除扣除合同价款20％作为履约违约金外，承包人还须承当因其无故中途退场所造成的全部损失责任。</w:t>
      </w:r>
    </w:p>
    <w:p w14:paraId="376BF3D8">
      <w:pPr>
        <w:spacing w:line="360" w:lineRule="auto"/>
        <w:ind w:left="-2" w:leftChars="-1" w:firstLine="424" w:firstLineChars="177"/>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5.8.3非承包人原因导致的合同解除或部分合同解除，承包人已经签订订货合同，但尚未进场的材料、设备；或虽已进场但发包人或监理工程师验货不合格的，解除订货合同或退货发生的费用以及因无法退货造成的损失均由承包人承担，发包人不予补偿。</w:t>
      </w:r>
    </w:p>
    <w:p w14:paraId="5A974252">
      <w:pPr>
        <w:spacing w:line="360" w:lineRule="auto"/>
        <w:ind w:left="-2" w:leftChars="-1" w:firstLine="424" w:firstLineChars="177"/>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经发包人或监理工程验货、签收，且已进场的材料设备但尚未安装的材料设备，费用由发包人承担。数量按发包人、监理工程师审核确认的数量；原投标设备材料表中已列明单价，单价按投标报价计算，原投标设备材料表中未列明单价的，按预算审定价中的材料设备价*（1－下浮率）计算。</w:t>
      </w:r>
    </w:p>
    <w:p w14:paraId="4CC66889">
      <w:pPr>
        <w:spacing w:line="360" w:lineRule="auto"/>
        <w:ind w:left="-2" w:leftChars="-1" w:firstLine="424" w:firstLineChars="177"/>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5.8.4承包人的已完工程结算时间由发包人确定。按本合同结算条款约定办理结算，同时必须按合同约定扣除违约金、赔偿金。</w:t>
      </w:r>
    </w:p>
    <w:p w14:paraId="54132F86">
      <w:pPr>
        <w:spacing w:line="360" w:lineRule="auto"/>
        <w:ind w:left="-2" w:leftChars="-1" w:firstLine="424" w:firstLineChars="17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5.8.5因承包人原因导致解除合同，发包人所遭受的一切损失，由承包人承担全部赔偿责任。</w:t>
      </w:r>
    </w:p>
    <w:p w14:paraId="6867EE40">
      <w:pPr>
        <w:adjustRightInd w:val="0"/>
        <w:snapToGrid w:val="0"/>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5.9承包人违约责任追究补充细则</w:t>
      </w:r>
    </w:p>
    <w:p w14:paraId="22E0DC8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5.9.1工程质量达不到合同约定的质量标准承包人违约责任：如未达到合格标准，除则按合同价款的</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1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%向发包人返纳质量违约金外，发包人有权利选择以下方式返工或修复，承包人不得异议：</w:t>
      </w:r>
    </w:p>
    <w:p w14:paraId="10001D3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（1）发包人要求承包人在监理工程师和发包人要求的合理时间内，完成质量不合格工程的返工或修复工作，直至合同约定的质量标准，由此造成的工期延误和所有费用，全部由承包人承担；</w:t>
      </w:r>
    </w:p>
    <w:p w14:paraId="754ABB2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（2）发包人直接委托其它承包人完成质量不合格部分工程的返工或修复工作，由此造成的工期延误和所有费用，全部由承包人承担。</w:t>
      </w:r>
    </w:p>
    <w:p w14:paraId="52325D7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（3）无论采取以上何种方式返工或修复，发包人均有权提请建设行政主管部门对其作不良行为记录，有权给予承包人履约评价为不合格，同时发包人有权拒绝承包人3年内参加发包人其它工程的投标。</w:t>
      </w:r>
    </w:p>
    <w:p w14:paraId="4634E8E1">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5.9.2承包人违反本合同的约定，应当按约定向发包人承担相应的违约责任。本合同违约责任形式按以下情况分类：</w:t>
      </w:r>
    </w:p>
    <w:p w14:paraId="67E2AEE4">
      <w:pPr>
        <w:adjustRightInd w:val="0"/>
        <w:snapToGrid w:val="0"/>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（1） 限期改正。承包人未履行或未按时履行或未按质履行义务时，发包人有权提出书面警告，承包人必须在发包人限定的时间内履行义务。每一次书面警告扣除违约金人民币壹仟元（￥1000）。</w:t>
      </w:r>
    </w:p>
    <w:p w14:paraId="26BD3F6B">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（2）一般违约责任。承包人按本合同约定应当承担一般违约责任时，在发包人提出书面警告或通知后扣除违约金人民币伍仟元（￥5000）/次。合同另有约定的除外。</w:t>
      </w:r>
    </w:p>
    <w:p w14:paraId="0F42D537">
      <w:pPr>
        <w:adjustRightInd w:val="0"/>
        <w:snapToGrid w:val="0"/>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（3）严重违约责任。承包人按本合同约定应当承担严重违约责任时，在发包人提出书面警告或通知后扣除违约金伍万元（￥50000）/次。合同另有约定的除外。</w:t>
      </w:r>
    </w:p>
    <w:p w14:paraId="2DBFF275">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（4）部分解除合同。三次受到发包人书面警告，发包人有权直接解除合同或部分解除合同，按承包人违约解除合同的条款执行。</w:t>
      </w:r>
    </w:p>
    <w:p w14:paraId="07636EB1">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5.9.3三次限期改正责任相当于一次一般违约责任，三次一般违约责任相当于一次严重违约责任；累计三次严重违约责任，发包人有权单方部分解除合同；累计五次严重违约责任，发包人有权全部解除合同。合同另有约定的除外。</w:t>
      </w:r>
    </w:p>
    <w:p w14:paraId="62628184">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5.9.4承包人未按合同要求建立组织架构、派驻项目管理人员和投入设备，承包人必须按发包人要求限期整改，并承担相应违约责任。具体约定为：</w:t>
      </w:r>
    </w:p>
    <w:p w14:paraId="70F636B7">
      <w:pPr>
        <w:adjustRightInd w:val="0"/>
        <w:snapToGrid w:val="0"/>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1）在中标通知书发出后3日内，承包人承诺的项目技术负责人（总工）不到位，或到位后又离开，造成该岗位空缺。发包人一旦发现，将要求承包人做出书面解释并保证限期到位，同时将承担一般违约责任1次；若承包人拒不配合，未在发包人提出限期改正的期限内进行整改的，应承担严重违约责任1次，发包人有权单方提出解除合同，并要求承包人承担由此造成的一切损失。</w:t>
      </w:r>
    </w:p>
    <w:p w14:paraId="6CA84E81">
      <w:pPr>
        <w:adjustRightInd w:val="0"/>
        <w:snapToGrid w:val="0"/>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2）在规定的时间内施工人员和设备进场后3日内，承包人在投标文件中承诺的其他主要管理人员未能足额到位，或到位后又离开，造成该岗位空缺，以及未按承诺依时、足额投入有关设备，发包人一旦发现将要求承包人做出书面解释并保证人员、设备限期到位。上述情况每发生1次，承包人应承担限期改正责任1次。如果承包人拒不配合，未在发包人提出限期改正的期限内进行整改的，承包人应承担一般违约责任1次，连续二次书面通知整改拒不配合的，承包人应承担严重违约责任1次。</w:t>
      </w:r>
    </w:p>
    <w:p w14:paraId="07DF6BF6">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5.9.5承包人如需要调换除项目经理外的其他主要管理人员，必须事先征得发包人书面同意。如承包人未经发包人书面同意，擅自调换项目主要管理人员，除必须限期改正外，承包人必须承担严重违约责任，发包人有权暂停支付工程款，并保留索赔的权利。</w:t>
      </w:r>
    </w:p>
    <w:p w14:paraId="70A95FCA">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5.9.6除项目经理外的其他主要管理人员需离开施工现场3日以上（含3日）需报发包人批准。在其请假离开的时间段内应书面委托其他驻场管理人员全权代表其行使相应职权。否则，每违约一次，承包人应当承担限期整改责任1次。在国家法定节假日期间，承包人应做好管理人员的轮休，并保证现场管理人员不少于3名。在工程实施期间，承包人应对现场主要管理人员进行考勤，并在每月1日前将前一月考勤表报送甲方审核。现场主要管理人员出勤天数均不得少于22天，若少于22天将按每缺勤一天扣减工程费用叁仟元（￥3000）/每人次处理。</w:t>
      </w:r>
    </w:p>
    <w:p w14:paraId="0ABAA570">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5.9.7承包人项目经理和主要管理人员的考勤实行实名制打卡，承包人项目经理和主要管理人员的考勤若发现有弄虚作假行为，发现一次，承包人应承担一般违约责任1次。</w:t>
      </w:r>
    </w:p>
    <w:p w14:paraId="6266F5EC">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5.9.8对于难以胜任工作的承包人管理人员和主要操作技术人员，发包人有权要求承包人进行更换，直至发包人满意为止，且更换人员应在接到书面通知后的3天内到位。</w:t>
      </w:r>
    </w:p>
    <w:p w14:paraId="2E752265">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5.9.9承包人未按招标文件及合同要求按期提交发包人工程指挥部所需要的各项设施，应承担限期整改责任1次，若限期整改仍不提交，应承担一般违约责任1次，发包人有权自行安排临时设施的建设，所有费用由承包人工程费用中扣减。</w:t>
      </w:r>
    </w:p>
    <w:p w14:paraId="73C4DA55">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5.9.10承包人未按合同及投标书所作的承诺投入机械、设备、材料等，被监理工程师或发包人发现后，承包人除必须限期改正外，应承担限期改正责任1次。</w:t>
      </w:r>
    </w:p>
    <w:p w14:paraId="4CEFE0EB">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5.9.11工程承包人每次的进场材料，若出现不合格材料使用于工程上并造成质量缺陷，承包人必须承担一般违约责任1次。若出现质量事故或经济损失一次人民币壹拾万元（￥100,000）以上的，必须承担严重违约责任1次。造成重大质量安全事故（按国家安监部门规定界定），发包人视情况部分或全部解除合同。同时，发包人有权追究当事人和承包人的法律责任。</w:t>
      </w:r>
    </w:p>
    <w:p w14:paraId="377325AE">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5.9.12承包人的工程质量，经监理工程师、发包人或工程质量监督机构抽查，发现质量有不合格、或未按设计要求和有关规范进行施工的，每发现一处承包人应承担一般违约责任1次；出现大面积质量不合格（占比达30％及以上），每发现一处承包人应承担严重违约责任1次，发包人将情况通报纪检监察和建设行政主管部门，必要时申请调查责任相关人员，且承包人应赔偿发包人的经济损失。</w:t>
      </w:r>
    </w:p>
    <w:p w14:paraId="31ED0165">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5.9.13承包人没有按投标承诺和有关规定做好文明施工措施及安全生产，当发生包括但不限于以下情况：工人不统一着装、施工临时材料如脚手架、泥网等过于陈旧、现场垃圾未安排专人清理、现场排水不畅污水横流、交通组织不力现场交通严重拥挤、材料设备堆放混乱、安全防护不符合要求、既有管线被破坏、野蛮施工造成周边环境破坏及警示安全标志不齐等，被监理工程师、发包人发现后，承包人除必须限期改正外， 每发生一次（或一处），承包人必须承担限期改正责任1次。由此而被上级主管部门通报批评、被新闻媒体曝光的，承包人应承担一般违约责任1次；若由此发生安全生产事故，承包人应承担严重违约责任1次；造成严重安全事故等情节严重的，发包人有权部分或全部解除合同。</w:t>
      </w:r>
    </w:p>
    <w:p w14:paraId="68C2E3B0">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5.9.14因承包人原因造成工程投资增加的，承包人应赔偿发包人由此遭受的实际损失，情况严重时发包人有权单方解除本施工合同。</w:t>
      </w:r>
    </w:p>
    <w:p w14:paraId="1590743A">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若因承包人未按设计规定和施工技术规程要求认真做好施工现场的临时降水、排水（尤其是雨季施工期间）工作导致需要进行地基处理、边坡加固等情况时，每发生一处承包人应负严重违约责任1次，由此造成的工程投资增加由承包人承担。</w:t>
      </w:r>
    </w:p>
    <w:p w14:paraId="475B1687">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（2）若承包人未严格按施工进度计划要求组织施工造成工期拖延，导致一些工程项目被迫进入雨季施工而引起投资增加的，承包人应承担严重违约责任1次，由此造成的投资增加由承包人负责。</w:t>
      </w:r>
    </w:p>
    <w:p w14:paraId="398EC30F">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（3）承包人未经监理工程师、发包人同意擅自改变施工技术方案和工艺，造成投资增加的，应承担严重违约责任1次，由此造成的投资增加由承包人负责。</w:t>
      </w:r>
    </w:p>
    <w:p w14:paraId="283EA991">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承包人未拟定临时设施方案并经监理工程师、发包人审批同意擅自实施临时设施建设，若此临时设施建设经核实无法达到合同规定的要求，承包人应承担限期整改责任1次，若承包人拒绝限期整改应当承担一般违约责任1次，同时发包人有权按实际发生重新核定安全文明施工措施费。</w:t>
      </w:r>
    </w:p>
    <w:p w14:paraId="274AA020">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（5）承包人提供虚假情况或制造现场假象造成设计变更及投资增加时，经监理公司、发包人发现，承包人应承担严重违约责任1次，造成的投资增加由承包人承担。 </w:t>
      </w:r>
    </w:p>
    <w:p w14:paraId="07B5B62D">
      <w:pPr>
        <w:adjustRightInd w:val="0"/>
        <w:snapToGrid w:val="0"/>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5.10、</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发包人将根据承包人的投标文件，严格考核施工项目管理人员的日常到位情况，并定期按照发包人的合同履约评价管理办法、质量安全评估管理办法对承包人的合同履行情况进行评价和评估，评价和评估内容包含人员到位情况、服务配合程度、工程质量、安全、项目后期服务及信用评价结果、评估结果的运用等。履约评价为不合格的，发包人有权拒绝承包人3年内参加发包人任何其它工程的投标，有权报请建设行政主管部门对其作不良行为记录。</w:t>
      </w:r>
    </w:p>
    <w:p w14:paraId="1E122EF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5.11 承包人提供竣工资料的约定：</w:t>
      </w:r>
    </w:p>
    <w:p w14:paraId="700D6D5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本工程具备竣工验收条件后14天内，承包人按国家建设部、广东省及</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的有关规定和发包人的要求编制工程竣工资料（包括施工原始记录、照片等资料），向工程师提供完整竣工验收资料8套、竣工验收报告和相应的声像、电子文件，并由承包人及时向主管部门和监督部门备案。工程师收到竣工验收资料后，应在10天内审核，若不符合要求，工程师可提出整改意见。承包人按要求整改合格后报工程师，工程师在整改验收合格后10天内应组织有关单位进行初步验收，并在10天内对工程质量予以认可或提出再次整改意见。承包人按要求再次整改，并承担由其自身原因造成的整改费用。编制竣工图、竣工资料的费用已含在合同价中。</w:t>
      </w:r>
    </w:p>
    <w:p w14:paraId="132049E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竣工验收资料包括全部工程（包括项目单位发包项目及其他分包工程）的竣工图纸和竣工资料，以及经确认的深化设计图纸和技术资料。各类分包工程的竣工资料均由承包人负责编制、指导、审阅、汇总、整理、归档，费用由本合同承包人自行承担。    </w:t>
      </w:r>
    </w:p>
    <w:p w14:paraId="42D36ACF">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5.12工程移交及档案管理</w:t>
      </w:r>
    </w:p>
    <w:p w14:paraId="0F3C57F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5.12.1工程完工后，承包人必须及时按城建相关档案管理规定整理及移交竣工档案，承包人办理工程结算需提交相关工程档案移交签字单，否则结算不予办理。</w:t>
      </w:r>
    </w:p>
    <w:p w14:paraId="0797B9F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5.12.2工程竣工验收合格后承包人必须将成品移交给发包人指定的接管单位。在移交工作完成前，现场所有安全及成品保护责任和费用由承包人承担。</w:t>
      </w:r>
    </w:p>
    <w:p w14:paraId="1A87B62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5.12.3在向发包人指定的接管单位移交钥匙的同时提供下列清单：</w:t>
      </w:r>
    </w:p>
    <w:p w14:paraId="022B39D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①办理钥匙移交清单（如有）；</w:t>
      </w:r>
    </w:p>
    <w:p w14:paraId="06DD834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②双方抄好水表电表底数；</w:t>
      </w:r>
    </w:p>
    <w:p w14:paraId="423FDB8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③列出详细的设备、物件移交清单，标明名称、数量、外观、状态等基本资料</w:t>
      </w:r>
    </w:p>
    <w:p w14:paraId="611CAF5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5.12.4按国家、省市和建设主管部门的相关规定应当移交的其他资料。</w:t>
      </w:r>
    </w:p>
    <w:p w14:paraId="3B36859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5.13在质量缺陷保修期内，承包人必须在接到保修通知之日起7天内无条件派人先行保修，发生涉及结构安全、严重影响使用功能的质量缺陷或给排水、供电、燃气、通信及路灯等特殊工程的紧急抢修事故的，承包人接到保修通知后，必须立即到达现场实施保修。质量保修完成后，由发包人组织承包人和监理人，配合项目使用（管养）单位验收。涉及结构安全的，发包人将报当地相关行政主管部门备案，同时承包人应将其产生的原因、补救措施、完成保修情况以书面形式提交发包人。</w:t>
      </w:r>
    </w:p>
    <w:p w14:paraId="76C9730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5.14在工程质量缺陷保修期内，承包人的违约责任。</w:t>
      </w:r>
    </w:p>
    <w:p w14:paraId="2827B91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5.14.1在保修期内发生质量缺陷或紧急抢修事故的时，如发包人无法联系到承包人，或联系到承包人但承包人不能及时履行保修义务时，无论缺陷责任是否属于承包人，承包人必须承担由此产生的一切保修费用、相关损失及违约责任。</w:t>
      </w:r>
    </w:p>
    <w:p w14:paraId="25871CB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5.14.2若承包人未及时到达现场实施保修，发包人有权直接委托其他单位或管养单位代承包人组织实施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14:paraId="314219E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5.14.3若承包人及时到达现场，但认为自行无法按时完成保修义务，可与发包人协商，直接委托管养单位或发包人确认的其他单位实施保修。若承包人未及时与发包人完成协商事宜，又未能在规定时限内完成保修的，发包人有权通知管养单位或其他单位进行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14:paraId="3D2308D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5.14.4若承包人及时到达现场，并与发包人完成协商，同意直接委托管养单位或发包人确认的其他单位实施保修。承包人在收到支付工程保修费用的通知7天内，应将保修费用支付给代其实施保修的单位。如在规定时间内未支付有关费用的，发包人可直接从工程质量缺陷保修金中扣除该保修费用，并支付给保修单位，并处承包人保修费用30%的违约金，如缺陷质量保修金余额不足，发包人将向承包人索赔。发包人还将承包人不履行保修义务的不良行为报送相关行政主管部门。</w:t>
      </w:r>
    </w:p>
    <w:p w14:paraId="59C363C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5.14.5若承包人按照发包人的要求及时履行了保修义务，并能提供证据说明质量缺陷非承包人的责任，保修费用及相关损失由缺陷责任方承担。</w:t>
      </w:r>
    </w:p>
    <w:p w14:paraId="62CF27DC">
      <w:pPr>
        <w:pStyle w:val="57"/>
        <w:adjustRightInd w:val="0"/>
        <w:snapToGrid w:val="0"/>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5.14.6对于涉及结构安全的工程质量问题，无论何时，在所有人、使用人或者第三方向当地建设行政主管部门报告并通知承包人后，承包人应立即采取安全防范措施，同时发包人将委托原设计单位或者具有相应资质等级的设计单位提出保修方案后，承包人应立即实施保修。承包人立即实施了有效的防范措施和保修的，保修费用、人身和财产损害赔偿，由经过法定程序确认的缺陷责任方承担。承包人拖延安全防范措施或者拖延保修，所造成的一切人身、财产损害责任和赔偿均由承包人承担，同时发包人将提请相关行政主管部门按相关法律、法规对承包人予以处罚。</w:t>
      </w:r>
    </w:p>
    <w:p w14:paraId="619BC1E9">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5.15发包人有权根据有关管理制度对承包人的履约情况纳入履约信用评价和</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第三方质量安全评估</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体系进行履约信用评价和</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质量安全</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评估，并将评价结果和评估结果报送给有关监管部门。</w:t>
      </w:r>
    </w:p>
    <w:p w14:paraId="13337630">
      <w:pPr>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履约信用评价</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和</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第三方质量安全评估按发包人履约信用评价</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质量安全</w:t>
      </w: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t>评估</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管理规定执行，评价内容包含人员到位情况、服务配合程度、工程质量、安全、项目后期服务及信用评价结果、评估结果的运用等。</w:t>
      </w:r>
    </w:p>
    <w:p w14:paraId="6EA2CC4B">
      <w:pPr>
        <w:tabs>
          <w:tab w:val="left" w:pos="1260"/>
        </w:tabs>
        <w:snapToGrid w:val="0"/>
        <w:spacing w:line="360" w:lineRule="auto"/>
        <w:ind w:firstLine="442" w:firstLineChars="200"/>
        <w:rPr>
          <w:rFonts w:hint="eastAsia" w:asciiTheme="minorEastAsia" w:hAnsiTheme="minorEastAsia" w:eastAsiaTheme="minorEastAsia" w:cstheme="minorEastAsia"/>
          <w:b/>
          <w:bCs/>
          <w:color w:val="000000" w:themeColor="text1"/>
          <w:spacing w:val="-10"/>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pacing w:val="-10"/>
          <w:szCs w:val="24"/>
          <w:highlight w:val="none"/>
          <w14:textFill>
            <w14:solidFill>
              <w14:schemeClr w14:val="tx1"/>
            </w14:solidFill>
          </w14:textFill>
        </w:rPr>
        <w:t>6.设计部分：</w:t>
      </w:r>
    </w:p>
    <w:p w14:paraId="7F0A5DBC">
      <w:pPr>
        <w:tabs>
          <w:tab w:val="left" w:pos="1260"/>
        </w:tabs>
        <w:snapToGrid w:val="0"/>
        <w:spacing w:line="360" w:lineRule="auto"/>
        <w:ind w:firstLine="440" w:firstLineChars="200"/>
        <w:rPr>
          <w:rFonts w:hint="eastAsia" w:asciiTheme="minorEastAsia" w:hAnsiTheme="minorEastAsia" w:eastAsiaTheme="minorEastAsia" w:cstheme="minorEastAsia"/>
          <w:color w:val="000000" w:themeColor="text1"/>
          <w:spacing w:val="-1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0"/>
          <w:szCs w:val="24"/>
          <w:highlight w:val="none"/>
          <w14:textFill>
            <w14:solidFill>
              <w14:schemeClr w14:val="tx1"/>
            </w14:solidFill>
          </w14:textFill>
        </w:rPr>
        <w:t>6.1 本合同设计总价包括所有设计事务工作收费、技术工作收费、税金和完成合同约定的所有与工程设计有关的全部费用。</w:t>
      </w:r>
    </w:p>
    <w:p w14:paraId="79ADA182">
      <w:pPr>
        <w:tabs>
          <w:tab w:val="left" w:pos="1260"/>
        </w:tabs>
        <w:snapToGrid w:val="0"/>
        <w:spacing w:line="360" w:lineRule="auto"/>
        <w:ind w:firstLine="44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0"/>
          <w:szCs w:val="24"/>
          <w:highlight w:val="none"/>
          <w14:textFill>
            <w14:solidFill>
              <w14:schemeClr w14:val="tx1"/>
            </w14:solidFill>
          </w14:textFill>
        </w:rPr>
        <w:t>6.2 承包人必须严格按有关设计规范设</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计图纸，承包人必须秉承合理、经济、环保、适用等原则进行施工图设计，发包人有权委托第三方对承包人每阶段的设计成果（含节能、结构计算模型等）进行精细化审图、各专业优化工作，承包人需无条件根据经发包人确认的精细化审图、结构优化报告进行设计文件修改，费用不另计。</w:t>
      </w:r>
    </w:p>
    <w:p w14:paraId="28097565">
      <w:pPr>
        <w:tabs>
          <w:tab w:val="left" w:pos="1260"/>
        </w:tabs>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4"/>
          <w:highlight w:val="none"/>
          <w14:textFill>
            <w14:solidFill>
              <w14:schemeClr w14:val="tx1"/>
            </w14:solidFill>
          </w14:textFill>
        </w:rPr>
        <w:t xml:space="preserve">6.3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承包人未经发包人同意擅自对工程设计进行分包的，发包人有权收回未经发包人同意的设计分包内容，已支付该部分分包内容设计费用的在下次支付设计费时扣除，未支付的将不予支付该部分分包内容设计费 。如需其他专业分包，需提前向发包人报备，并提供相应专业资质文件，发包人同意后方可进行分包。</w:t>
      </w:r>
    </w:p>
    <w:p w14:paraId="5239C024">
      <w:pPr>
        <w:tabs>
          <w:tab w:val="left" w:pos="1260"/>
        </w:tabs>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bookmarkStart w:id="395" w:name="_Toc390613831"/>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6.4.知识产权和专利权</w:t>
      </w:r>
      <w:bookmarkEnd w:id="395"/>
    </w:p>
    <w:p w14:paraId="082AB312">
      <w:pPr>
        <w:tabs>
          <w:tab w:val="left" w:pos="1260"/>
        </w:tabs>
        <w:snapToGrid w:val="0"/>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6.4.1承包人保证投标文件及资料均未侵犯他人的知识产权，否则必须承担全部责任。若承包人使用了他人的专利、专有技术，涉及的费用由承包人负责。合同价包括所有应支付的对专利权和版权、设计和其他知识产权而需要向其他方支付的版税。</w:t>
      </w:r>
    </w:p>
    <w:p w14:paraId="7AF9765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6.4.2承包人应保护发包人的知识产权，不得向第三人泄露、转让发包人提交的产品图纸等技术经济资料。未经发包人同意，承包人不得将设计成果转让给第三方。如发生以上情况并给发包人造成经济损失，发包人有权向承包人索赔。</w:t>
      </w:r>
    </w:p>
    <w:p w14:paraId="27A39A72">
      <w:pPr>
        <w:spacing w:beforeLines="50" w:line="360" w:lineRule="auto"/>
        <w:ind w:firstLine="472" w:firstLineChars="19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6.4.3承包人应保证发包人在本项目建设过程中使用其设计文件和设计文件的任何一部分时，发包人免受第三方提出侵犯其专利权、商标权或其他知识产权的起诉。</w:t>
      </w:r>
    </w:p>
    <w:p w14:paraId="7646EA2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承包人保证发包人使用承包人设计成果将不会对任何第三方构成侵权，如因此引起任何第三方向发包人提出侵权之诉讼或索赔，均由承包人承担处理、应诉和赔偿责任。</w:t>
      </w:r>
    </w:p>
    <w:p w14:paraId="169961C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6.4.4承包人提交给发包人的设计文件，其著作权、版权、专利权和使用权归发包人所有（署名权除外）。   </w:t>
      </w:r>
    </w:p>
    <w:p w14:paraId="230ACE2B">
      <w:pPr>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6.5.</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承包人在合同有效期内，应当履行合同约定的义务，如因承包人的原因产生设计质量事故、工期延误或设计缺陷，造成损失的应承担赔偿责任。</w:t>
      </w:r>
    </w:p>
    <w:p w14:paraId="6C7B466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（1）因设计错误而造成一般质量事故的，承包人除应免收受损失部分的设计费外，还应无偿修改和完善设计，并承担给发包人造成的直接损失。</w:t>
      </w:r>
    </w:p>
    <w:p w14:paraId="132FC15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（2）因设计错误而造成重大质量事故的，承包人承担给发包人造成的直接损失，发包人有权解除设计合同，并报请有关主管部门视事故造成的损失情况给予其他处罚。</w:t>
      </w:r>
    </w:p>
    <w:p w14:paraId="08F0760F">
      <w:pPr>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6.6.</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若因承包人原因导致提交的设计成果文件无法通过发包人组织的设计审查，发包人有权发出如下任何指令，承包人必须遵照执行。</w:t>
      </w:r>
    </w:p>
    <w:p w14:paraId="5FF4EED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对不合格部分进行重新设计或修改，由此引起的费用增加和工期延误由承包人负全部责任，发包人还可视造成的时间延误和费用损失，承包人按合同价的5%～10%向甲方支付违约金；同时发包人有权解除设计合同。</w:t>
      </w:r>
    </w:p>
    <w:p w14:paraId="5DE95EF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如果重新设计或修改后的设计成果仍不能通过设计审查，或承包人没有能力完成该部分设计，发包人解除该不合格部分的合同，发包人将该不合格部分指定分包给其他设计单位，并扣除设计单位合同总价中此部分的设计费用；</w:t>
      </w:r>
    </w:p>
    <w:p w14:paraId="054A489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（3）承包人须在发包人书面同意后，将该部分内容另行委托给其他具有相应资质等级的单位设计，直至通过设计审查，该部分设计费用已包含在合同价中，不另行计算，造成损失的依法承担赔偿责任。</w:t>
      </w:r>
    </w:p>
    <w:p w14:paraId="5E30E04C">
      <w:pPr>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6.7.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承包人应赔偿因设计质量或设计图纸不完善带来的设计变更所引发的工程费增加、施工返工费、误工费等，处理原则如下：</w:t>
      </w:r>
    </w:p>
    <w:p w14:paraId="2E5541B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（1）由于设计质量或设计图纸不完善引起的施工返工，承包人应及时处理，并每次扣减设计合同价的2%作为违约金。</w:t>
      </w:r>
    </w:p>
    <w:p w14:paraId="5C92582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由于设计质量或设计图纸不完善引起的施工返工、停工，承包人未能及时处理，每次扣减设计合同价的2%作为违约金，对施工工期造成较大影响，还须按设计合同价的15%赔偿，经监理单位和发包人确认后，承包人在申请当期设计费之前支付给发包人。</w:t>
      </w:r>
    </w:p>
    <w:p w14:paraId="700BDE6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由于设计质量或设计图纸不完善导致的设计变更引起工程造价增加，以至超出审批的概算投资额，如设计变更未对施工工期造成影响，承包人按超额部分的5%赔偿发包人；如设计变更对施工工期造成影响，承包人按超额部分的10%赔偿发包人。承包人还应对设计进行修改或调整，以保证工程总费用控制在总投资计划内或限额设计指标内。</w:t>
      </w:r>
    </w:p>
    <w:p w14:paraId="58EF93D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由于设计质量设计图纸不完善所引起的工程费增加，超出审批的概算投资额，承包人无法调整到限额内，发包人有权不支付设计费，已支付的设计费承包人应返还发包人，发包人有权拒绝承包人参加发包人的任何设计项目的投标，并将承包人的不良行为上报行业主管部门。</w:t>
      </w:r>
    </w:p>
    <w:p w14:paraId="140D7E72">
      <w:pPr>
        <w:pStyle w:val="70"/>
        <w:ind w:firstLine="602" w:firstLineChars="2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6.7.1</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工程变更的程序和管理按</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项目所在地的</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政府投资项目财政投资评审</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相关文件</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执行。如因设计人的责任引起变更造成投资规模增加，按如下规定追究设计人的违约责任：</w:t>
      </w:r>
    </w:p>
    <w:p w14:paraId="36AB7623">
      <w:pPr>
        <w:pStyle w:val="70"/>
        <w:ind w:firstLine="600" w:firstLineChars="2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（1）因设计人责任引起变更造成投资规模增加10%以上的，扣减设计人设计合同价20%的违约金；</w:t>
      </w:r>
    </w:p>
    <w:p w14:paraId="1B80E621">
      <w:pPr>
        <w:pStyle w:val="70"/>
        <w:ind w:firstLine="600" w:firstLineChars="2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（2）因设计人责任引起变更造成投资规模增加15%以上的，扣减设计人设计合同价30%的违约金；</w:t>
      </w:r>
    </w:p>
    <w:p w14:paraId="6450AEFB">
      <w:pPr>
        <w:spacing w:line="360" w:lineRule="auto"/>
        <w:ind w:firstLine="480"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（3）因设计人责任引起变更造成投资规模增加20%以上的，扣减设计人设计合同价40%的违约金。</w:t>
      </w:r>
    </w:p>
    <w:p w14:paraId="52D74DB7">
      <w:pPr>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6.8</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承包人未按照国家及建设部现行的强制性技术标准、规范和规程进行设计，或承包人在设计成果中未经发包人认可擅自指定或变相指定材料或设备生产厂商、供应商的，承包人按合同价的5%～10%向发包人支付违约金。</w:t>
      </w:r>
    </w:p>
    <w:p w14:paraId="58645C64">
      <w:pPr>
        <w:spacing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6.9</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承包人保证，未经发包人书面同意，不得将本合同项下的任何工作任务委托第三人履行，对于工程设计内容中超出承包人资质条件的分部、分项工程，承包人不得超越自身资质条件进行设计或自行将设计任务转包、分包，否则，发包人可以立即解除本合同，并且不需要向承包人支付任何费用。发包人将有权终止合同，承包人按合同价的5%～10%向发包人支付违约金。</w:t>
      </w:r>
    </w:p>
    <w:p w14:paraId="1D5B2D9E">
      <w:pPr>
        <w:pStyle w:val="8"/>
        <w:snapToGrid w:val="0"/>
        <w:spacing w:line="360" w:lineRule="auto"/>
        <w:ind w:left="63" w:right="63" w:firstLine="482" w:firstLineChars="200"/>
        <w:jc w:val="left"/>
        <w:rPr>
          <w:rFonts w:hint="eastAsia" w:asciiTheme="minorEastAsia" w:hAnsiTheme="minorEastAsia" w:eastAsiaTheme="minorEastAsia" w:cstheme="minorEastAsia"/>
          <w:b/>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Cs w:val="24"/>
          <w:highlight w:val="none"/>
          <w14:textFill>
            <w14:solidFill>
              <w14:schemeClr w14:val="tx1"/>
            </w14:solidFill>
          </w14:textFill>
        </w:rPr>
        <w:t>6.10 除招标文件规定的服务内容外，承包人还须完成以下各阶段服务内容：</w:t>
      </w:r>
    </w:p>
    <w:p w14:paraId="05A389AA">
      <w:pPr>
        <w:spacing w:line="360" w:lineRule="auto"/>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6.10.1 施工图设计阶段</w:t>
      </w:r>
    </w:p>
    <w:p w14:paraId="17150E23">
      <w:pPr>
        <w:pStyle w:val="38"/>
        <w:ind w:firstLine="240" w:firstLineChars="100"/>
        <w:jc w:val="left"/>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（1）负责完成并制作总图、建筑、结构、</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建筑装饰装修、给排水、电气、照明、消防、节能、无障碍设计、安防及智能系统、充电桩、</w:t>
      </w:r>
      <w:r>
        <w:rPr>
          <w:rFonts w:hint="eastAsia" w:asciiTheme="minorEastAsia" w:hAnsiTheme="minorEastAsia" w:eastAsiaTheme="minorEastAsia" w:cstheme="minorEastAsia"/>
          <w:snapToGrid w:val="0"/>
          <w:color w:val="000000" w:themeColor="text1"/>
          <w:kern w:val="0"/>
          <w:highlight w:val="none"/>
          <w:u w:val="none" w:color="auto"/>
          <w14:textFill>
            <w14:solidFill>
              <w14:schemeClr w14:val="tx1"/>
            </w14:solidFill>
          </w14:textFill>
        </w:rPr>
        <w:t>海绵城市</w:t>
      </w:r>
      <w:r>
        <w:rPr>
          <w:rFonts w:hint="eastAsia" w:asciiTheme="minorEastAsia" w:hAnsiTheme="minorEastAsia" w:eastAsiaTheme="minorEastAsia" w:cstheme="minorEastAsia"/>
          <w:snapToGrid w:val="0"/>
          <w:color w:val="000000" w:themeColor="text1"/>
          <w:kern w:val="0"/>
          <w:highlight w:val="none"/>
          <w:u w:val="none" w:color="auto"/>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highlight w:val="none"/>
          <w14:textFill>
            <w14:solidFill>
              <w14:schemeClr w14:val="tx1"/>
            </w14:solidFill>
          </w14:textFill>
        </w:rPr>
        <w:t>雨污分流、道路、综合管网等所有专项设计及红线范围内的所有工程及相关配套工程、设施等本项目涉及的全部专业的施工图设计文件；</w:t>
      </w:r>
    </w:p>
    <w:p w14:paraId="1956F62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（2）对发包人的审核修改意见进行修改、完善，保证其设计意图的最终实现； </w:t>
      </w:r>
    </w:p>
    <w:p w14:paraId="743FBD6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（3）根据项目开发进度要求及时提供各阶段报审图纸，协助发包人进行报审工作，根据审查结果在本合同约定的范围内进行修改调整，直至审查通过，并最终向发包人提交正式的施工图设计文件； </w:t>
      </w:r>
    </w:p>
    <w:p w14:paraId="0ADCC53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（4）协助发包人进行工程招标答疑。</w:t>
      </w:r>
    </w:p>
    <w:p w14:paraId="0383F98F">
      <w:pPr>
        <w:spacing w:line="360" w:lineRule="auto"/>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6.10.2 施工配合阶段</w:t>
      </w:r>
    </w:p>
    <w:p w14:paraId="4A574BD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（1）负责工程设计交底，解答施工过程中施工承包人有关施工图的问题，项目负责人及各专业设计负责人，及时对施工中与设计有关的问题做出回应，保证设计满足施工要求； </w:t>
      </w:r>
    </w:p>
    <w:p w14:paraId="2472C73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（2）根据发包人要求，及时参加与设计有关的专题会，现场解决技术问题； </w:t>
      </w:r>
    </w:p>
    <w:p w14:paraId="4B44A9D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（3）协助发包人处理工程洽商和设计变更，负责有关设计修改，及时办理相关手续； </w:t>
      </w:r>
    </w:p>
    <w:p w14:paraId="420862F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（4）参与与承包人相关的必要的验收以及项目竣工验收工作，并及时办理相关手续； </w:t>
      </w:r>
    </w:p>
    <w:p w14:paraId="5EDF068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（5）提供产品选型、设备加工订货、建筑材料选择以及分包商考察等技术咨询工作； </w:t>
      </w:r>
    </w:p>
    <w:p w14:paraId="0888DEB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（6）应发包人要求协助审核各分包商的设计文件是否满足接口条件并签署意见，以保证其与总体设计协调一致，并满足工程要求。</w:t>
      </w:r>
    </w:p>
    <w:p w14:paraId="76F4A36F">
      <w:pPr>
        <w:spacing w:line="360" w:lineRule="auto"/>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6.11 </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承包人义务及违约责任</w:t>
      </w:r>
    </w:p>
    <w:p w14:paraId="2C3A3EBA">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6.11.1 承包人义务</w:t>
      </w:r>
    </w:p>
    <w:p w14:paraId="17D7AC56">
      <w:pPr>
        <w:adjustRightInd w:val="0"/>
        <w:snapToGrid w:val="0"/>
        <w:spacing w:line="360" w:lineRule="auto"/>
        <w:ind w:firstLine="360" w:firstLineChars="15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（1）中标通知书发出后30天内第一中标候选人不按招标文件约定条款签订设计合同的，视为自动放弃中标资格，没收投标保证金，并确定第二中标候选人为承包人，以此类推。并上报建设行政主管部门。</w:t>
      </w:r>
    </w:p>
    <w:p w14:paraId="0DFEDA0F">
      <w:pPr>
        <w:adjustRightInd w:val="0"/>
        <w:snapToGrid w:val="0"/>
        <w:spacing w:line="360" w:lineRule="auto"/>
        <w:ind w:firstLine="360" w:firstLineChars="15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（2）合同生效后，承包人要求终止或解除合同视为承包人违约，扣除履约保证金。</w:t>
      </w:r>
    </w:p>
    <w:p w14:paraId="33A5488B">
      <w:pPr>
        <w:adjustRightInd w:val="0"/>
        <w:snapToGrid w:val="0"/>
        <w:spacing w:line="360" w:lineRule="auto"/>
        <w:ind w:firstLine="360" w:firstLineChars="15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承包人负责按照合同规定承包范围、内容和方式，在规定时间内提交满足规定质量要求的设计成果，并完成约定的服务内容。承包人交付设计文件后，按规定参加有关的设计审查，并根据审查结论负责不超出原定范围的内容做必要调整补充。承包人按合同规定时限交付设计文件，负责向发包人及施工单位进行设计交底、处理有关设计问题和参加竣工验收。施工过程中负责有关工程变更的变更设计和变更预算编制。</w:t>
      </w:r>
    </w:p>
    <w:p w14:paraId="604E97C5">
      <w:pPr>
        <w:adjustRightInd w:val="0"/>
        <w:snapToGrid w:val="0"/>
        <w:spacing w:line="360" w:lineRule="auto"/>
        <w:ind w:firstLine="360" w:firstLineChars="15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（4）承包人应对发包人提供的文件、资料进行认真研究，对本项目的特点和不确定因素进行认真考虑，并提出合理建议和评价，对影响设计稳定的重大问题要进行多方案比较选择。</w:t>
      </w:r>
    </w:p>
    <w:p w14:paraId="28A65C99">
      <w:pPr>
        <w:adjustRightInd w:val="0"/>
        <w:snapToGrid w:val="0"/>
        <w:spacing w:line="360" w:lineRule="auto"/>
        <w:ind w:firstLine="360" w:firstLineChars="15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（5）设计应尽可能减少施工难度，为施工创造方便合理的施工条件；应尽量减少施工对城市交通、市民生活以及水利、通航的干扰，并尽可能减少对施工期的影响。</w:t>
      </w:r>
    </w:p>
    <w:p w14:paraId="43EA8292">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（6）未经发包人书面同意，承包人不得对已批准的设计和勘探点布置方案作重大修改、增减或删除。</w:t>
      </w:r>
    </w:p>
    <w:p w14:paraId="67F146A7">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（7）承包人提交的全部设计文件应考虑地质因素、正常施工中可能出现的各种因素，对设计文件出现的遗漏或错误负责修改或补充。</w:t>
      </w:r>
    </w:p>
    <w:p w14:paraId="2425312F">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（8）承包人承诺在交付项目的部分或全部设计文件后，如有更好的新工艺、新技术、新材料、新设备等适用于本项目，应及时向发包人推荐并提供科学的评估和来源证明。</w:t>
      </w:r>
    </w:p>
    <w:p w14:paraId="583ADEAE">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（9）承包人驻</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仁化县</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办公的项目负责人（即投标文件所拟派的项目负责人）必须负责本项目设计全过程（包括施工图设计审查、施工图设计修编、图纸会审和技术交底）。</w:t>
      </w:r>
    </w:p>
    <w:p w14:paraId="67D8145B">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10）承包人应委派1名参与并熟悉本项目设计任务，有现场处理经验的设计代表常驻项目现场。承包人应为派驻现场的设计工作人员提供工作、生活及交通等方面的便利条件及准备必要的劳动保护装备。在正常施工阶段，每月应保证最少20天在现场。</w:t>
      </w:r>
    </w:p>
    <w:p w14:paraId="6485A340">
      <w:pPr>
        <w:adjustRightInd w:val="0"/>
        <w:snapToGrid w:val="0"/>
        <w:spacing w:line="360" w:lineRule="auto"/>
        <w:ind w:firstLine="240" w:firstLineChars="1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（11）承包人要按照批准的设计任务书，按照批准的总概算控制施工图设计，即限额设计。承包人要无条件对设计文件出现的遗漏或错误负责修改或补充，直到满足要求。</w:t>
      </w:r>
    </w:p>
    <w:p w14:paraId="3457E2D1">
      <w:pPr>
        <w:adjustRightInd w:val="0"/>
        <w:snapToGrid w:val="0"/>
        <w:spacing w:line="360" w:lineRule="auto"/>
        <w:ind w:firstLine="244" w:firstLineChars="1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Cs w:val="24"/>
          <w:highlight w:val="none"/>
          <w14:textFill>
            <w14:solidFill>
              <w14:schemeClr w14:val="tx1"/>
            </w14:solidFill>
          </w14:textFill>
        </w:rPr>
        <w:t xml:space="preserve"> （12）发包人及咨询</w:t>
      </w:r>
      <w:r>
        <w:rPr>
          <w:rFonts w:hint="eastAsia" w:asciiTheme="minorEastAsia" w:hAnsiTheme="minorEastAsia" w:eastAsiaTheme="minorEastAsia" w:cstheme="minorEastAsia"/>
          <w:color w:val="000000" w:themeColor="text1"/>
          <w:spacing w:val="1"/>
          <w:szCs w:val="24"/>
          <w:highlight w:val="none"/>
          <w14:textFill>
            <w14:solidFill>
              <w14:schemeClr w14:val="tx1"/>
            </w14:solidFill>
          </w14:textFill>
        </w:rPr>
        <w:t>单</w:t>
      </w:r>
      <w:r>
        <w:rPr>
          <w:rFonts w:hint="eastAsia" w:asciiTheme="minorEastAsia" w:hAnsiTheme="minorEastAsia" w:eastAsiaTheme="minorEastAsia" w:cstheme="minorEastAsia"/>
          <w:color w:val="000000" w:themeColor="text1"/>
          <w:spacing w:val="2"/>
          <w:szCs w:val="24"/>
          <w:highlight w:val="none"/>
          <w14:textFill>
            <w14:solidFill>
              <w14:schemeClr w14:val="tx1"/>
            </w14:solidFill>
          </w14:textFill>
        </w:rPr>
        <w:t>位、上级</w:t>
      </w:r>
      <w:r>
        <w:rPr>
          <w:rFonts w:hint="eastAsia" w:asciiTheme="minorEastAsia" w:hAnsiTheme="minorEastAsia" w:eastAsiaTheme="minorEastAsia" w:cstheme="minorEastAsia"/>
          <w:color w:val="000000" w:themeColor="text1"/>
          <w:spacing w:val="1"/>
          <w:szCs w:val="24"/>
          <w:highlight w:val="none"/>
          <w14:textFill>
            <w14:solidFill>
              <w14:schemeClr w14:val="tx1"/>
            </w14:solidFill>
          </w14:textFill>
        </w:rPr>
        <w:t>主</w:t>
      </w:r>
      <w:r>
        <w:rPr>
          <w:rFonts w:hint="eastAsia" w:asciiTheme="minorEastAsia" w:hAnsiTheme="minorEastAsia" w:eastAsiaTheme="minorEastAsia" w:cstheme="minorEastAsia"/>
          <w:color w:val="000000" w:themeColor="text1"/>
          <w:spacing w:val="2"/>
          <w:szCs w:val="24"/>
          <w:highlight w:val="none"/>
          <w14:textFill>
            <w14:solidFill>
              <w14:schemeClr w14:val="tx1"/>
            </w14:solidFill>
          </w14:textFill>
        </w:rPr>
        <w:t>管部门对设计</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文件的审查并不免除承包人的责任。</w:t>
      </w:r>
    </w:p>
    <w:p w14:paraId="76582261">
      <w:pPr>
        <w:adjustRightInd w:val="0"/>
        <w:snapToGrid w:val="0"/>
        <w:spacing w:line="360" w:lineRule="auto"/>
        <w:ind w:firstLine="360" w:firstLineChars="15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（13）中标通知书发出后三天内，中标单位法定代表人及主要负责人、项目经理、设计负责人应积极主动与发包人接洽工作，迅速有效推动工程前期工作顺利开展，逾期未履行，作违约处理。</w:t>
      </w:r>
    </w:p>
    <w:p w14:paraId="1AA5A9B9">
      <w:pPr>
        <w:adjustRightInd w:val="0"/>
        <w:snapToGrid w:val="0"/>
        <w:spacing w:line="360" w:lineRule="auto"/>
        <w:ind w:firstLine="120" w:firstLineChars="50"/>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6.11.2 </w:t>
      </w: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承包人违约的处理</w:t>
      </w:r>
    </w:p>
    <w:p w14:paraId="4D58CA92">
      <w:pPr>
        <w:spacing w:line="360" w:lineRule="auto"/>
        <w:ind w:firstLine="360" w:firstLineChars="1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（1）承包人发生合同约定的违约情况时，无论发包人是否解除合同，发包人均有权按相关规定</w:t>
      </w:r>
      <w:r>
        <w:rPr>
          <w:rFonts w:hint="eastAsia" w:asciiTheme="minorEastAsia" w:hAnsiTheme="minorEastAsia" w:eastAsiaTheme="minorEastAsia" w:cstheme="minorEastAsia"/>
          <w:color w:val="000000" w:themeColor="text1"/>
          <w:highlight w:val="none"/>
          <w14:textFill>
            <w14:solidFill>
              <w14:schemeClr w14:val="tx1"/>
            </w14:solidFill>
          </w14:textFill>
        </w:rPr>
        <w:t>扣除</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违约金，并由发包人将其违约行为记录在合同履约评价报告中，作为合同履约综合评价的依据。同时，发包人将</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的违约行为</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上报建设行政主管部门。</w:t>
      </w:r>
    </w:p>
    <w:p w14:paraId="407377F9">
      <w:pPr>
        <w:spacing w:line="360" w:lineRule="auto"/>
        <w:ind w:firstLine="360" w:firstLineChars="1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（2）发包人按合同规定向</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开出的任何违约金，除合同另有规定外，均从发包人应向</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支付的</w:t>
      </w:r>
      <w:r>
        <w:rPr>
          <w:rFonts w:hint="eastAsia" w:asciiTheme="minorEastAsia" w:hAnsiTheme="minorEastAsia" w:eastAsiaTheme="minorEastAsia" w:cstheme="minorEastAsia"/>
          <w:color w:val="000000" w:themeColor="text1"/>
          <w:highlight w:val="none"/>
          <w14:textFill>
            <w14:solidFill>
              <w14:schemeClr w14:val="tx1"/>
            </w14:solidFill>
          </w14:textFill>
        </w:rPr>
        <w:t>服务费</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中直接扣除。除非合同另有规定，发包人向</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开出的任何违约金将导致承包人最终的应得结算价款相应地减少。</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必须完全接受上述条款。</w:t>
      </w:r>
    </w:p>
    <w:p w14:paraId="63194622">
      <w:pPr>
        <w:spacing w:line="360" w:lineRule="auto"/>
        <w:ind w:firstLine="360" w:firstLineChars="15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（3）发包人按合同规定向</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开出的任何违约金的扣除时间，可以在发包人认为合适的任何一个期中支付月份中扣除。发包人扣除违约金时间的延迟或滞后并不代表对</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当时各种行为的认可或默认。</w:t>
      </w:r>
    </w:p>
    <w:p w14:paraId="7F3955F0">
      <w:pPr>
        <w:spacing w:line="360" w:lineRule="auto"/>
        <w:ind w:firstLine="360" w:firstLineChars="15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承包人</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的违约金由发包人掌握使用。</w:t>
      </w:r>
    </w:p>
    <w:p w14:paraId="0598E51B">
      <w:pPr>
        <w:spacing w:line="360" w:lineRule="auto"/>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6.12</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发包人有权根据有关管理制度对承包人的履约情况纳入履约信用评价体系进行履约信用评价，并将评价结果报送给有关监管部门。</w:t>
      </w:r>
    </w:p>
    <w:p w14:paraId="3F964444">
      <w:pPr>
        <w:pStyle w:val="7"/>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履约信用评价按发包人履约信用评价管理规定执行，评价内容包含人员到位情况、服务配合程度、服务成果质量、项目后期服务及履约信用评价结果的运用等。</w:t>
      </w:r>
    </w:p>
    <w:p w14:paraId="478708A0">
      <w:pP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396" w:name="_Toc11306"/>
      <w:bookmarkStart w:id="397" w:name="_Toc18208"/>
      <w:bookmarkStart w:id="398" w:name="_Toc15865"/>
      <w:bookmarkStart w:id="399" w:name="_Toc16036"/>
      <w:bookmarkStart w:id="400" w:name="_Toc5081"/>
      <w:bookmarkStart w:id="401" w:name="_Toc10003"/>
      <w:bookmarkStart w:id="402" w:name="_Toc31905"/>
      <w:bookmarkStart w:id="403" w:name="_Toc28950"/>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br w:type="page"/>
      </w:r>
    </w:p>
    <w:p w14:paraId="3DA6AA42">
      <w:pPr>
        <w:pStyle w:val="39"/>
        <w:keepNext/>
        <w:keepLines/>
        <w:tabs>
          <w:tab w:val="left" w:pos="885"/>
        </w:tabs>
        <w:spacing w:line="400" w:lineRule="exact"/>
        <w:jc w:val="center"/>
        <w:rPr>
          <w:rFonts w:hint="eastAsia" w:asciiTheme="minorEastAsia" w:hAnsiTheme="minorEastAsia" w:eastAsiaTheme="minorEastAsia" w:cstheme="minorEastAsia"/>
          <w:b/>
          <w:color w:val="000000" w:themeColor="text1"/>
          <w:kern w:val="44"/>
          <w:sz w:val="24"/>
          <w:highlight w:val="none"/>
          <w14:textFill>
            <w14:solidFill>
              <w14:schemeClr w14:val="tx1"/>
            </w14:solidFill>
          </w14:textFill>
        </w:rPr>
      </w:pPr>
      <w:bookmarkStart w:id="404" w:name="_Toc11167"/>
      <w:bookmarkStart w:id="405" w:name="_Toc5296"/>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第三</w:t>
      </w:r>
      <w:bookmarkStart w:id="406" w:name="_Hlt69669171"/>
      <w:bookmarkEnd w:id="406"/>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章</w:t>
      </w:r>
      <w:bookmarkStart w:id="407" w:name="_Hlt87793839"/>
      <w:bookmarkEnd w:id="407"/>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 xml:space="preserve"> 中标人须知</w:t>
      </w:r>
      <w:bookmarkEnd w:id="396"/>
      <w:bookmarkEnd w:id="397"/>
      <w:bookmarkEnd w:id="398"/>
      <w:bookmarkEnd w:id="399"/>
      <w:bookmarkEnd w:id="400"/>
      <w:bookmarkEnd w:id="401"/>
      <w:bookmarkEnd w:id="402"/>
      <w:bookmarkEnd w:id="403"/>
      <w:bookmarkEnd w:id="404"/>
      <w:bookmarkEnd w:id="405"/>
    </w:p>
    <w:p w14:paraId="5E0C751A">
      <w:pPr>
        <w:pStyle w:val="38"/>
        <w:rPr>
          <w:rFonts w:hint="eastAsia" w:asciiTheme="minorEastAsia" w:hAnsiTheme="minorEastAsia" w:eastAsiaTheme="minorEastAsia" w:cstheme="minorEastAsia"/>
          <w:color w:val="000000" w:themeColor="text1"/>
          <w:highlight w:val="none"/>
          <w14:textFill>
            <w14:solidFill>
              <w14:schemeClr w14:val="tx1"/>
            </w14:solidFill>
          </w14:textFill>
        </w:rPr>
      </w:pPr>
    </w:p>
    <w:bookmarkEnd w:id="340"/>
    <w:bookmarkEnd w:id="341"/>
    <w:bookmarkEnd w:id="342"/>
    <w:p w14:paraId="0058A4E3">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招标人向中标人发出的《中标通知书》对招标人和中标人均具有法律约束力。中标通知书发出后，招标人改变中标结果和中标人放弃中标的，应当承担法律责任。</w:t>
      </w:r>
    </w:p>
    <w:p w14:paraId="234D73AD">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3.2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中标人不与招标人签订合同，招标人可以取消其中标人资格。给招标人造成经济损失的，招标人可以向中标人索赔。</w:t>
      </w:r>
    </w:p>
    <w:p w14:paraId="20496272">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3.3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中标人在施工期间应严格遵守国家、省、市有关防火、爆破和施工安全以及文明施工、深夜施工、环卫城管等规定，建立规章制度和防护措施。否则，由此造成的经济损失和法律责任，均由中标人负责。</w:t>
      </w:r>
    </w:p>
    <w:p w14:paraId="69865219">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中标人必须做好施工场地地下地上管线和邻近建筑物、构筑物（包括文物保护建筑）、名树名木（如有）的保护工作。</w:t>
      </w:r>
    </w:p>
    <w:p w14:paraId="424CAA53">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3.4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中标人应按安全施工的要求，采取严格科学的安全措施，确保施工安全和第三者的安全，承担由于自身安全措施不力所造成的事故责任和发生的费用。</w:t>
      </w:r>
    </w:p>
    <w:p w14:paraId="63C049DA">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bookmarkStart w:id="408" w:name="_Hlt93117969"/>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3.5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为保证施工现场的环境卫生，中标人在本项目施工过程中，所有的车辆必须按招标人规定的行车路线行驶。</w:t>
      </w:r>
    </w:p>
    <w:bookmarkEnd w:id="408"/>
    <w:p w14:paraId="3B62520D">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3.6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中标人的投标书所报的项目管理班子人员（项目经理、技术负责人、施工员、质量员、安全员等）必须是</w:t>
      </w:r>
      <w:bookmarkStart w:id="409" w:name="_Hlt66261069"/>
      <w:bookmarkEnd w:id="409"/>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中标后实际的项目管理班子人员，否则招标人有权终止合同。</w:t>
      </w:r>
    </w:p>
    <w:p w14:paraId="576E7641">
      <w:pPr>
        <w:pStyle w:val="7"/>
        <w:spacing w:line="360" w:lineRule="auto"/>
        <w:ind w:firstLine="48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 w:val="24"/>
          <w:szCs w:val="24"/>
          <w:highlight w:val="none"/>
          <w14:textFill>
            <w14:solidFill>
              <w14:schemeClr w14:val="tx1"/>
            </w14:solidFill>
          </w14:textFill>
        </w:rPr>
        <w:t>根据项目实施进度情况，招标人有权要求中标人增派项目管理人员，以满足项目的现场管理工作要求。</w:t>
      </w:r>
    </w:p>
    <w:p w14:paraId="735E9A98">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3.7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项目竣工验收合格后三十个工作日内必须向招标人提供一式八份符合韶关市及</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城市建设档案馆要求的工程竣工档案（含纸质、声像及电子等形式的档案），声像及电子档案的制作费用由中标人承担。</w:t>
      </w:r>
    </w:p>
    <w:p w14:paraId="676A5B77">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3.8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合同范围内的工程项目未经招标人同意一律不得分包，一经发现，取消中标人的承包资格，中标人承担由此引起的一切责任和经济损失。</w:t>
      </w:r>
    </w:p>
    <w:p w14:paraId="47B280C0">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3.9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现场应自设检验实验室，用于对建筑材料、构件和建筑物进行一般性鉴定、检查等。</w:t>
      </w:r>
    </w:p>
    <w:p w14:paraId="3D930995">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3.10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中标人须服从工程监理单位对工程质量全方位的监理，施工中的年度计划、季度计划、月度计划、施工方案等应报送监理单位审批和招标人备案。施工中的质量保证等资料均应及时报送监理单位和招标人备案。</w:t>
      </w:r>
    </w:p>
    <w:p w14:paraId="42B876A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3.11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招标文件、招标答疑书、投标文件和中标通知书是招标人与中标人双方签订的施工合同的主要组成部分，并与合同一样，具有相同的法律效力。</w:t>
      </w:r>
      <w:bookmarkStart w:id="410" w:name="_Hlt66508904"/>
      <w:bookmarkEnd w:id="410"/>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如中标通知书发出后，发现中标人的投标文件中有与招标文件所述内容及要求不符的，按招标文件执行。</w:t>
      </w:r>
    </w:p>
    <w:p w14:paraId="42E241A5">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3.12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中标之后，若招标范围内有专业工程必须分包的，招标人不另行支付总包服务费；其分包合同由中标人与分包人双方签订，招标人不参与中标人与分包人之间的结算，该部分工程的造价仍按中标人与招标人签订的合同的有关结算条款进行结算。</w:t>
      </w:r>
    </w:p>
    <w:p w14:paraId="021D5F7C">
      <w:pPr>
        <w:spacing w:line="360" w:lineRule="auto"/>
        <w:ind w:firstLine="354"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3.13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若设计超过了限额标准，中标人必须无条件优化，直至达到限额要求为止，设计及施工工期不予以顺延，招标人不再支付由此而增加的设计费。</w:t>
      </w:r>
    </w:p>
    <w:p w14:paraId="1AD583C4">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3.14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提交的施工图阶段的设计成果必须经招标人组织的专家委员会评审确认后，再送有资质的审图单位的进行审查，若由于专家委员会和审图单位在审查过程中提出的设计修改或变更，中标人必须无条件进行修改或优化设计，招标人不再支付由此而增加的设计费用。</w:t>
      </w:r>
    </w:p>
    <w:p w14:paraId="6B02BEA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3.15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增加工程造价在施工14天前中标人必须提供详细的报价书（含工程项目名称、变更部位、理由、预计造价等）给监理单位核实并报招标人或有关审核部门核定后，方可施工。</w:t>
      </w:r>
    </w:p>
    <w:p w14:paraId="143225EE">
      <w:pPr>
        <w:spacing w:line="360" w:lineRule="auto"/>
        <w:ind w:firstLine="354"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3.16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中标人中标后，必须按规定到韶关市公共资源交易中心办理相关手续方可领取中标通知书。</w:t>
      </w:r>
    </w:p>
    <w:p w14:paraId="3574B252">
      <w:pPr>
        <w:spacing w:line="360" w:lineRule="auto"/>
        <w:ind w:firstLine="354"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3.17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中标人中标后必须按招标人的要求采购材料及设备。</w:t>
      </w:r>
    </w:p>
    <w:p w14:paraId="5FF749A6">
      <w:pPr>
        <w:spacing w:line="360" w:lineRule="auto"/>
        <w:ind w:firstLine="354" w:firstLineChars="147"/>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 3.18 </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中标通知书发出后，中标方应在30个日历天内缴工人工资保证金、意外伤害险等。</w:t>
      </w:r>
    </w:p>
    <w:p w14:paraId="4F086136">
      <w:pPr>
        <w:wordWrap w:val="0"/>
        <w:adjustRightInd w:val="0"/>
        <w:snapToGrid w:val="0"/>
        <w:spacing w:line="360" w:lineRule="auto"/>
        <w:ind w:firstLine="482" w:firstLineChars="2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中标人必须在项目开工前，在项目所在地银行</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设立工人工资支付专用账户和安全文明施工措施费专用帐户</w:t>
      </w:r>
      <w:r>
        <w:rPr>
          <w:rFonts w:hint="eastAsia" w:asciiTheme="minorEastAsia" w:hAnsiTheme="minorEastAsia" w:eastAsiaTheme="minorEastAsia" w:cstheme="minorEastAsia"/>
          <w:b/>
          <w:bCs/>
          <w:snapToGrid w:val="0"/>
          <w:color w:val="000000" w:themeColor="text1"/>
          <w:kern w:val="0"/>
          <w:highlight w:val="none"/>
          <w14:textFill>
            <w14:solidFill>
              <w14:schemeClr w14:val="tx1"/>
            </w14:solidFill>
          </w14:textFill>
        </w:rPr>
        <w:t>，</w:t>
      </w: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中标人应在工资专户开立后2个工作日内，将开户银行及其账号、开户协议等资料提交给招标人。</w:t>
      </w:r>
    </w:p>
    <w:p w14:paraId="6F771656">
      <w:pPr>
        <w:spacing w:line="360" w:lineRule="auto"/>
        <w:ind w:firstLine="354" w:firstLineChars="147"/>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中标人应建立劳动用工管理台账，并按月将工人工资支付明细表报招标人备案。若中标人拖延按工期延误处理，拖延一天，则计算工期延误一天。</w:t>
      </w:r>
    </w:p>
    <w:p w14:paraId="508BA343">
      <w:pPr>
        <w:wordWrap w:val="0"/>
        <w:adjustRightInd w:val="0"/>
        <w:snapToGrid w:val="0"/>
        <w:spacing w:line="360" w:lineRule="auto"/>
        <w:ind w:firstLine="482" w:firstLineChars="200"/>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中标人必须按相关规定做好用工实名制管理，建立考勤机制，并实施实名信息化管理。</w:t>
      </w:r>
    </w:p>
    <w:p w14:paraId="75A5DC25">
      <w:pPr>
        <w:spacing w:line="360" w:lineRule="auto"/>
        <w:ind w:firstLine="354"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3.19</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本项目各个阶段的设计成果必须经招标人及有关审批部门同意后方可进行下一工序的设计工作，若招标人或有关审批部门在审批过程中提出的设计修改或变更，中标人必须无条件进行修改或变更，招标人不再支付由此而增加的设计费用。</w:t>
      </w:r>
    </w:p>
    <w:p w14:paraId="333B69E0">
      <w:pPr>
        <w:spacing w:line="360" w:lineRule="auto"/>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3.20 </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若中标人自中标通知书发出之日起20个工作日内仍未提供履约担保的，视同中标单位自动放弃中标资格，招标人通报建设行政主管部门后有权另行选择中标人。</w:t>
      </w:r>
    </w:p>
    <w:p w14:paraId="61DB5ED5">
      <w:pPr>
        <w:spacing w:line="360" w:lineRule="auto"/>
        <w:ind w:firstLine="482" w:firstLineChars="20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3.21 </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若中标人自中标通知书发出之日起30天内仍未签订合同，视同中标人自动放弃中标权利，招标人通报建设行政主管部门后有权另行选择中标人。</w:t>
      </w:r>
    </w:p>
    <w:p w14:paraId="76B3E789">
      <w:pPr>
        <w:pStyle w:val="38"/>
        <w:ind w:firstLine="482" w:firstLineChars="200"/>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3.22 中标人应按招标人确认后的主要材料的规格、颜色要求采购。如变更规格或颜色，必须经招标人、业主同意，并报有关审核部门重新核定单价后方可采购，并相应调整工程造价。主要材料必须先提供样板或有关资料给招标人、业主确定其规格、颜色、等级等，然后方可使用。</w:t>
      </w:r>
    </w:p>
    <w:p w14:paraId="65A24042">
      <w:pPr>
        <w:snapToGrid w:val="0"/>
        <w:spacing w:line="360" w:lineRule="auto"/>
        <w:ind w:firstLine="472" w:firstLineChars="196"/>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 xml:space="preserve"> 3.23 </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产生</w:t>
      </w:r>
      <w:r>
        <w:rPr>
          <w:rFonts w:hint="eastAsia" w:asciiTheme="minorEastAsia" w:hAnsiTheme="minorEastAsia" w:eastAsiaTheme="minorEastAsia" w:cstheme="minorEastAsia"/>
          <w:b/>
          <w:color w:val="000000" w:themeColor="text1"/>
          <w:szCs w:val="24"/>
          <w:highlight w:val="none"/>
          <w:lang w:val="en-US" w:eastAsia="zh-CN"/>
          <w14:textFill>
            <w14:solidFill>
              <w14:schemeClr w14:val="tx1"/>
            </w14:solidFill>
          </w14:textFill>
        </w:rPr>
        <w:t>定</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标候选人后，招标人应将</w:t>
      </w:r>
      <w:r>
        <w:rPr>
          <w:rFonts w:hint="eastAsia" w:asciiTheme="minorEastAsia" w:hAnsiTheme="minorEastAsia" w:eastAsiaTheme="minorEastAsia" w:cstheme="minorEastAsia"/>
          <w:b/>
          <w:color w:val="000000" w:themeColor="text1"/>
          <w:szCs w:val="24"/>
          <w:highlight w:val="none"/>
          <w:lang w:val="en-US" w:eastAsia="zh-CN"/>
          <w14:textFill>
            <w14:solidFill>
              <w14:schemeClr w14:val="tx1"/>
            </w14:solidFill>
          </w14:textFill>
        </w:rPr>
        <w:t>定</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标候选人投标文件商务部分除涉及商业秘密的其他资料在广东省招标投标监管网</w:t>
      </w:r>
      <w:r>
        <w:rPr>
          <w:rFonts w:hint="eastAsia" w:asciiTheme="minorEastAsia" w:hAnsiTheme="minorEastAsia" w:eastAsiaTheme="minorEastAsia" w:cstheme="minorEastAsia"/>
          <w:b/>
          <w:bCs/>
          <w:color w:val="000000" w:themeColor="text1"/>
          <w:kern w:val="0"/>
          <w:szCs w:val="24"/>
          <w:highlight w:val="none"/>
          <w14:textFill>
            <w14:solidFill>
              <w14:schemeClr w14:val="tx1"/>
            </w14:solidFill>
          </w14:textFill>
        </w:rPr>
        <w:t>、广东省公共资源交易平台（韶关市）</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公示，公示期不得少于3日。</w:t>
      </w:r>
    </w:p>
    <w:p w14:paraId="41120FDB">
      <w:pPr>
        <w:snapToGrid w:val="0"/>
        <w:spacing w:line="360" w:lineRule="auto"/>
        <w:ind w:firstLine="560"/>
        <w:rPr>
          <w:rFonts w:hint="eastAsia" w:asciiTheme="minorEastAsia" w:hAnsiTheme="minorEastAsia" w:eastAsiaTheme="minorEastAsia" w:cs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招标人应当在发出中标通知书15日内，将中标结果依法在广东省招标投标监管网、</w:t>
      </w:r>
      <w:r>
        <w:rPr>
          <w:rFonts w:hint="eastAsia" w:asciiTheme="minorEastAsia" w:hAnsiTheme="minorEastAsia" w:eastAsiaTheme="minorEastAsia" w:cstheme="minorEastAsia"/>
          <w:b/>
          <w:bCs/>
          <w:color w:val="000000" w:themeColor="text1"/>
          <w:kern w:val="0"/>
          <w:szCs w:val="24"/>
          <w:highlight w:val="none"/>
          <w14:textFill>
            <w14:solidFill>
              <w14:schemeClr w14:val="tx1"/>
            </w14:solidFill>
          </w14:textFill>
        </w:rPr>
        <w:t>广东省公共资源交易平台（韶关市）</w:t>
      </w: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公示。</w:t>
      </w:r>
    </w:p>
    <w:p w14:paraId="4FF744ED">
      <w:pPr>
        <w:pStyle w:val="38"/>
        <w:ind w:firstLine="590" w:firstLineChars="245"/>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 xml:space="preserve">如果其他投标人或其他利害关系人对公示内容有异议，一经查实有虚假内容等违法违规情况的，将取消其中标候选人资格，并由招投标监管部门按有关规定处理。 </w:t>
      </w:r>
    </w:p>
    <w:p w14:paraId="29411EF3">
      <w:pPr>
        <w:spacing w:line="360" w:lineRule="auto"/>
        <w:ind w:firstLine="352"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3.24中标人须按韶关市、</w:t>
      </w:r>
      <w:r>
        <w:rPr>
          <w:rFonts w:hint="eastAsia" w:asciiTheme="minorEastAsia" w:hAnsiTheme="minorEastAsia" w:eastAsiaTheme="minorEastAsia" w:cstheme="minorEastAsia"/>
          <w:color w:val="000000" w:themeColor="text1"/>
          <w:szCs w:val="24"/>
          <w:highlight w:val="none"/>
          <w:lang w:eastAsia="zh-CN"/>
          <w14:textFill>
            <w14:solidFill>
              <w14:schemeClr w14:val="tx1"/>
            </w14:solidFill>
          </w14:textFill>
        </w:rPr>
        <w:t>仁化县</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关于建筑垃圾运输、建筑渣土管理和扬尘治理等有关规定执行。</w:t>
      </w:r>
    </w:p>
    <w:p w14:paraId="0DD5FCA5">
      <w:pPr>
        <w:spacing w:line="360" w:lineRule="auto"/>
        <w:ind w:firstLine="352"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3.25中标人须按相关规定要求，设置本工程符合相关要求的永久性标牌及规划公示牌，投标人在投标报价时综合考虑在报价内，招标人不另行支付该部分费用。</w:t>
      </w:r>
    </w:p>
    <w:p w14:paraId="431642EE">
      <w:pPr>
        <w:spacing w:line="360" w:lineRule="auto"/>
        <w:ind w:firstLine="352"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3.26中标人须服从招标人的项目管理方式；中标人须无条件组织施工班组按招标人提供的管理软件（如有）及管理流程进行施工管理。</w:t>
      </w:r>
    </w:p>
    <w:p w14:paraId="15187C19">
      <w:pPr>
        <w:pStyle w:val="7"/>
        <w:spacing w:line="360" w:lineRule="auto"/>
        <w:ind w:firstLine="482" w:firstLineChars="200"/>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中标</w:t>
      </w:r>
      <w:r>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t>人应根据施工任务做好工期分析工作，按工期节点要求进行人料机的安排，及时根据计划的实施情况调整人料机的投入。</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中标</w:t>
      </w:r>
      <w:r>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t>人作为总承包单位，应合理安排施工工作，统筹各专业单位（如有）的工作界面，不得影响施工进度。</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中标</w:t>
      </w:r>
      <w:r>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t>人应根据工作面的变化情况及工程进度要求，合理增配人员及施工机械设备。</w:t>
      </w:r>
    </w:p>
    <w:p w14:paraId="47B5D214">
      <w:pPr>
        <w:spacing w:line="360" w:lineRule="auto"/>
        <w:ind w:firstLine="352"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3.27施工视频监控系统必须符合韶市建字〔2014〕163号文件规定，并在投标报价中综合考虑，招标人及项目业主不再另行支付该部分费用。</w:t>
      </w:r>
    </w:p>
    <w:p w14:paraId="0443BEA1">
      <w:pPr>
        <w:spacing w:line="360" w:lineRule="auto"/>
        <w:ind w:firstLine="420" w:firstLineChars="175"/>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开工一个月内必须按相关规定和要求安装视频监控系统，并接入相关部门监控系统，如未按时安装视频监控系统，发包人有权在措施费中扣除相关费用。</w:t>
      </w:r>
    </w:p>
    <w:p w14:paraId="0998303F">
      <w:pPr>
        <w:spacing w:line="360" w:lineRule="auto"/>
        <w:ind w:firstLine="354"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14:textFill>
            <w14:solidFill>
              <w14:schemeClr w14:val="tx1"/>
            </w14:solidFill>
          </w14:textFill>
        </w:rPr>
        <w:t>3.28</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包括征地拆迁）及现场情况为理由，提出因外界因素造成停工或工期延误的额外付款要求；对此类要求，招标人不作任何考虑及答复。</w:t>
      </w:r>
    </w:p>
    <w:p w14:paraId="3F31406A">
      <w:pPr>
        <w:spacing w:line="360" w:lineRule="auto"/>
        <w:ind w:firstLine="352" w:firstLineChars="147"/>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如因招标人原因（自然灾害等不可抗力因素除外），工程不能按期开工，或开工后全部停滞，工期按相关规定予以顺延。停工发生后，若可复工时，中标人应在收到招标人发出的复工通知书后3日内开始复工。</w:t>
      </w:r>
    </w:p>
    <w:p w14:paraId="32D14A45">
      <w:pPr>
        <w:spacing w:line="360" w:lineRule="auto"/>
        <w:ind w:firstLine="560"/>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3.29</w:t>
      </w:r>
      <w:r>
        <w:rPr>
          <w:rFonts w:hint="eastAsia" w:asciiTheme="minorEastAsia" w:hAnsiTheme="minorEastAsia" w:eastAsiaTheme="minorEastAsia" w:cstheme="minorEastAsia"/>
          <w:b/>
          <w:color w:val="000000" w:themeColor="text1"/>
          <w:highlight w:val="none"/>
          <w14:textFill>
            <w14:solidFill>
              <w14:schemeClr w14:val="tx1"/>
            </w14:solidFill>
          </w14:textFill>
        </w:rPr>
        <w:t>中标人必须严格按有关设计规范设计图纸，中标人须秉承合理、经济、环保、适用等原则进行施工图设计，招标人有权委托第三方对中标人每阶段的设计成果文件进行精细化审图、各专业优化工作，招标人将根据第三方出具的有关报告及优化金额对中标人进行考核。若中标人成果的建安投资与优化金额（各分项工程进行对比）误差率在3%范围内则不作违约处理（含3%），否则以优化金额的10%从设计费用中扣取违约金（违约金总额以设计费为限，扣取的违约金作为第三方的咨询费），中标人需无条件根据经招标人确认的精细化审图、结构优化报告进行设计文件修改，费用不另计。</w:t>
      </w:r>
    </w:p>
    <w:p w14:paraId="266C1A21">
      <w:pPr>
        <w:spacing w:line="360" w:lineRule="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3.30</w:t>
      </w:r>
      <w:r>
        <w:rPr>
          <w:rFonts w:hint="eastAsia" w:asciiTheme="minorEastAsia" w:hAnsiTheme="minorEastAsia" w:eastAsiaTheme="minorEastAsia" w:cstheme="minorEastAsia"/>
          <w:b/>
          <w:color w:val="000000" w:themeColor="text1"/>
          <w:highlight w:val="none"/>
          <w14:textFill>
            <w14:solidFill>
              <w14:schemeClr w14:val="tx1"/>
            </w14:solidFill>
          </w14:textFill>
        </w:rPr>
        <w:t>中标人须在收到初步设计文件之日起三天内无条件对初步设计文件进行审核，如发现遗漏或错误，须向招标人提出书面报告。</w:t>
      </w:r>
    </w:p>
    <w:p w14:paraId="5B7DEF03">
      <w:pPr>
        <w:spacing w:line="360" w:lineRule="auto"/>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3.31</w:t>
      </w:r>
      <w:r>
        <w:rPr>
          <w:rFonts w:hint="eastAsia" w:asciiTheme="minorEastAsia" w:hAnsiTheme="minorEastAsia" w:eastAsiaTheme="minorEastAsia" w:cstheme="minorEastAsia"/>
          <w:b/>
          <w:color w:val="000000" w:themeColor="text1"/>
          <w:highlight w:val="none"/>
          <w14:textFill>
            <w14:solidFill>
              <w14:schemeClr w14:val="tx1"/>
            </w14:solidFill>
          </w14:textFill>
        </w:rPr>
        <w:t>中标人须在收到中标通知书之日十天内向招标人提交各阶段详细的工期计划承诺书。</w:t>
      </w:r>
    </w:p>
    <w:p w14:paraId="7A645245">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3.32按照《广东省住房和城乡建设厅关于建设工程项目招标中标后监督检查的办法》（粤建市〔2009〕8号）和《韶关市住房和城乡建设局关于加强房屋建筑和市政基础设施工程项目招标中标后监督检查的通知》（韶市建字〔2014〕145号）等相关法律法规。中标人中标之后，工程施工项目负责人和项目管理班子其他成员必须是该工程中标时所承诺的项目管理班子成员。</w:t>
      </w:r>
    </w:p>
    <w:p w14:paraId="59D6A593">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项目管理班子成员不得擅自变更，项目管理班子成员因有粤建市〔2009〕8号第九条所述情形之一确属不能履行职责需要变更的，中标单位应向建设行政主管部门填报《建设工程项目管理班子变更情况报告表》并附上有关证明文件，经建设行政主管部门审核同意方可变更。更换后的项目经理与中标单位的投标文件所确定的项目负责人或总监理工程师的主要条件一致。</w:t>
      </w:r>
    </w:p>
    <w:p w14:paraId="13D83132">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若中标单位有下列行为之一的，除依照有关法律、法规进行处罚外，将通过市建设与房地产信息网站予以及时曝光，并作为今后该单位参与投标的评分扣分依据直至取消投标资格。</w:t>
      </w:r>
    </w:p>
    <w:p w14:paraId="46B76230">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1.建设单位违反规定指定分包单位的；</w:t>
      </w:r>
    </w:p>
    <w:p w14:paraId="03B4AD11">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2.施工单位转包、违法分包或违反投标承诺分包工程的；   </w:t>
      </w:r>
    </w:p>
    <w:p w14:paraId="49E73FA9">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3.非原参加投标中标的项目经理负责组织施工或在实施过程违反粤建市〔2009〕8号第九条规定更换项目经理的、项目的其他主要管理人员与中标文件确定的人员不相符的；</w:t>
      </w:r>
    </w:p>
    <w:p w14:paraId="311D9E9D">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4.投标文件确定的大型机械设备没有进入施工现场的；</w:t>
      </w:r>
    </w:p>
    <w:p w14:paraId="416A5DDD">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5.建设、监理、施工等单位串通，签认虚假工程量或工程造价的；</w:t>
      </w:r>
    </w:p>
    <w:p w14:paraId="2496E11B">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6.施工现场管理不到位的；</w:t>
      </w:r>
    </w:p>
    <w:p w14:paraId="257C2DA9">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7.非本人资格证书登记所在的单位从事工程项目施工管理的；</w:t>
      </w:r>
    </w:p>
    <w:p w14:paraId="4568D4B7">
      <w:pPr>
        <w:pStyle w:val="55"/>
        <w:widowControl/>
        <w:spacing w:line="360" w:lineRule="auto"/>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8.项目经理同时承担超过一项工程项目的；</w:t>
      </w:r>
    </w:p>
    <w:p w14:paraId="050F0B44">
      <w:pPr>
        <w:pStyle w:val="55"/>
        <w:widowControl/>
        <w:spacing w:line="360" w:lineRule="auto"/>
        <w:ind w:firstLine="480"/>
        <w:jc w:val="lef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9.违反有关法律、法规、规章规定的其它行为。</w:t>
      </w:r>
    </w:p>
    <w:p w14:paraId="4EEA27A3">
      <w:pPr>
        <w:pStyle w:val="55"/>
        <w:widowControl/>
        <w:spacing w:line="360" w:lineRule="auto"/>
        <w:ind w:firstLine="480"/>
        <w:jc w:val="left"/>
        <w:rPr>
          <w:rFonts w:hint="eastAsia" w:asciiTheme="minorEastAsia" w:hAnsiTheme="minorEastAsia" w:eastAsiaTheme="minorEastAsia" w:cstheme="minorEastAsia"/>
          <w:bCs/>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8"/>
          <w:highlight w:val="none"/>
          <w14:textFill>
            <w14:solidFill>
              <w14:schemeClr w14:val="tx1"/>
            </w14:solidFill>
          </w14:textFill>
        </w:rPr>
        <w:t>3.33</w:t>
      </w:r>
      <w:bookmarkStart w:id="411" w:name="_Hlt69698776"/>
      <w:r>
        <w:rPr>
          <w:rFonts w:hint="eastAsia" w:asciiTheme="minorEastAsia" w:hAnsiTheme="minorEastAsia" w:eastAsiaTheme="minorEastAsia" w:cstheme="minorEastAsia"/>
          <w:bCs/>
          <w:color w:val="000000" w:themeColor="text1"/>
          <w:highlight w:val="none"/>
          <w14:textFill>
            <w14:solidFill>
              <w14:schemeClr w14:val="tx1"/>
            </w14:solidFill>
          </w14:textFill>
        </w:rPr>
        <w:t>工资保证金的缴存比例、存储形式、减免措施以及使用返还等所有相关事项，必须按照《广东省人力资源和 社会保障厅 广东省住房和城乡建设厅 广东省交通运输厅 广东 省水利厅关于建设工程领域农民工工资支付保证金管理办法》（粤人社规〔2019〕10 号）和《韶关市工程建设领域农民工工资保证金管理实施细则》（韶法审〔2023〕2 号）的具体规定执行。中标人必须按照上述办法和实施细则中关于施工单位（包括工程总包企业和专业分包企业）责任义务的具体规定执行，否则将按照上述办法和实施细则中有关规定接受处理。</w:t>
      </w:r>
    </w:p>
    <w:p w14:paraId="0ED1C48F">
      <w:pPr>
        <w:pStyle w:val="38"/>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3.34</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中标人在施工图设计前，要充分进行市场调查，主要材料、设备在满足设计规范及建设标准的情况下，尽量采用造价管理机构发布的信息价中有相应型号、规格的标准材料，若必须采用非标准材料的</w:t>
      </w:r>
      <w:r>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t>，</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必须经招标人同意，否则参照信息价中相近且低于其标准的材料信息价作为该项材料的结算价。</w:t>
      </w:r>
    </w:p>
    <w:p w14:paraId="5993B0D3">
      <w:pPr>
        <w:pStyle w:val="38"/>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3.35</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中标人应按招标人提供的场地出平图先行进行场地平整。</w:t>
      </w:r>
    </w:p>
    <w:p w14:paraId="14A36D98">
      <w:pPr>
        <w:pStyle w:val="38"/>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3.36</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中标人必须根据设计施工图及现场编制施工组织设计及专项施工方案报有关部门审批。</w:t>
      </w:r>
    </w:p>
    <w:p w14:paraId="7109CA1F">
      <w:pPr>
        <w:pStyle w:val="57"/>
        <w:snapToGrid w:val="0"/>
        <w:ind w:firstLine="482" w:firstLineChars="200"/>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3.37危险性较大的分部分项工程安全管理约定</w:t>
      </w:r>
    </w:p>
    <w:p w14:paraId="559E5490">
      <w:pPr>
        <w:pStyle w:val="57"/>
        <w:wordWrap w:val="0"/>
        <w:adjustRightInd w:val="0"/>
        <w:snapToGrid w:val="0"/>
        <w:ind w:firstLine="482" w:firstLineChars="200"/>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中标人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14:paraId="0560B31A">
      <w:pPr>
        <w:pStyle w:val="38"/>
        <w:ind w:firstLine="482" w:firstLineChars="200"/>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中标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74EE28CF">
      <w:pPr>
        <w:pStyle w:val="38"/>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3.38</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中标人项目经理和主要管理人员的考勤实行实名制打卡，中标人项目经理和主要管理人员的考勤若发现有弄虚作假行为，发现一次，中标人应承担一般违约责任1次。</w:t>
      </w:r>
    </w:p>
    <w:p w14:paraId="4C86ED20">
      <w:pPr>
        <w:pStyle w:val="38"/>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3.</w:t>
      </w:r>
      <w:r>
        <w:rPr>
          <w:rFonts w:hint="eastAsia" w:asciiTheme="minorEastAsia" w:hAnsiTheme="minorEastAsia" w:eastAsiaTheme="minorEastAsia" w:cstheme="minorEastAsia"/>
          <w:b/>
          <w:color w:val="000000" w:themeColor="text1"/>
          <w:highlight w:val="none"/>
          <w:shd w:val="clear" w:color="auto" w:fill="FFFFFF"/>
          <w:lang w:val="en-US" w:eastAsia="zh-CN"/>
          <w14:textFill>
            <w14:solidFill>
              <w14:schemeClr w14:val="tx1"/>
            </w14:solidFill>
          </w14:textFill>
        </w:rPr>
        <w:t xml:space="preserve">39 </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本项目在建设过程中，中标人的设计及施工的质量安全等相关实施内容要按照业主单位、发包单位的相关管理规定和质量安全考核要求，随时接受业主单位、发包单位自行或委托的第三方的监督检查及考核，中标人必须无条件配合，如中标人不配合或未通过相关的监督检查及考核，中标人须接受业主单位、发包单位的相关管理规定和处罚，并承担相应的责任。</w:t>
      </w:r>
    </w:p>
    <w:p w14:paraId="5D301C72">
      <w:pPr>
        <w:pStyle w:val="38"/>
        <w:ind w:firstLine="482" w:firstLineChars="20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3.4</w:t>
      </w:r>
      <w:r>
        <w:rPr>
          <w:rFonts w:hint="eastAsia" w:asciiTheme="minorEastAsia" w:hAnsiTheme="minorEastAsia" w:eastAsiaTheme="minorEastAsia" w:cstheme="minorEastAsia"/>
          <w:b/>
          <w:color w:val="000000" w:themeColor="text1"/>
          <w:highlight w:val="none"/>
          <w:shd w:val="clear" w:color="auto" w:fill="FFFFFF"/>
          <w:lang w:val="en-US" w:eastAsia="zh-CN"/>
          <w14:textFill>
            <w14:solidFill>
              <w14:schemeClr w14:val="tx1"/>
            </w14:solidFill>
          </w14:textFill>
        </w:rPr>
        <w:t>0</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其他事项</w:t>
      </w:r>
    </w:p>
    <w:p w14:paraId="6462C9C9">
      <w:pPr>
        <w:spacing w:line="360" w:lineRule="auto"/>
        <w:ind w:firstLine="542" w:firstLineChars="225"/>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3.4</w:t>
      </w:r>
      <w:r>
        <w:rPr>
          <w:rFonts w:hint="eastAsia" w:asciiTheme="minorEastAsia" w:hAnsiTheme="minorEastAsia" w:eastAsiaTheme="minorEastAsia" w:cstheme="minorEastAsia"/>
          <w:b/>
          <w:color w:val="000000" w:themeColor="text1"/>
          <w:highlight w:val="none"/>
          <w:shd w:val="clear" w:color="auto" w:fill="FFFFFF"/>
          <w:lang w:val="en-US" w:eastAsia="zh-CN"/>
          <w14:textFill>
            <w14:solidFill>
              <w14:schemeClr w14:val="tx1"/>
            </w14:solidFill>
          </w14:textFill>
        </w:rPr>
        <w:t>0</w:t>
      </w:r>
      <w:r>
        <w:rPr>
          <w:rFonts w:hint="eastAsia" w:asciiTheme="minorEastAsia" w:hAnsiTheme="minorEastAsia" w:eastAsiaTheme="minorEastAsia" w:cstheme="minorEastAsia"/>
          <w:b/>
          <w:color w:val="000000" w:themeColor="text1"/>
          <w:highlight w:val="none"/>
          <w:shd w:val="clear" w:color="auto" w:fill="FFFFFF"/>
          <w14:textFill>
            <w14:solidFill>
              <w14:schemeClr w14:val="tx1"/>
            </w14:solidFill>
          </w14:textFill>
        </w:rPr>
        <w:t xml:space="preserve">.1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招标文件中涉及的合同实质性内容以及拟签合同的主要条款内容、中标须知、相关附件、格式内容等为中标后拟签合同实质性内容，在订立合同时不得擅自进行更改。</w:t>
      </w:r>
    </w:p>
    <w:p w14:paraId="4904C669">
      <w:pPr>
        <w:pStyle w:val="32"/>
        <w:spacing w:line="360" w:lineRule="auto"/>
        <w:ind w:firstLine="480"/>
        <w:jc w:val="left"/>
        <w:rPr>
          <w:rFonts w:hint="eastAsia" w:asciiTheme="minorEastAsia" w:hAnsiTheme="minorEastAsia" w:eastAsiaTheme="minorEastAsia" w:cstheme="minorEastAsia"/>
          <w:b w:val="0"/>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t>3.4</w:t>
      </w:r>
      <w:r>
        <w:rPr>
          <w:rFonts w:hint="eastAsia" w:asciiTheme="minorEastAsia" w:hAnsiTheme="minorEastAsia" w:eastAsiaTheme="minorEastAsia" w:cstheme="minorEastAsia"/>
          <w:color w:val="000000" w:themeColor="text1"/>
          <w:sz w:val="24"/>
          <w:highlight w:val="none"/>
          <w:shd w:val="clear" w:color="auto" w:fill="FFFFFF"/>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4"/>
          <w:highlight w:val="none"/>
          <w:shd w:val="clear" w:color="auto" w:fill="FFFFFF"/>
          <w14:textFill>
            <w14:solidFill>
              <w14:schemeClr w14:val="tx1"/>
            </w14:solidFill>
          </w14:textFill>
        </w:rPr>
        <w:t>.2</w:t>
      </w:r>
      <w:r>
        <w:rPr>
          <w:rFonts w:hint="eastAsia" w:asciiTheme="minorEastAsia" w:hAnsiTheme="minorEastAsia" w:eastAsiaTheme="minorEastAsia" w:cstheme="minorEastAsia"/>
          <w:b w:val="0"/>
          <w:snapToGrid w:val="0"/>
          <w:color w:val="000000" w:themeColor="text1"/>
          <w:kern w:val="0"/>
          <w:sz w:val="24"/>
          <w:highlight w:val="none"/>
          <w14:textFill>
            <w14:solidFill>
              <w14:schemeClr w14:val="tx1"/>
            </w14:solidFill>
          </w14:textFill>
        </w:rPr>
        <w:t>中标人应按《关于印发&lt;</w:t>
      </w:r>
      <w:r>
        <w:rPr>
          <w:rFonts w:hint="eastAsia" w:asciiTheme="minorEastAsia" w:hAnsiTheme="minorEastAsia" w:eastAsiaTheme="minorEastAsia" w:cstheme="minorEastAsia"/>
          <w:b w:val="0"/>
          <w:snapToGrid w:val="0"/>
          <w:color w:val="000000" w:themeColor="text1"/>
          <w:kern w:val="0"/>
          <w:sz w:val="24"/>
          <w:highlight w:val="none"/>
          <w:lang w:eastAsia="zh-CN"/>
          <w14:textFill>
            <w14:solidFill>
              <w14:schemeClr w14:val="tx1"/>
            </w14:solidFill>
          </w14:textFill>
        </w:rPr>
        <w:t>仁化县</w:t>
      </w:r>
      <w:r>
        <w:rPr>
          <w:rFonts w:hint="eastAsia" w:asciiTheme="minorEastAsia" w:hAnsiTheme="minorEastAsia" w:eastAsiaTheme="minorEastAsia" w:cstheme="minorEastAsia"/>
          <w:b w:val="0"/>
          <w:snapToGrid w:val="0"/>
          <w:color w:val="000000" w:themeColor="text1"/>
          <w:kern w:val="0"/>
          <w:sz w:val="24"/>
          <w:highlight w:val="none"/>
          <w14:textFill>
            <w14:solidFill>
              <w14:schemeClr w14:val="tx1"/>
            </w14:solidFill>
          </w14:textFill>
        </w:rPr>
        <w:t>安全生产责任保险实施方案（2020-2021）年&gt;的通知》文件办理安全生产责任保险。</w:t>
      </w:r>
    </w:p>
    <w:p w14:paraId="555C4B97">
      <w:pPr>
        <w:pStyle w:val="38"/>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5B54C4CB">
      <w:pPr>
        <w:pStyle w:val="39"/>
        <w:keepNext/>
        <w:keepLines/>
        <w:tabs>
          <w:tab w:val="left" w:pos="885"/>
        </w:tabs>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44"/>
          <w:sz w:val="24"/>
          <w:highlight w:val="none"/>
          <w14:textFill>
            <w14:solidFill>
              <w14:schemeClr w14:val="tx1"/>
            </w14:solidFill>
          </w14:textFill>
        </w:rPr>
        <w:br w:type="page"/>
      </w:r>
      <w:bookmarkStart w:id="412" w:name="_Toc29153"/>
      <w:bookmarkStart w:id="413" w:name="_Toc27728"/>
      <w:bookmarkStart w:id="414" w:name="_Toc20219"/>
      <w:bookmarkStart w:id="415" w:name="_Toc16593"/>
      <w:bookmarkStart w:id="416" w:name="_Toc28287"/>
      <w:bookmarkStart w:id="417" w:name="_Toc12315"/>
      <w:bookmarkStart w:id="418" w:name="_Toc24187"/>
      <w:bookmarkStart w:id="419" w:name="_Toc25756"/>
      <w:bookmarkStart w:id="420" w:name="_Toc18638"/>
      <w:bookmarkStart w:id="421" w:name="_Toc21424"/>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第四</w:t>
      </w:r>
      <w:bookmarkStart w:id="422" w:name="_Hlt69669176"/>
      <w:bookmarkEnd w:id="422"/>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章</w:t>
      </w:r>
      <w:bookmarkStart w:id="423" w:name="_Hlt87793847"/>
      <w:bookmarkEnd w:id="423"/>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 xml:space="preserve"> 投标人提交的其他材料</w:t>
      </w:r>
      <w:bookmarkEnd w:id="412"/>
      <w:bookmarkEnd w:id="413"/>
      <w:bookmarkEnd w:id="414"/>
      <w:bookmarkEnd w:id="415"/>
      <w:bookmarkEnd w:id="416"/>
      <w:bookmarkEnd w:id="417"/>
      <w:bookmarkEnd w:id="418"/>
      <w:bookmarkEnd w:id="419"/>
      <w:bookmarkEnd w:id="420"/>
      <w:bookmarkEnd w:id="421"/>
    </w:p>
    <w:p w14:paraId="4A978215">
      <w:pPr>
        <w:pStyle w:val="38"/>
        <w:rPr>
          <w:rFonts w:hint="eastAsia" w:asciiTheme="minorEastAsia" w:hAnsiTheme="minorEastAsia" w:eastAsiaTheme="minorEastAsia" w:cstheme="minorEastAsia"/>
          <w:color w:val="000000" w:themeColor="text1"/>
          <w:highlight w:val="none"/>
          <w14:textFill>
            <w14:solidFill>
              <w14:schemeClr w14:val="tx1"/>
            </w14:solidFill>
          </w14:textFill>
        </w:rPr>
      </w:pPr>
    </w:p>
    <w:bookmarkEnd w:id="411"/>
    <w:p w14:paraId="19AA2CEA">
      <w:pPr>
        <w:pStyle w:val="4"/>
        <w:spacing w:line="360" w:lineRule="auto"/>
        <w:ind w:firstLine="241" w:firstLineChars="100"/>
        <w:outlineLvl w:val="1"/>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424" w:name="_Hlt66104911"/>
      <w:bookmarkEnd w:id="424"/>
      <w:bookmarkStart w:id="425" w:name="_Hlt66531751"/>
      <w:bookmarkEnd w:id="425"/>
      <w:bookmarkStart w:id="426" w:name="_Toc1109"/>
      <w:bookmarkStart w:id="427" w:name="_Toc18673"/>
      <w:bookmarkStart w:id="428" w:name="_Toc5733"/>
      <w:bookmarkStart w:id="429" w:name="_Toc21505"/>
      <w:bookmarkStart w:id="430" w:name="_Toc5747"/>
      <w:bookmarkStart w:id="431" w:name="_Toc28975"/>
      <w:bookmarkStart w:id="432" w:name="_Toc19932"/>
      <w:bookmarkStart w:id="433" w:name="_Toc16527"/>
      <w:bookmarkStart w:id="434" w:name="_Toc5994"/>
      <w:bookmarkStart w:id="435" w:name="_Toc31172"/>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1</w:t>
      </w:r>
      <w:bookmarkStart w:id="436" w:name="_Hlt69356768"/>
      <w:bookmarkEnd w:id="436"/>
      <w:bookmarkStart w:id="437" w:name="_Hlt66677316"/>
      <w:r>
        <w:rPr>
          <w:rFonts w:hint="eastAsia" w:asciiTheme="minorEastAsia" w:hAnsiTheme="minorEastAsia" w:eastAsiaTheme="minorEastAsia" w:cstheme="minorEastAsia"/>
          <w:b/>
          <w:bCs/>
          <w:color w:val="000000" w:themeColor="text1"/>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投标保证</w:t>
      </w:r>
      <w:bookmarkEnd w:id="426"/>
      <w:bookmarkEnd w:id="427"/>
      <w:bookmarkEnd w:id="428"/>
      <w:bookmarkEnd w:id="429"/>
      <w:bookmarkEnd w:id="430"/>
      <w:bookmarkEnd w:id="431"/>
      <w:bookmarkEnd w:id="432"/>
      <w:bookmarkEnd w:id="433"/>
      <w:bookmarkEnd w:id="434"/>
      <w:bookmarkEnd w:id="435"/>
      <w:bookmarkEnd w:id="437"/>
    </w:p>
    <w:p w14:paraId="66682DF2">
      <w:pPr>
        <w:snapToGrid w:val="0"/>
        <w:spacing w:beforeLines="50" w:line="360" w:lineRule="auto"/>
        <w:ind w:firstLine="482"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1.1</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投标保证的形式包括投标保证金、投标保证担保、投标保证保险三种，由投标人自主选择。</w:t>
      </w:r>
    </w:p>
    <w:p w14:paraId="105C575E">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见招标文件“重要事项时间地点一览表”）前，从其基本账户将投标保证金转账到指定的缴纳账号。逾期到账的、从非投标人基本账户转出的，其投标无效。</w:t>
      </w:r>
    </w:p>
    <w:p w14:paraId="7C7D7078">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采用投标保证担保的，投标人应提交有效的银行保函，银行保函的有效期不得短于投标有效期。投标人必须在投标保证担保截止时间（见本招标文件“重要事项时间地点一览表”）前，使用工程建设交易系统完成网上办理电子保函。</w:t>
      </w:r>
    </w:p>
    <w:p w14:paraId="7730A314">
      <w:pPr>
        <w:pStyle w:val="58"/>
        <w:keepNext w:val="0"/>
        <w:keepLines w:val="0"/>
        <w:pageBreakBefore w:val="0"/>
        <w:widowControl w:val="0"/>
        <w:kinsoku/>
        <w:wordWrap w:val="0"/>
        <w:overflowPunct/>
        <w:topLinePunct w:val="0"/>
        <w:autoSpaceDE/>
        <w:autoSpaceDN/>
        <w:bidi w:val="0"/>
        <w:adjustRightInd/>
        <w:snapToGrid w:val="0"/>
        <w:ind w:firstLine="573"/>
        <w:textAlignment w:val="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3）采用投标保证保险的，投标人须在投标保证保险投保截止时间（见本招标文件“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D940964">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5D7C8DF6">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1.2</w:t>
      </w:r>
      <w:r>
        <w:rPr>
          <w:rFonts w:hint="eastAsia" w:asciiTheme="minorEastAsia" w:hAnsiTheme="minorEastAsia" w:eastAsiaTheme="minorEastAsia" w:cstheme="minorEastAsia"/>
          <w:color w:val="000000" w:themeColor="text1"/>
          <w:highlight w:val="none"/>
          <w14:textFill>
            <w14:solidFill>
              <w14:schemeClr w14:val="tx1"/>
            </w14:solidFill>
          </w14:textFill>
        </w:rPr>
        <w:t>投标人撤回已提交的投标文件，应当在投标截止时间前书面通知招标人。投标截止后投标人撤销投标文件的，招标人可以不退还投标保证。</w:t>
      </w:r>
    </w:p>
    <w:p w14:paraId="61CBA223">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1.3</w:t>
      </w:r>
      <w:r>
        <w:rPr>
          <w:rFonts w:hint="eastAsia" w:asciiTheme="minorEastAsia" w:hAnsiTheme="minorEastAsia" w:eastAsiaTheme="minorEastAsia" w:cstheme="minorEastAsia"/>
          <w:color w:val="000000" w:themeColor="text1"/>
          <w:highlight w:val="none"/>
          <w14:textFill>
            <w14:solidFill>
              <w14:schemeClr w14:val="tx1"/>
            </w14:solidFill>
          </w14:textFill>
        </w:rPr>
        <w:t>投标保证的退还方式：</w:t>
      </w:r>
    </w:p>
    <w:p w14:paraId="07FE1BBA">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中标候选人公示期满无异议（投诉）后，招标人确定第一中标候选人为中标人，并在中标人确定之日起7个工作日内向中标人发出中标通知书。在中标通知书发出后5个工作日内，韶关市公共资源交易中心将投标保证金（或银行保函）退还给中标候选人以外的投标人。</w:t>
      </w:r>
    </w:p>
    <w:p w14:paraId="6039B922">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07ABFB0F">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1.4</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投标人中标后不与招标人依据招标文件要求签订工程合同的，由建设行政主管部门按规定处理其投标保证。</w:t>
      </w:r>
    </w:p>
    <w:p w14:paraId="1A2A67A8">
      <w:pPr>
        <w:pStyle w:val="58"/>
        <w:snapToGrid w:val="0"/>
        <w:ind w:firstLine="57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b/>
          <w:bCs/>
          <w:color w:val="000000" w:themeColor="text1"/>
          <w:highlight w:val="none"/>
          <w14:textFill>
            <w14:solidFill>
              <w14:schemeClr w14:val="tx1"/>
            </w14:solidFill>
          </w14:textFill>
        </w:rPr>
        <w:t>1.5</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组成联合体时由联合体牵头人缴纳投标保证。</w:t>
      </w:r>
    </w:p>
    <w:p w14:paraId="50807269">
      <w:pPr>
        <w:pStyle w:val="4"/>
        <w:spacing w:line="360" w:lineRule="auto"/>
        <w:ind w:firstLine="241" w:firstLineChars="100"/>
        <w:outlineLvl w:val="1"/>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438" w:name="_Hlt87792499"/>
      <w:bookmarkEnd w:id="438"/>
      <w:bookmarkStart w:id="439" w:name="_Hlt87793359"/>
      <w:bookmarkEnd w:id="439"/>
      <w:bookmarkStart w:id="440" w:name="_Toc20998"/>
      <w:bookmarkStart w:id="441" w:name="_Toc29872"/>
      <w:bookmarkStart w:id="442" w:name="_Toc985"/>
      <w:bookmarkStart w:id="443" w:name="_Toc6058"/>
      <w:bookmarkStart w:id="444" w:name="_Toc23304"/>
      <w:bookmarkStart w:id="445" w:name="_Toc19536"/>
      <w:bookmarkStart w:id="446" w:name="_Toc10164"/>
      <w:bookmarkStart w:id="447" w:name="_Toc3284"/>
      <w:bookmarkStart w:id="448" w:name="_Toc3054"/>
      <w:bookmarkStart w:id="449" w:name="_Toc22441"/>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2</w:t>
      </w:r>
      <w:r>
        <w:rPr>
          <w:rFonts w:hint="eastAsia" w:asciiTheme="minorEastAsia" w:hAnsiTheme="minorEastAsia" w:eastAsiaTheme="minorEastAsia" w:cstheme="minorEastAsia"/>
          <w:b/>
          <w:bCs/>
          <w:color w:val="000000" w:themeColor="text1"/>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履约保证金</w:t>
      </w:r>
      <w:bookmarkEnd w:id="440"/>
      <w:bookmarkEnd w:id="441"/>
      <w:bookmarkEnd w:id="442"/>
      <w:bookmarkEnd w:id="443"/>
      <w:bookmarkEnd w:id="444"/>
      <w:bookmarkEnd w:id="445"/>
      <w:bookmarkEnd w:id="446"/>
      <w:bookmarkEnd w:id="447"/>
      <w:bookmarkEnd w:id="448"/>
      <w:bookmarkEnd w:id="449"/>
    </w:p>
    <w:bookmarkEnd w:id="2"/>
    <w:p w14:paraId="5CCA0AD4">
      <w:pPr>
        <w:widowControl/>
        <w:wordWrap/>
        <w:adjustRightInd/>
        <w:snapToGrid/>
        <w:spacing w:line="360" w:lineRule="auto"/>
        <w:ind w:firstLine="482" w:firstLineChars="200"/>
        <w:jc w:val="left"/>
        <w:rPr>
          <w:rFonts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450" w:name="_Toc466640610"/>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2.1</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中标人须在领取中标通知书之日起</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5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个工作日内、签订合同前向招标人提交金额为中标价</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5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的履约保证。</w:t>
      </w:r>
      <w:r>
        <w:rPr>
          <w:rFonts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联合体中标的，由联合体牵头人提交。同时招标人向中标人提供合同价</w:t>
      </w:r>
      <w:r>
        <w:rPr>
          <w:rFonts w:asciiTheme="minorEastAsia" w:hAnsiTheme="minorEastAsia" w:eastAsiaTheme="minorEastAsia" w:cstheme="minorEastAsia"/>
          <w:snapToGrid w:val="0"/>
          <w:color w:val="000000" w:themeColor="text1"/>
          <w:kern w:val="0"/>
          <w:szCs w:val="24"/>
          <w:highlight w:val="none"/>
          <w:u w:val="none"/>
          <w14:textFill>
            <w14:solidFill>
              <w14:schemeClr w14:val="tx1"/>
            </w14:solidFill>
          </w14:textFill>
        </w:rPr>
        <w:t>5</w:t>
      </w:r>
      <w:r>
        <w:rPr>
          <w:rFonts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%的支付担保，并将工程款支付担保文书作为建设工程合同的组成部分(担保期限届至招标人支付除工程质量保修金以外的全部工程结算款项之日后</w:t>
      </w:r>
      <w:r>
        <w:rPr>
          <w:rFonts w:asciiTheme="minorEastAsia" w:hAnsiTheme="minorEastAsia" w:eastAsiaTheme="minorEastAsia" w:cstheme="minorEastAsia"/>
          <w:snapToGrid w:val="0"/>
          <w:color w:val="000000" w:themeColor="text1"/>
          <w:kern w:val="0"/>
          <w:szCs w:val="24"/>
          <w:highlight w:val="none"/>
          <w:u w:val="none"/>
          <w14:textFill>
            <w14:solidFill>
              <w14:schemeClr w14:val="tx1"/>
            </w14:solidFill>
          </w14:textFill>
        </w:rPr>
        <w:t>30</w:t>
      </w:r>
      <w:r>
        <w:rPr>
          <w:rFonts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天)。</w:t>
      </w:r>
    </w:p>
    <w:p w14:paraId="54F47084">
      <w:pPr>
        <w:widowControl/>
        <w:wordWrap/>
        <w:adjustRightInd/>
        <w:snapToGrid/>
        <w:spacing w:line="360" w:lineRule="auto"/>
        <w:ind w:firstLine="480" w:firstLineChars="200"/>
        <w:jc w:val="lef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val="en-US" w:eastAsia="zh-CN" w:bidi="ar"/>
          <w14:textFill>
            <w14:solidFill>
              <w14:schemeClr w14:val="tx1"/>
            </w14:solidFill>
          </w14:textFill>
        </w:rPr>
        <w:t>注：</w:t>
      </w:r>
      <w:r>
        <w:rPr>
          <w:rFonts w:hint="eastAsia" w:asciiTheme="minorEastAsia" w:hAnsiTheme="minorEastAsia" w:eastAsiaTheme="minorEastAsia" w:cstheme="minorEastAsia"/>
          <w:i w:val="0"/>
          <w:iCs w:val="0"/>
          <w:snapToGrid w:val="0"/>
          <w:color w:val="000000" w:themeColor="text1"/>
          <w:kern w:val="0"/>
          <w:sz w:val="24"/>
          <w:szCs w:val="24"/>
          <w:highlight w:val="none"/>
          <w:lang w:val="en-US" w:eastAsia="zh-CN" w:bidi="ar"/>
          <w14:textFill>
            <w14:solidFill>
              <w14:schemeClr w14:val="tx1"/>
            </w14:solidFill>
          </w14:textFill>
        </w:rPr>
        <w:t>根据《保障农民工工资支付条例》，发包人必须落实工程款支付担保制度， 需有项目预付款。 2017 年 2 月，国务院出台《关于促进建筑业持续健康发展的意见》， 要求“严格执行工程预付款制度，及时按合同约定足额向承包单位支付预付款。通过工 程款支付担保等经济、法律手段约束建设单位履约行为，预防拖欠工程款。”</w:t>
      </w:r>
    </w:p>
    <w:p w14:paraId="4A5FE97F">
      <w:pPr>
        <w:wordWrap w:val="0"/>
        <w:adjustRightInd w:val="0"/>
        <w:snapToGrid w:val="0"/>
        <w:spacing w:line="360" w:lineRule="auto"/>
        <w:ind w:firstLine="562"/>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2.2</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r>
        <w:rPr>
          <w:rFonts w:asciiTheme="minorEastAsia" w:hAnsiTheme="minorEastAsia" w:eastAsiaTheme="minorEastAsia" w:cstheme="minorEastAsia"/>
          <w:snapToGrid w:val="0"/>
          <w:color w:val="000000" w:themeColor="text1"/>
          <w:kern w:val="0"/>
          <w:szCs w:val="24"/>
          <w:highlight w:val="none"/>
          <w:lang w:bidi="ar"/>
          <w14:textFill>
            <w14:solidFill>
              <w14:schemeClr w14:val="tx1"/>
            </w14:solidFill>
          </w14:textFill>
        </w:rPr>
        <w:t>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竣工验收之日后</w:t>
      </w:r>
      <w:r>
        <w:rPr>
          <w:rFonts w:hint="eastAsia" w:asciiTheme="minorEastAsia" w:hAnsiTheme="minorEastAsia" w:eastAsiaTheme="minorEastAsia" w:cstheme="minorEastAsia"/>
          <w:snapToGrid w:val="0"/>
          <w:color w:val="000000" w:themeColor="text1"/>
          <w:kern w:val="0"/>
          <w:szCs w:val="24"/>
          <w:highlight w:val="none"/>
          <w:u w:val="none"/>
          <w:lang w:bidi="ar"/>
          <w14:textFill>
            <w14:solidFill>
              <w14:schemeClr w14:val="tx1"/>
            </w14:solidFill>
          </w14:textFill>
        </w:rPr>
        <w:t>28</w:t>
      </w:r>
      <w:r>
        <w:rPr>
          <w:rFonts w:asciiTheme="minorEastAsia" w:hAnsiTheme="minorEastAsia" w:eastAsiaTheme="minorEastAsia" w:cstheme="minorEastAsia"/>
          <w:snapToGrid w:val="0"/>
          <w:color w:val="000000" w:themeColor="text1"/>
          <w:kern w:val="0"/>
          <w:szCs w:val="24"/>
          <w:highlight w:val="none"/>
          <w:lang w:bidi="ar"/>
          <w14:textFill>
            <w14:solidFill>
              <w14:schemeClr w14:val="tx1"/>
            </w14:solidFill>
          </w14:textFill>
        </w:rPr>
        <w:t>天止。</w:t>
      </w:r>
    </w:p>
    <w:p w14:paraId="66EBDFAF">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2.3</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3ACC46F5">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2.4</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在工程实施过程中，如果中标人（即招标阶段的中标人，下同）由于自身的资金、技术、质量、非不可抗力等原因给招标人（即招标阶段的招标人，下同）造成经济损失，扣除相应履约保证。</w:t>
      </w:r>
    </w:p>
    <w:p w14:paraId="643EEAB2">
      <w:pPr>
        <w:wordWrap w:val="0"/>
        <w:adjustRightInd w:val="0"/>
        <w:snapToGrid w:val="0"/>
        <w:spacing w:line="360" w:lineRule="auto"/>
        <w:ind w:firstLine="482"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2.5</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项目通过竣工验收之日后28天内，招标人将履约保证</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或全部履约保证金（不计算利息）</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退还给中标人。</w:t>
      </w:r>
    </w:p>
    <w:p w14:paraId="66F39DBB">
      <w:pPr>
        <w:pStyle w:val="4"/>
        <w:spacing w:line="360" w:lineRule="auto"/>
        <w:ind w:firstLine="241" w:firstLineChars="100"/>
        <w:outlineLvl w:val="1"/>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451" w:name="_Toc7456"/>
      <w:bookmarkStart w:id="452" w:name="_Toc10818"/>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3</w:t>
      </w:r>
      <w:r>
        <w:rPr>
          <w:rFonts w:hint="eastAsia" w:asciiTheme="minorEastAsia" w:hAnsiTheme="minorEastAsia" w:eastAsiaTheme="minorEastAsia" w:cstheme="minorEastAsia"/>
          <w:b/>
          <w:bCs/>
          <w:color w:val="000000" w:themeColor="text1"/>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质量保证</w:t>
      </w:r>
      <w:bookmarkEnd w:id="451"/>
      <w:bookmarkEnd w:id="452"/>
    </w:p>
    <w:p w14:paraId="79F6FD7D">
      <w:pPr>
        <w:wordWrap w:val="0"/>
        <w:adjustRightInd w:val="0"/>
        <w:snapToGrid w:val="0"/>
        <w:spacing w:line="360" w:lineRule="auto"/>
        <w:ind w:firstLine="560"/>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3.1</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 xml:space="preserve"> 本工程缺陷责任期为</w:t>
      </w:r>
      <w:r>
        <w:rPr>
          <w:rFonts w:hint="eastAsia" w:asciiTheme="minorEastAsia" w:hAnsiTheme="minorEastAsia" w:eastAsiaTheme="minorEastAsia" w:cstheme="minorEastAsia"/>
          <w:bCs/>
          <w:snapToGrid w:val="0"/>
          <w:color w:val="000000" w:themeColor="text1"/>
          <w:kern w:val="0"/>
          <w:szCs w:val="24"/>
          <w:highlight w:val="none"/>
          <w:u w:val="single"/>
          <w:lang w:val="en-US" w:eastAsia="zh-CN"/>
          <w14:textFill>
            <w14:solidFill>
              <w14:schemeClr w14:val="tx1"/>
            </w14:solidFill>
          </w14:textFill>
        </w:rPr>
        <w:t>2</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年（自通过竣工验收之日起计），在此期间预留金额为结算价</w:t>
      </w:r>
      <w:r>
        <w:rPr>
          <w:rFonts w:hint="eastAsia" w:asciiTheme="minorEastAsia" w:hAnsiTheme="minorEastAsia" w:eastAsiaTheme="minorEastAsia" w:cstheme="minorEastAsia"/>
          <w:bCs/>
          <w:snapToGrid w:val="0"/>
          <w:color w:val="000000" w:themeColor="text1"/>
          <w:kern w:val="0"/>
          <w:szCs w:val="24"/>
          <w:highlight w:val="none"/>
          <w:u w:val="single"/>
          <w14:textFill>
            <w14:solidFill>
              <w14:schemeClr w14:val="tx1"/>
            </w14:solidFill>
          </w14:textFill>
        </w:rPr>
        <w:t>3%</w:t>
      </w:r>
      <w:r>
        <w:rPr>
          <w:rFonts w:hint="eastAsia" w:asciiTheme="minorEastAsia" w:hAnsiTheme="minorEastAsia" w:eastAsiaTheme="minorEastAsia" w:cstheme="minorEastAsia"/>
          <w:bCs/>
          <w:snapToGrid w:val="0"/>
          <w:color w:val="000000" w:themeColor="text1"/>
          <w:kern w:val="0"/>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的质量保证。</w:t>
      </w:r>
    </w:p>
    <w:p w14:paraId="0827A14A">
      <w:pPr>
        <w:wordWrap w:val="0"/>
        <w:adjustRightInd w:val="0"/>
        <w:snapToGrid w:val="0"/>
        <w:spacing w:line="360" w:lineRule="auto"/>
        <w:ind w:firstLine="560"/>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3.2</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 xml:space="preserve"> 质量保证的形式包括质量保证金、质量保证担保、质量保证保险三种，由中标人自主选择。</w:t>
      </w:r>
    </w:p>
    <w:p w14:paraId="1B90E0A3">
      <w:pPr>
        <w:wordWrap w:val="0"/>
        <w:adjustRightInd w:val="0"/>
        <w:snapToGrid w:val="0"/>
        <w:spacing w:line="360" w:lineRule="auto"/>
        <w:ind w:firstLine="561"/>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（1）采用质量保证金形式的，在结清审定总造价时一次性扣留相应金额作为质量保证金。</w:t>
      </w:r>
    </w:p>
    <w:p w14:paraId="5899375C">
      <w:pPr>
        <w:wordWrap w:val="0"/>
        <w:adjustRightInd w:val="0"/>
        <w:snapToGrid w:val="0"/>
        <w:spacing w:line="360" w:lineRule="auto"/>
        <w:ind w:firstLine="561"/>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（2）采用质量保证担保或质量保证保险的，中标人应在竣工验收时向招标人提交有效的银行保函原件或保险合同原件（或保险单），银行保函或保险合同原件（或保险单）的有效期不得短于缺陷责任期。</w:t>
      </w:r>
    </w:p>
    <w:p w14:paraId="2A806795">
      <w:pPr>
        <w:wordWrap w:val="0"/>
        <w:adjustRightInd w:val="0"/>
        <w:snapToGrid w:val="0"/>
        <w:spacing w:line="360" w:lineRule="auto"/>
        <w:ind w:firstLine="561"/>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3.3</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 xml:space="preserve"> 缺陷责任期内，由中标人原因造成的缺陷，中标人应负责维修，并承担鉴定及维修费用。如果中标人不维修也不承担费用，招标人可按合同约定从质量保证中扣除，维修费用超出保证金额的，招标人可按合同约定向中标人进行索赔。中标人维修并承担相应费用后，不免除对工程的损失赔偿责任。</w:t>
      </w:r>
    </w:p>
    <w:p w14:paraId="18324B43">
      <w:pPr>
        <w:wordWrap w:val="0"/>
        <w:adjustRightInd w:val="0"/>
        <w:snapToGrid w:val="0"/>
        <w:spacing w:line="360" w:lineRule="auto"/>
        <w:ind w:firstLine="561"/>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由他人原因造成的缺陷，招标人负责组织维修，中标人不承担费用，且招标人不得从质量保证中扣除费用。</w:t>
      </w:r>
    </w:p>
    <w:p w14:paraId="7148BBA8">
      <w:pPr>
        <w:wordWrap w:val="0"/>
        <w:adjustRightInd w:val="0"/>
        <w:snapToGrid w:val="0"/>
        <w:spacing w:line="360" w:lineRule="auto"/>
        <w:ind w:firstLine="561"/>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t>3.4</w:t>
      </w: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t xml:space="preserve"> 缺陷责任期内，中标人应认真履行合同约定的责任。缺陷责任期到期后，中标人向招标人申请退还质量保证，招标人应按照《建设工程质量保证金管理办法》有关规定将质量保证退还给中标人（不计息）。</w:t>
      </w:r>
    </w:p>
    <w:p w14:paraId="0859BDA5">
      <w:pP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snapToGrid w:val="0"/>
          <w:color w:val="000000" w:themeColor="text1"/>
          <w:kern w:val="0"/>
          <w:szCs w:val="24"/>
          <w:highlight w:val="none"/>
          <w14:textFill>
            <w14:solidFill>
              <w14:schemeClr w14:val="tx1"/>
            </w14:solidFill>
          </w14:textFill>
        </w:rPr>
        <w:br w:type="page"/>
      </w:r>
    </w:p>
    <w:p w14:paraId="067FC25D">
      <w:pPr>
        <w:pStyle w:val="39"/>
        <w:keepNext/>
        <w:keepLines/>
        <w:tabs>
          <w:tab w:val="left" w:pos="885"/>
        </w:tabs>
        <w:spacing w:line="240" w:lineRule="auto"/>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453" w:name="_Toc25046"/>
      <w:bookmarkStart w:id="454" w:name="_Toc803"/>
      <w:bookmarkStart w:id="455" w:name="_Toc26916"/>
      <w:bookmarkStart w:id="456" w:name="_Toc4262"/>
      <w:bookmarkStart w:id="457" w:name="_Toc16873"/>
      <w:bookmarkStart w:id="458" w:name="_Toc17661"/>
      <w:bookmarkStart w:id="459" w:name="_Toc22105"/>
      <w:bookmarkStart w:id="460" w:name="_Toc19544"/>
      <w:bookmarkStart w:id="461" w:name="_Toc12936"/>
      <w:bookmarkStart w:id="462" w:name="_Toc29236"/>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第五章 招标工程的技术要求和前期文件</w:t>
      </w:r>
      <w:bookmarkEnd w:id="450"/>
      <w:bookmarkEnd w:id="453"/>
      <w:bookmarkEnd w:id="454"/>
      <w:bookmarkEnd w:id="455"/>
      <w:bookmarkEnd w:id="456"/>
      <w:bookmarkEnd w:id="457"/>
      <w:bookmarkEnd w:id="458"/>
      <w:bookmarkEnd w:id="459"/>
      <w:bookmarkEnd w:id="460"/>
      <w:bookmarkEnd w:id="461"/>
      <w:bookmarkEnd w:id="462"/>
    </w:p>
    <w:p w14:paraId="1EE2FAAA">
      <w:pPr>
        <w:spacing w:line="360" w:lineRule="auto"/>
        <w:ind w:firstLine="241" w:firstLineChars="100"/>
        <w:outlineLvl w:val="9"/>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pPr>
      <w:bookmarkStart w:id="463" w:name="_Hlt69357851"/>
      <w:bookmarkEnd w:id="463"/>
      <w:bookmarkStart w:id="464" w:name="_Hlt68774758"/>
      <w:bookmarkEnd w:id="464"/>
      <w:bookmarkStart w:id="465" w:name="_Hlt69265216"/>
      <w:bookmarkEnd w:id="465"/>
      <w:bookmarkStart w:id="466" w:name="_Hlt69358207"/>
      <w:bookmarkEnd w:id="466"/>
      <w:bookmarkStart w:id="467" w:name="_Hlt69116854"/>
      <w:bookmarkEnd w:id="467"/>
      <w:bookmarkStart w:id="468" w:name="_Hlt75685840"/>
      <w:bookmarkEnd w:id="468"/>
      <w:bookmarkStart w:id="469" w:name="_Hlt80411122"/>
      <w:bookmarkEnd w:id="469"/>
      <w:bookmarkStart w:id="470" w:name="_Hlt87793346"/>
      <w:bookmarkEnd w:id="470"/>
      <w:bookmarkStart w:id="471" w:name="_Hlt87793370"/>
      <w:bookmarkEnd w:id="471"/>
      <w:bookmarkStart w:id="472" w:name="_Hlt66104926"/>
      <w:bookmarkEnd w:id="472"/>
      <w:bookmarkStart w:id="473" w:name="_Hlt69359335"/>
      <w:bookmarkEnd w:id="473"/>
      <w:bookmarkStart w:id="474" w:name="_Toc7837"/>
      <w:bookmarkStart w:id="475" w:name="_Toc31511"/>
      <w:bookmarkStart w:id="476" w:name="_Toc1436"/>
      <w:bookmarkStart w:id="477" w:name="_Toc466640611"/>
      <w:bookmarkStart w:id="478" w:name="_Toc8935"/>
      <w:bookmarkStart w:id="479" w:name="_Toc5215"/>
      <w:bookmarkStart w:id="480" w:name="_Toc1173"/>
      <w:bookmarkStart w:id="481" w:name="_Toc25463"/>
      <w:bookmarkStart w:id="482" w:name="_Toc21545"/>
    </w:p>
    <w:bookmarkEnd w:id="474"/>
    <w:bookmarkEnd w:id="475"/>
    <w:bookmarkEnd w:id="476"/>
    <w:bookmarkEnd w:id="477"/>
    <w:bookmarkEnd w:id="478"/>
    <w:bookmarkEnd w:id="479"/>
    <w:bookmarkEnd w:id="480"/>
    <w:bookmarkEnd w:id="481"/>
    <w:bookmarkEnd w:id="482"/>
    <w:p w14:paraId="5F8AE2EF">
      <w:pPr>
        <w:pStyle w:val="5"/>
        <w:wordWrap w:val="0"/>
        <w:snapToGrid w:val="0"/>
        <w:spacing w:line="360" w:lineRule="auto"/>
        <w:ind w:firstLine="420"/>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pPr>
      <w:bookmarkStart w:id="483" w:name="_Toc13218"/>
      <w:bookmarkStart w:id="484" w:name="_Toc24768"/>
      <w:bookmarkStart w:id="485" w:name="_Toc30934"/>
      <w:bookmarkStart w:id="486" w:name="_Toc32359"/>
      <w:r>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t>1．工程勘察标准规范</w:t>
      </w:r>
      <w:bookmarkEnd w:id="483"/>
      <w:bookmarkEnd w:id="484"/>
      <w:bookmarkEnd w:id="485"/>
      <w:bookmarkEnd w:id="486"/>
    </w:p>
    <w:p w14:paraId="2F4AE765">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本项目勘察、测量文件必须符合现行国家、行业和地方的一切法规、规范和标准关于工程勘察、测量的要求，包括但不限于： </w:t>
      </w:r>
    </w:p>
    <w:p w14:paraId="44AEC4BC">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《工程测量规范 》(GB 50026-2007)；</w:t>
      </w:r>
    </w:p>
    <w:p w14:paraId="20E67C54">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《全球定位系统（GPS）测量规范》（GB/T18314-2001）；</w:t>
      </w:r>
    </w:p>
    <w:p w14:paraId="04DC3182">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《1:500、1:1000、1:2000地形图图式》（GB/T20257.1-2007）；</w:t>
      </w:r>
    </w:p>
    <w:p w14:paraId="2048493F">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4</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《岩土工程勘察规范》（GB50021-2001，2009版）；</w:t>
      </w:r>
    </w:p>
    <w:p w14:paraId="0F6B6804">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《建筑地基基础设计规范》（GB50007-2011）； </w:t>
      </w:r>
    </w:p>
    <w:p w14:paraId="0A27A2E2">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6</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《建筑地基基础设计规范》（DBJ15-31-2016）；</w:t>
      </w:r>
    </w:p>
    <w:p w14:paraId="23D2C6C0">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7</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《中国地震动参数区划图》（GB18306-2015）；</w:t>
      </w:r>
    </w:p>
    <w:p w14:paraId="762062D4">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8</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《建筑工程地质勘探与取样技术规程》(JGJ/T87-2012)；</w:t>
      </w:r>
    </w:p>
    <w:p w14:paraId="750810EB">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9</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《土工试验方法标准》（GB/T50123-2019）；</w:t>
      </w:r>
    </w:p>
    <w:p w14:paraId="05CD1644">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10</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《工程岩体分级标准》（GB/T50218-2014）；</w:t>
      </w:r>
    </w:p>
    <w:p w14:paraId="7AE6325C">
      <w:pPr>
        <w:shd w:val="clear" w:color="auto" w:fill="auto"/>
        <w:spacing w:line="360" w:lineRule="auto"/>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备注：若有相关主管部门颁发新的标准规范则按新的标准规范执行。</w:t>
      </w:r>
    </w:p>
    <w:p w14:paraId="72BE354E">
      <w:pPr>
        <w:pStyle w:val="5"/>
        <w:wordWrap w:val="0"/>
        <w:snapToGrid w:val="0"/>
        <w:spacing w:line="360" w:lineRule="auto"/>
        <w:ind w:firstLine="420"/>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pPr>
      <w:bookmarkStart w:id="487" w:name="_Toc4951"/>
      <w:bookmarkStart w:id="488" w:name="_Toc10113"/>
      <w:bookmarkStart w:id="489" w:name="_Toc16309"/>
      <w:r>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t>2．工程设计标准规范</w:t>
      </w:r>
      <w:bookmarkEnd w:id="487"/>
      <w:bookmarkEnd w:id="488"/>
      <w:bookmarkEnd w:id="489"/>
    </w:p>
    <w:p w14:paraId="169B9AED">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《城市居住区规划设计规范》GB50180-2018）</w:t>
      </w:r>
      <w:r>
        <w:rPr>
          <w:rFonts w:hint="eastAsia" w:ascii="宋体" w:hAnsi="宋体" w:eastAsia="宋体" w:cs="宋体"/>
          <w:color w:val="000000" w:themeColor="text1"/>
          <w:sz w:val="24"/>
          <w:szCs w:val="24"/>
          <w:highlight w:val="none"/>
          <w14:textFill>
            <w14:solidFill>
              <w14:schemeClr w14:val="tx1"/>
            </w14:solidFill>
          </w14:textFill>
        </w:rPr>
        <w:t>；</w:t>
      </w:r>
    </w:p>
    <w:p w14:paraId="4B12B10A">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《城市道路工程设计规》（CJJ37-2012）；</w:t>
      </w:r>
    </w:p>
    <w:p w14:paraId="20F1C059">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《城市道路路线设计规范》（CJJ 193-2012）；</w:t>
      </w:r>
    </w:p>
    <w:p w14:paraId="5B45031C">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4</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《城市道路路基设计规范》（CJJ194-2013）；</w:t>
      </w:r>
    </w:p>
    <w:p w14:paraId="18809B13">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《城镇道路路面设计规范》（CJJ169-2012）；</w:t>
      </w:r>
    </w:p>
    <w:p w14:paraId="5C1D06B2">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6</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《城市道路交通规划与设计规范》（GB0220-95）；</w:t>
      </w:r>
    </w:p>
    <w:p w14:paraId="1C9B8A09">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7</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《无障碍设计规范》（GB 50763-2012）；</w:t>
      </w:r>
    </w:p>
    <w:p w14:paraId="79F91A6B">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8</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《城镇道路工程施工与质量验收规范》（CJJ 1-2008)；</w:t>
      </w:r>
    </w:p>
    <w:p w14:paraId="1A0D7B58">
      <w:pPr>
        <w:shd w:val="clear" w:color="auto" w:fill="auto"/>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9</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《混凝土结构设计规范》（GB50010-2010）；</w:t>
      </w:r>
    </w:p>
    <w:p w14:paraId="17AB41F5">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10</w:t>
      </w:r>
      <w:r>
        <w:rPr>
          <w:rFonts w:hint="eastAsia" w:ascii="宋体" w:hAnsi="宋体" w:eastAsia="宋体" w:cs="宋体"/>
          <w:color w:val="000000" w:themeColor="text1"/>
          <w:sz w:val="24"/>
          <w:szCs w:val="24"/>
          <w:highlight w:val="none"/>
          <w:lang w:eastAsia="zh-CN"/>
          <w14:textFill>
            <w14:solidFill>
              <w14:schemeClr w14:val="tx1"/>
            </w14:solidFill>
          </w14:textFill>
        </w:rPr>
        <w:t>）</w:t>
      </w:r>
      <w:bookmarkStart w:id="490" w:name="_Hlt69359243"/>
      <w:bookmarkEnd w:id="490"/>
      <w:bookmarkStart w:id="491" w:name="_Hlt69358458"/>
      <w:bookmarkEnd w:id="491"/>
      <w:bookmarkStart w:id="492" w:name="_Hlt78709799"/>
      <w:bookmarkEnd w:id="492"/>
      <w:bookmarkStart w:id="493" w:name="_Hlt69359086"/>
      <w:bookmarkEnd w:id="493"/>
      <w:bookmarkStart w:id="494" w:name="_Hlt69116858"/>
      <w:bookmarkEnd w:id="494"/>
      <w:bookmarkStart w:id="495" w:name="_Hlt69359245"/>
      <w:bookmarkEnd w:id="495"/>
      <w:bookmarkStart w:id="496" w:name="_Hlt69635252"/>
      <w:bookmarkEnd w:id="496"/>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《城市防洪工程设计规范》（GB/T 50805-2012）； </w:t>
      </w:r>
    </w:p>
    <w:p w14:paraId="024A8E82">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hAnsi="宋体" w:eastAsia="宋体" w:cs="宋体"/>
          <w:color w:val="000000" w:themeColor="text1"/>
          <w:sz w:val="24"/>
          <w:szCs w:val="24"/>
          <w:highlight w:val="none"/>
          <w:lang w:val="en-US" w:eastAsia="zh-CN"/>
          <w14:textFill>
            <w14:solidFill>
              <w14:schemeClr w14:val="tx1"/>
            </w14:solidFill>
          </w14:textFill>
        </w:rPr>
        <w:t>11</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）《地表水环境质量标准》（GB3838-2022）； </w:t>
      </w:r>
    </w:p>
    <w:p w14:paraId="3453853B">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hAnsi="宋体" w:eastAsia="宋体" w:cs="宋体"/>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）《室外排水设计标准）》（GB50014-2021）； </w:t>
      </w:r>
    </w:p>
    <w:p w14:paraId="23D7002C">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）《给水排水工程结构设计规范》（GB 500069－2002）； </w:t>
      </w:r>
    </w:p>
    <w:p w14:paraId="183ED83F">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hAnsi="宋体" w:eastAsia="宋体" w:cs="宋体"/>
          <w:color w:val="000000" w:themeColor="text1"/>
          <w:sz w:val="24"/>
          <w:szCs w:val="24"/>
          <w:highlight w:val="none"/>
          <w:lang w:val="en-US" w:eastAsia="zh-CN"/>
          <w14:textFill>
            <w14:solidFill>
              <w14:schemeClr w14:val="tx1"/>
            </w14:solidFill>
          </w14:textFill>
        </w:rPr>
        <w:t>14</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）《居住小区给水排水设计规范》（CECS57：94）； </w:t>
      </w:r>
    </w:p>
    <w:p w14:paraId="62A6191F">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hAnsi="宋体" w:eastAsia="宋体" w:cs="宋体"/>
          <w:color w:val="000000" w:themeColor="text1"/>
          <w:sz w:val="24"/>
          <w:szCs w:val="24"/>
          <w:highlight w:val="non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）《建筑给水排水设计规范》（GB50015-2003）2009 年版； </w:t>
      </w:r>
    </w:p>
    <w:p w14:paraId="1BD852BE">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hAnsi="宋体" w:eastAsia="宋体" w:cs="宋体"/>
          <w:color w:val="000000" w:themeColor="text1"/>
          <w:sz w:val="24"/>
          <w:szCs w:val="24"/>
          <w:highlight w:val="none"/>
          <w:lang w:val="en-US" w:eastAsia="zh-CN"/>
          <w14:textFill>
            <w14:solidFill>
              <w14:schemeClr w14:val="tx1"/>
            </w14:solidFill>
          </w14:textFill>
        </w:rPr>
        <w:t>16</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）《建筑给水排水及采暖工程施工质量验收规范》 （GB50242-2002）； </w:t>
      </w:r>
    </w:p>
    <w:p w14:paraId="17623647">
      <w:pPr>
        <w:wordWrap w:val="0"/>
        <w:adjustRightInd w:val="0"/>
        <w:snapToGrid w:val="0"/>
        <w:spacing w:line="360" w:lineRule="auto"/>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hAnsi="宋体" w:eastAsia="宋体" w:cs="宋体"/>
          <w:color w:val="000000" w:themeColor="text1"/>
          <w:sz w:val="24"/>
          <w:szCs w:val="24"/>
          <w:highlight w:val="none"/>
          <w:lang w:val="en-US" w:eastAsia="zh-CN"/>
          <w14:textFill>
            <w14:solidFill>
              <w14:schemeClr w14:val="tx1"/>
            </w14:solidFill>
          </w14:textFill>
        </w:rPr>
        <w:t>17</w:t>
      </w:r>
      <w:r>
        <w:rPr>
          <w:rFonts w:hint="eastAsia" w:ascii="宋体" w:hAnsi="宋体" w:eastAsia="宋体" w:cs="宋体"/>
          <w:color w:val="000000" w:themeColor="text1"/>
          <w:sz w:val="24"/>
          <w:szCs w:val="24"/>
          <w:highlight w:val="none"/>
          <w:lang w:val="en-US" w:eastAsia="zh-CN"/>
          <w14:textFill>
            <w14:solidFill>
              <w14:schemeClr w14:val="tx1"/>
            </w14:solidFill>
          </w14:textFill>
        </w:rPr>
        <w:t>）建筑设计防火规范（GB 55037-2022）；</w:t>
      </w:r>
    </w:p>
    <w:p w14:paraId="4E889735">
      <w:pPr>
        <w:pStyle w:val="31"/>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（18）《城市道路、广场绿化规划与设计规范》；</w:t>
      </w:r>
    </w:p>
    <w:p w14:paraId="70A23425">
      <w:pPr>
        <w:pStyle w:val="31"/>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 xml:space="preserve">（19）《美丽乡村绿化美化技术规程》（DB11/T 1778-2020）； </w:t>
      </w:r>
    </w:p>
    <w:p w14:paraId="3BAFE905">
      <w:pPr>
        <w:pStyle w:val="31"/>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 xml:space="preserve">（20）《园林绿化工程施工及验收规范》（CJJ 82-2012）； </w:t>
      </w:r>
    </w:p>
    <w:p w14:paraId="6C967C6D">
      <w:pPr>
        <w:pStyle w:val="31"/>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 xml:space="preserve">（21）《城市道路绿化规划与设计规范》（CJJ75-97）； </w:t>
      </w:r>
    </w:p>
    <w:p w14:paraId="1A133B0B">
      <w:pPr>
        <w:pStyle w:val="31"/>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 xml:space="preserve">（22）《城市道路照明设计标准》（CJJ45-2006）； </w:t>
      </w:r>
    </w:p>
    <w:p w14:paraId="5DF8792E">
      <w:pPr>
        <w:pStyle w:val="31"/>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 xml:space="preserve">（23）《城市道路照明工程施工及验收规程》（CJJ89-2012）； </w:t>
      </w:r>
    </w:p>
    <w:p w14:paraId="6FB2055E">
      <w:pPr>
        <w:pStyle w:val="31"/>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 xml:space="preserve">（24）《电力工程电力设计规范》（GB50217-2007）； </w:t>
      </w:r>
    </w:p>
    <w:p w14:paraId="0524E6F6">
      <w:pPr>
        <w:pStyle w:val="31"/>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（25）《砌体结构设计规范》（GB50003-2011）。</w:t>
      </w:r>
    </w:p>
    <w:p w14:paraId="6ED2505B">
      <w:pPr>
        <w:shd w:val="clear" w:color="auto" w:fill="auto"/>
        <w:wordWrap w:val="0"/>
        <w:adjustRightInd w:val="0"/>
        <w:snapToGrid w:val="0"/>
        <w:spacing w:line="360" w:lineRule="auto"/>
        <w:ind w:right="-223" w:rightChars="-93" w:firstLine="723" w:firstLineChars="3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备注：若有相关主管部门颁发新的标准规范则按新的标准规范执行。</w:t>
      </w:r>
    </w:p>
    <w:p w14:paraId="4EF930EA">
      <w:pPr>
        <w:pStyle w:val="5"/>
        <w:wordWrap w:val="0"/>
        <w:snapToGrid w:val="0"/>
        <w:spacing w:line="360" w:lineRule="auto"/>
        <w:ind w:firstLine="420"/>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pPr>
      <w:bookmarkStart w:id="497" w:name="_Toc21927"/>
      <w:bookmarkStart w:id="498" w:name="_Toc30959"/>
      <w:r>
        <w:rPr>
          <w:rFonts w:hint="eastAsia" w:hAnsi="宋体" w:eastAsia="宋体" w:cs="宋体"/>
          <w:b/>
          <w:bCs w:val="0"/>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t>市政基础设施工程建设项目</w:t>
      </w:r>
      <w:bookmarkEnd w:id="497"/>
      <w:bookmarkEnd w:id="498"/>
    </w:p>
    <w:p w14:paraId="18BD05C2">
      <w:pPr>
        <w:wordWrap w:val="0"/>
        <w:adjustRightInd w:val="0"/>
        <w:snapToGrid w:val="0"/>
        <w:spacing w:line="360" w:lineRule="auto"/>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市政基础设施工程建设项目必须执行的现行技术规范，包括且不限于：</w:t>
      </w:r>
    </w:p>
    <w:p w14:paraId="234C785E">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（1）《公路路基施工技术规范》；</w:t>
      </w:r>
    </w:p>
    <w:p w14:paraId="30F88FF6">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（2）《市政道路工程质量检验评定标准》；</w:t>
      </w:r>
    </w:p>
    <w:p w14:paraId="4A89A025">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（3）《市政排水管渠工程质量检验评定标准》；</w:t>
      </w:r>
    </w:p>
    <w:p w14:paraId="338549E9">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（4）《给水排水管道工程施工及验收规范》；</w:t>
      </w:r>
    </w:p>
    <w:p w14:paraId="4F67363A">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（5）《城市道路路基工程施工及验收规范》；</w:t>
      </w:r>
    </w:p>
    <w:p w14:paraId="0DD9BE82">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（6）《水泥砼路面施工及验收规范》；</w:t>
      </w:r>
    </w:p>
    <w:p w14:paraId="75325798">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（7）《公路水泥砼路面施工技术规范》；</w:t>
      </w:r>
    </w:p>
    <w:p w14:paraId="63286217">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（8）《埋地硬聚氯乙烯排水管道工程技术规程》；</w:t>
      </w:r>
    </w:p>
    <w:p w14:paraId="492CBA18">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（9）《沥青路面施工及验收规范》；</w:t>
      </w:r>
    </w:p>
    <w:p w14:paraId="6A0A1630">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（10）《广东省市政工程施工质量技术资料统一用表》。</w:t>
      </w:r>
    </w:p>
    <w:p w14:paraId="4A7AE3F8">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（11）《建筑与市政工程无障碍通用规范》GB 55019-2021；</w:t>
      </w:r>
    </w:p>
    <w:p w14:paraId="76AF36D5">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（12）《建筑防火通用规范》GB 55037-2022；</w:t>
      </w:r>
    </w:p>
    <w:p w14:paraId="1728B4F8">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（13）《建筑与市政工程抗震通用规范》GB55002-2001；</w:t>
      </w:r>
    </w:p>
    <w:p w14:paraId="140FDC2D">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（14）《建筑与市政地基基础通用规范》GB55003-2001；</w:t>
      </w:r>
    </w:p>
    <w:p w14:paraId="21EAD21F">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（15）《城市道路照明设计标准》（CJJ45-2015）；</w:t>
      </w:r>
    </w:p>
    <w:p w14:paraId="675D0252">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（16）《低压配电设计规范》（GB50054-2011）；</w:t>
      </w:r>
    </w:p>
    <w:p w14:paraId="439A2E62">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（17）《城市道路照明工程施工及验收规程》（CJJ89-2012）；</w:t>
      </w:r>
    </w:p>
    <w:p w14:paraId="5C92E74F">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（18）《LED 道路照明工程技术规范》（DB44/T1898-2016）；</w:t>
      </w:r>
    </w:p>
    <w:p w14:paraId="508CDB4A">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（19）《灯具第1部分：一般要求与试验》（GB7000.1-2015）；</w:t>
      </w:r>
    </w:p>
    <w:p w14:paraId="79CDEAAB">
      <w:p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（20）《电缆工程电缆设计标准》（GB50217-2018）；</w:t>
      </w:r>
    </w:p>
    <w:p w14:paraId="0C93975C">
      <w:pPr>
        <w:wordWrap w:val="0"/>
        <w:adjustRightInd w:val="0"/>
        <w:snapToGrid w:val="0"/>
        <w:spacing w:line="360" w:lineRule="auto"/>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（21）其他现行国家、广东省关于市政工程的技术及验收规范、定额、规程、标准</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w:t>
      </w:r>
    </w:p>
    <w:p w14:paraId="4BBEA51D">
      <w:pPr>
        <w:pStyle w:val="5"/>
        <w:wordWrap w:val="0"/>
        <w:snapToGrid w:val="0"/>
        <w:spacing w:line="360" w:lineRule="auto"/>
        <w:ind w:firstLine="420"/>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pPr>
      <w:bookmarkStart w:id="499" w:name="_Toc27860"/>
      <w:bookmarkStart w:id="500" w:name="_Toc10672"/>
      <w:r>
        <w:rPr>
          <w:rFonts w:hint="eastAsia" w:ascii="宋体" w:hAnsi="宋体" w:cs="宋体"/>
          <w:snapToGrid w:val="0"/>
          <w:color w:val="000000" w:themeColor="text1"/>
          <w:sz w:val="24"/>
          <w:szCs w:val="24"/>
          <w:highlight w:val="none"/>
          <w:lang w:val="en-US" w:eastAsia="zh-CN"/>
          <w14:textFill>
            <w14:solidFill>
              <w14:schemeClr w14:val="tx1"/>
            </w14:solidFill>
          </w14:textFill>
        </w:rPr>
        <w:t>4.</w:t>
      </w:r>
      <w:r>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t>备查要求</w:t>
      </w:r>
      <w:bookmarkEnd w:id="499"/>
      <w:bookmarkEnd w:id="500"/>
    </w:p>
    <w:p w14:paraId="744D3CDD">
      <w:pPr>
        <w:wordWrap w:val="0"/>
        <w:adjustRightInd w:val="0"/>
        <w:snapToGrid w:val="0"/>
        <w:spacing w:line="360" w:lineRule="auto"/>
        <w:ind w:firstLine="56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承包</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人必须在施工现场准备至少一套上述规范，</w:t>
      </w:r>
      <w:r>
        <w:rPr>
          <w:rFonts w:hint="eastAsia" w:ascii="宋体" w:hAnsi="宋体" w:eastAsia="宋体" w:cs="宋体"/>
          <w:snapToGrid w:val="0"/>
          <w:color w:val="000000" w:themeColor="text1"/>
          <w:kern w:val="0"/>
          <w:sz w:val="24"/>
          <w:szCs w:val="24"/>
          <w:highlight w:val="none"/>
          <w14:textFill>
            <w14:solidFill>
              <w14:schemeClr w14:val="tx1"/>
            </w14:solidFill>
          </w14:textFill>
        </w:rPr>
        <w:t>发包</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人和监理单位可随时检查</w:t>
      </w:r>
      <w:r>
        <w:rPr>
          <w:rFonts w:hint="eastAsia" w:ascii="宋体" w:hAnsi="宋体" w:eastAsia="宋体" w:cs="宋体"/>
          <w:snapToGrid w:val="0"/>
          <w:color w:val="000000" w:themeColor="text1"/>
          <w:kern w:val="0"/>
          <w:sz w:val="24"/>
          <w:szCs w:val="24"/>
          <w:highlight w:val="none"/>
          <w14:textFill>
            <w14:solidFill>
              <w14:schemeClr w14:val="tx1"/>
            </w14:solidFill>
          </w14:textFill>
        </w:rPr>
        <w:t>承包</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人的上述规范，并监督</w:t>
      </w:r>
      <w:r>
        <w:rPr>
          <w:rFonts w:hint="eastAsia" w:ascii="宋体" w:hAnsi="宋体" w:eastAsia="宋体" w:cs="宋体"/>
          <w:snapToGrid w:val="0"/>
          <w:color w:val="000000" w:themeColor="text1"/>
          <w:kern w:val="0"/>
          <w:sz w:val="24"/>
          <w:szCs w:val="24"/>
          <w:highlight w:val="none"/>
          <w14:textFill>
            <w14:solidFill>
              <w14:schemeClr w14:val="tx1"/>
            </w14:solidFill>
          </w14:textFill>
        </w:rPr>
        <w:t>承包</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人按规范要求执行。</w:t>
      </w:r>
      <w:bookmarkStart w:id="501" w:name="_Hlt69670335"/>
      <w:bookmarkEnd w:id="501"/>
    </w:p>
    <w:p w14:paraId="3D076E68">
      <w:pPr>
        <w:rPr>
          <w:rFonts w:hint="eastAsia" w:asciiTheme="minorEastAsia" w:hAnsiTheme="minorEastAsia" w:eastAsiaTheme="minorEastAsia" w:cstheme="minorEastAsia"/>
          <w:b/>
          <w:color w:val="000000" w:themeColor="text1"/>
          <w:kern w:val="44"/>
          <w:sz w:val="36"/>
          <w:szCs w:val="36"/>
          <w:highlight w:val="none"/>
          <w:lang w:val="en-US" w:eastAsia="zh-CN"/>
          <w14:textFill>
            <w14:solidFill>
              <w14:schemeClr w14:val="tx1"/>
            </w14:solidFill>
          </w14:textFill>
        </w:rPr>
      </w:pPr>
      <w:bookmarkStart w:id="502" w:name="_Toc25541"/>
      <w:bookmarkStart w:id="503" w:name="_Hlt69698785"/>
      <w:r>
        <w:rPr>
          <w:rFonts w:hint="eastAsia" w:asciiTheme="minorEastAsia" w:hAnsiTheme="minorEastAsia" w:eastAsiaTheme="minorEastAsia" w:cstheme="minorEastAsia"/>
          <w:b/>
          <w:color w:val="000000" w:themeColor="text1"/>
          <w:kern w:val="44"/>
          <w:sz w:val="36"/>
          <w:szCs w:val="36"/>
          <w:highlight w:val="none"/>
          <w:lang w:val="en-US" w:eastAsia="zh-CN"/>
          <w14:textFill>
            <w14:solidFill>
              <w14:schemeClr w14:val="tx1"/>
            </w14:solidFill>
          </w14:textFill>
        </w:rPr>
        <w:br w:type="page"/>
      </w:r>
    </w:p>
    <w:p w14:paraId="0BAE96FA">
      <w:pPr>
        <w:pStyle w:val="39"/>
        <w:keepNext/>
        <w:keepLines/>
        <w:tabs>
          <w:tab w:val="left" w:pos="885"/>
        </w:tabs>
        <w:spacing w:line="240" w:lineRule="auto"/>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504" w:name="_Toc4655"/>
      <w:r>
        <w:rPr>
          <w:rFonts w:hint="eastAsia" w:asciiTheme="minorEastAsia" w:hAnsiTheme="minorEastAsia" w:eastAsiaTheme="minorEastAsia" w:cstheme="minorEastAsia"/>
          <w:b/>
          <w:color w:val="000000" w:themeColor="text1"/>
          <w:kern w:val="44"/>
          <w:sz w:val="36"/>
          <w:szCs w:val="36"/>
          <w:highlight w:val="none"/>
          <w:lang w:val="en-US" w:eastAsia="zh-CN"/>
          <w14:textFill>
            <w14:solidFill>
              <w14:schemeClr w14:val="tx1"/>
            </w14:solidFill>
          </w14:textFill>
        </w:rPr>
        <w:t xml:space="preserve">第六章  </w:t>
      </w:r>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招标文件</w:t>
      </w:r>
      <w:bookmarkStart w:id="505" w:name="_Hlt75747044"/>
      <w:bookmarkEnd w:id="505"/>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的附件</w:t>
      </w:r>
      <w:bookmarkEnd w:id="502"/>
      <w:bookmarkEnd w:id="504"/>
    </w:p>
    <w:p w14:paraId="4A3E66F5">
      <w:pPr>
        <w:rPr>
          <w:rFonts w:hint="eastAsia" w:asciiTheme="minorEastAsia" w:hAnsiTheme="minorEastAsia" w:eastAsiaTheme="minorEastAsia" w:cstheme="minorEastAsia"/>
          <w:color w:val="000000" w:themeColor="text1"/>
          <w:highlight w:val="none"/>
          <w14:textFill>
            <w14:solidFill>
              <w14:schemeClr w14:val="tx1"/>
            </w14:solidFill>
          </w14:textFill>
        </w:rPr>
      </w:pPr>
    </w:p>
    <w:bookmarkEnd w:id="503"/>
    <w:p w14:paraId="695B4F72">
      <w:pPr>
        <w:pStyle w:val="4"/>
        <w:spacing w:before="120"/>
        <w:jc w:val="left"/>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pPr>
      <w:bookmarkStart w:id="506" w:name="_附件一：对招标文件条款自愿接受承诺书"/>
      <w:bookmarkEnd w:id="506"/>
      <w:bookmarkStart w:id="507" w:name="_附件四：工期承诺书"/>
      <w:bookmarkEnd w:id="507"/>
      <w:bookmarkStart w:id="508" w:name="_附件一：投标函"/>
      <w:bookmarkEnd w:id="508"/>
      <w:bookmarkStart w:id="509" w:name="_附件二：工期承诺书"/>
      <w:bookmarkEnd w:id="509"/>
      <w:bookmarkStart w:id="510" w:name="_附件五：综合评审合理低价法"/>
      <w:bookmarkEnd w:id="510"/>
      <w:bookmarkStart w:id="511" w:name="_附件二：近三年度主要施工项目（竣工及在建）一览表"/>
      <w:bookmarkEnd w:id="511"/>
      <w:bookmarkStart w:id="512" w:name="_Toc3855"/>
      <w:bookmarkStart w:id="513" w:name="_Toc16296"/>
      <w:bookmarkStart w:id="514" w:name="_Toc39136360"/>
      <w:bookmarkStart w:id="515" w:name="_Toc12527"/>
      <w:bookmarkStart w:id="516" w:name="_Toc12406"/>
      <w:bookmarkStart w:id="517" w:name="_Toc2902"/>
      <w:bookmarkStart w:id="518" w:name="_Toc15784"/>
      <w:bookmarkStart w:id="519" w:name="_Toc133160683"/>
      <w:bookmarkStart w:id="520" w:name="_Toc137444778"/>
      <w:bookmarkStart w:id="521" w:name="_Toc142468134"/>
      <w:bookmarkStart w:id="522" w:name="_Toc132687128"/>
      <w:bookmarkStart w:id="523" w:name="_Toc78794873"/>
      <w:bookmarkStart w:id="524" w:name="_Toc133815902"/>
      <w:r>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t>格式一 封面</w:t>
      </w:r>
      <w:bookmarkEnd w:id="512"/>
      <w:bookmarkEnd w:id="513"/>
      <w:bookmarkEnd w:id="514"/>
      <w:bookmarkEnd w:id="515"/>
      <w:bookmarkEnd w:id="516"/>
      <w:bookmarkEnd w:id="517"/>
      <w:bookmarkEnd w:id="518"/>
    </w:p>
    <w:p w14:paraId="38EBFF1A">
      <w:pPr>
        <w:pStyle w:val="48"/>
        <w:widowControl w:val="0"/>
        <w:wordWrap w:val="0"/>
        <w:adjustRightInd w:val="0"/>
        <w:snapToGrid w:val="0"/>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pPr>
    </w:p>
    <w:p w14:paraId="60F35822">
      <w:pPr>
        <w:pStyle w:val="48"/>
        <w:widowControl w:val="0"/>
        <w:wordWrap w:val="0"/>
        <w:adjustRightInd w:val="0"/>
        <w:snapToGrid w:val="0"/>
        <w:jc w:val="right"/>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pPr>
    </w:p>
    <w:p w14:paraId="31F0A621">
      <w:pPr>
        <w:pStyle w:val="48"/>
        <w:widowControl w:val="0"/>
        <w:wordWrap w:val="0"/>
        <w:adjustRightInd w:val="0"/>
        <w:snapToGrid w:val="0"/>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pPr>
    </w:p>
    <w:p w14:paraId="306826E3">
      <w:pPr>
        <w:pStyle w:val="48"/>
        <w:widowControl w:val="0"/>
        <w:wordWrap w:val="0"/>
        <w:adjustRightInd w:val="0"/>
        <w:snapToGrid w:val="0"/>
        <w:ind w:firstLine="0"/>
        <w:rPr>
          <w:rFonts w:hint="eastAsia" w:asciiTheme="minorEastAsia" w:hAnsiTheme="minorEastAsia" w:eastAsiaTheme="minorEastAsia" w:cstheme="minorEastAsia"/>
          <w:b/>
          <w:snapToGrid w:val="0"/>
          <w:color w:val="000000" w:themeColor="text1"/>
          <w:sz w:val="24"/>
          <w:highlight w:val="none"/>
          <w14:textFill>
            <w14:solidFill>
              <w14:schemeClr w14:val="tx1"/>
            </w14:solidFill>
          </w14:textFill>
        </w:rPr>
      </w:pPr>
      <w:bookmarkStart w:id="525" w:name="_附件二十四：技术标提问单"/>
      <w:bookmarkEnd w:id="525"/>
      <w:bookmarkStart w:id="526" w:name="_Hlt68774664"/>
      <w:bookmarkEnd w:id="526"/>
      <w:bookmarkStart w:id="527" w:name="_Hlt69116778"/>
      <w:bookmarkEnd w:id="527"/>
      <w:bookmarkStart w:id="528" w:name="_附件十：单项工程费汇总表"/>
      <w:bookmarkEnd w:id="528"/>
      <w:bookmarkStart w:id="529" w:name="_附件二十五：综合评审合理低价法"/>
      <w:bookmarkEnd w:id="529"/>
      <w:bookmarkStart w:id="530" w:name="_Toc15791"/>
      <w:bookmarkStart w:id="531" w:name="_Toc39136361"/>
      <w:bookmarkStart w:id="532" w:name="_Toc26795"/>
      <w:bookmarkStart w:id="533" w:name="_Toc28483"/>
      <w:bookmarkStart w:id="534" w:name="_Toc5872"/>
      <w:bookmarkStart w:id="535" w:name="_Hlt66847557"/>
      <w:bookmarkStart w:id="536" w:name="_Toc466640620"/>
      <w:bookmarkStart w:id="537" w:name="_Toc66849200"/>
      <w:bookmarkStart w:id="538" w:name="_Toc104711098"/>
      <w:bookmarkStart w:id="539" w:name="_Toc106418843"/>
    </w:p>
    <w:p w14:paraId="40A2918D">
      <w:pPr>
        <w:pStyle w:val="48"/>
        <w:widowControl w:val="0"/>
        <w:wordWrap w:val="0"/>
        <w:adjustRightInd w:val="0"/>
        <w:snapToGrid w:val="0"/>
        <w:rPr>
          <w:rFonts w:hint="eastAsia" w:asciiTheme="minorEastAsia" w:hAnsiTheme="minorEastAsia" w:eastAsiaTheme="minorEastAsia" w:cstheme="minorEastAsia"/>
          <w:b/>
          <w:snapToGrid w:val="0"/>
          <w:color w:val="000000" w:themeColor="text1"/>
          <w:sz w:val="24"/>
          <w:highlight w:val="none"/>
          <w14:textFill>
            <w14:solidFill>
              <w14:schemeClr w14:val="tx1"/>
            </w14:solidFill>
          </w14:textFill>
        </w:rPr>
      </w:pPr>
    </w:p>
    <w:p w14:paraId="7CAE7B27">
      <w:pPr>
        <w:pStyle w:val="48"/>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48"/>
          <w:szCs w:val="48"/>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sz w:val="48"/>
          <w:szCs w:val="48"/>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snapToGrid w:val="0"/>
          <w:color w:val="000000" w:themeColor="text1"/>
          <w:sz w:val="48"/>
          <w:szCs w:val="48"/>
          <w:highlight w:val="none"/>
          <w:u w:val="single"/>
          <w14:textFill>
            <w14:solidFill>
              <w14:schemeClr w14:val="tx1"/>
            </w14:solidFill>
          </w14:textFill>
        </w:rPr>
        <w:t>（项目名称）</w:t>
      </w:r>
      <w:r>
        <w:rPr>
          <w:rFonts w:hint="eastAsia" w:asciiTheme="minorEastAsia" w:hAnsiTheme="minorEastAsia" w:eastAsiaTheme="minorEastAsia" w:cstheme="minorEastAsia"/>
          <w:b/>
          <w:snapToGrid w:val="0"/>
          <w:color w:val="000000" w:themeColor="text1"/>
          <w:sz w:val="48"/>
          <w:szCs w:val="48"/>
          <w:highlight w:val="none"/>
          <w14:textFill>
            <w14:solidFill>
              <w14:schemeClr w14:val="tx1"/>
            </w14:solidFill>
          </w14:textFill>
        </w:rPr>
        <w:t>招标</w:t>
      </w:r>
    </w:p>
    <w:p w14:paraId="1F094AC6">
      <w:pPr>
        <w:pStyle w:val="48"/>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1271A314">
      <w:pPr>
        <w:pStyle w:val="48"/>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773F440A">
      <w:pPr>
        <w:pStyle w:val="48"/>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70FED27C">
      <w:pPr>
        <w:pStyle w:val="48"/>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6021F149">
      <w:pPr>
        <w:pStyle w:val="48"/>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72"/>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sz w:val="72"/>
          <w:highlight w:val="none"/>
          <w14:textFill>
            <w14:solidFill>
              <w14:schemeClr w14:val="tx1"/>
            </w14:solidFill>
          </w14:textFill>
        </w:rPr>
        <w:t>投  标  文  件</w:t>
      </w:r>
    </w:p>
    <w:p w14:paraId="34E6046F">
      <w:pPr>
        <w:pStyle w:val="48"/>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73C06724">
      <w:pPr>
        <w:pStyle w:val="48"/>
        <w:widowControl w:val="0"/>
        <w:wordWrap w:val="0"/>
        <w:adjustRightInd w:val="0"/>
        <w:snapToGrid w:val="0"/>
        <w:ind w:firstLine="0"/>
        <w:jc w:val="center"/>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r>
        <w:rPr>
          <w:rFonts w:hint="eastAsia" w:ascii="宋体" w:hAnsi="宋体" w:eastAsia="宋体" w:cs="宋体"/>
          <w:b/>
          <w:bCs/>
          <w:color w:val="000000" w:themeColor="text1"/>
          <w:spacing w:val="0"/>
          <w:sz w:val="47"/>
          <w:szCs w:val="47"/>
          <w:highlight w:val="none"/>
          <w14:textFill>
            <w14:solidFill>
              <w14:schemeClr w14:val="tx1"/>
            </w14:solidFill>
          </w14:textFill>
        </w:rPr>
        <w:t>（</w:t>
      </w:r>
      <w:r>
        <w:rPr>
          <w:rFonts w:hint="eastAsia" w:ascii="宋体" w:hAnsi="宋体" w:eastAsia="宋体" w:cs="宋体"/>
          <w:b/>
          <w:bCs/>
          <w:color w:val="000000" w:themeColor="text1"/>
          <w:spacing w:val="0"/>
          <w:sz w:val="47"/>
          <w:szCs w:val="47"/>
          <w:highlight w:val="none"/>
          <w:lang w:eastAsia="zh-CN"/>
          <w14:textFill>
            <w14:solidFill>
              <w14:schemeClr w14:val="tx1"/>
            </w14:solidFill>
          </w14:textFill>
        </w:rPr>
        <w:t>投标标书</w:t>
      </w:r>
      <w:r>
        <w:rPr>
          <w:rFonts w:hint="eastAsia" w:ascii="宋体" w:hAnsi="宋体" w:eastAsia="宋体" w:cs="宋体"/>
          <w:b/>
          <w:bCs/>
          <w:color w:val="000000" w:themeColor="text1"/>
          <w:spacing w:val="0"/>
          <w:sz w:val="47"/>
          <w:szCs w:val="47"/>
          <w:highlight w:val="none"/>
          <w14:textFill>
            <w14:solidFill>
              <w14:schemeClr w14:val="tx1"/>
            </w14:solidFill>
          </w14:textFill>
        </w:rPr>
        <w:t>／</w:t>
      </w:r>
      <w:r>
        <w:rPr>
          <w:rFonts w:hint="eastAsia" w:ascii="宋体" w:hAnsi="宋体" w:eastAsia="宋体" w:cs="宋体"/>
          <w:b/>
          <w:bCs/>
          <w:color w:val="000000" w:themeColor="text1"/>
          <w:spacing w:val="0"/>
          <w:sz w:val="47"/>
          <w:szCs w:val="47"/>
          <w:highlight w:val="none"/>
          <w:lang w:val="en-US" w:eastAsia="zh-CN"/>
          <w14:textFill>
            <w14:solidFill>
              <w14:schemeClr w14:val="tx1"/>
            </w14:solidFill>
          </w14:textFill>
        </w:rPr>
        <w:t>定标文件</w:t>
      </w:r>
      <w:r>
        <w:rPr>
          <w:rFonts w:hint="eastAsia" w:ascii="宋体" w:hAnsi="宋体" w:eastAsia="宋体" w:cs="宋体"/>
          <w:b/>
          <w:bCs/>
          <w:color w:val="000000" w:themeColor="text1"/>
          <w:spacing w:val="0"/>
          <w:sz w:val="47"/>
          <w:szCs w:val="47"/>
          <w:highlight w:val="none"/>
          <w14:textFill>
            <w14:solidFill>
              <w14:schemeClr w14:val="tx1"/>
            </w14:solidFill>
          </w14:textFill>
        </w:rPr>
        <w:t>）</w:t>
      </w:r>
    </w:p>
    <w:p w14:paraId="25DD5413">
      <w:pPr>
        <w:pStyle w:val="48"/>
        <w:widowControl w:val="0"/>
        <w:wordWrap w:val="0"/>
        <w:adjustRightInd w:val="0"/>
        <w:snapToGrid w:val="0"/>
        <w:ind w:firstLine="0"/>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4D8E4B58">
      <w:pPr>
        <w:pStyle w:val="48"/>
        <w:widowControl w:val="0"/>
        <w:wordWrap w:val="0"/>
        <w:adjustRightInd w:val="0"/>
        <w:snapToGrid w:val="0"/>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4581AE92">
      <w:pPr>
        <w:pStyle w:val="48"/>
        <w:widowControl w:val="0"/>
        <w:wordWrap w:val="0"/>
        <w:adjustRightInd w:val="0"/>
        <w:snapToGrid w:val="0"/>
        <w:rPr>
          <w:rFonts w:hint="eastAsia" w:asciiTheme="minorEastAsia" w:hAnsiTheme="minorEastAsia" w:eastAsiaTheme="minorEastAsia" w:cstheme="minorEastAsia"/>
          <w:b/>
          <w:snapToGrid w:val="0"/>
          <w:color w:val="000000" w:themeColor="text1"/>
          <w:sz w:val="32"/>
          <w:highlight w:val="none"/>
          <w14:textFill>
            <w14:solidFill>
              <w14:schemeClr w14:val="tx1"/>
            </w14:solidFill>
          </w14:textFill>
        </w:rPr>
      </w:pPr>
    </w:p>
    <w:p w14:paraId="1D2843F0">
      <w:pPr>
        <w:pStyle w:val="48"/>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r>
        <w:rPr>
          <w:rFonts w:hint="eastAsia" w:hAnsi="宋体" w:eastAsia="宋体" w:cs="宋体"/>
          <w:bCs/>
          <w:snapToGrid w:val="0"/>
          <w:color w:val="000000" w:themeColor="text1"/>
          <w:sz w:val="32"/>
          <w:highlight w:val="none"/>
          <w14:textFill>
            <w14:solidFill>
              <w14:schemeClr w14:val="tx1"/>
            </w14:solidFill>
          </w14:textFill>
        </w:rPr>
        <w:t>投标人：</w:t>
      </w:r>
      <w:r>
        <w:rPr>
          <w:rFonts w:hint="eastAsia" w:hAnsi="宋体" w:eastAsia="宋体" w:cs="宋体"/>
          <w:bCs/>
          <w:snapToGrid w:val="0"/>
          <w:color w:val="000000" w:themeColor="text1"/>
          <w:sz w:val="32"/>
          <w:highlight w:val="none"/>
          <w:u w:val="single"/>
          <w14:textFill>
            <w14:solidFill>
              <w14:schemeClr w14:val="tx1"/>
            </w14:solidFill>
          </w14:textFill>
        </w:rPr>
        <w:t xml:space="preserve">                                    </w:t>
      </w:r>
      <w:r>
        <w:rPr>
          <w:rFonts w:hint="eastAsia" w:hAnsi="宋体" w:eastAsia="宋体" w:cs="宋体"/>
          <w:bCs/>
          <w:snapToGrid w:val="0"/>
          <w:color w:val="000000" w:themeColor="text1"/>
          <w:sz w:val="32"/>
          <w:highlight w:val="none"/>
          <w14:textFill>
            <w14:solidFill>
              <w14:schemeClr w14:val="tx1"/>
            </w14:solidFill>
          </w14:textFill>
        </w:rPr>
        <w:t>（盖单位章）</w:t>
      </w:r>
    </w:p>
    <w:p w14:paraId="1C895DBE">
      <w:pPr>
        <w:pStyle w:val="48"/>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p>
    <w:p w14:paraId="5ADD4FE5">
      <w:pPr>
        <w:pStyle w:val="48"/>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p>
    <w:p w14:paraId="5A2BC09B">
      <w:pPr>
        <w:pStyle w:val="48"/>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p>
    <w:p w14:paraId="47F0C4EF">
      <w:pPr>
        <w:pStyle w:val="48"/>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r>
        <w:rPr>
          <w:rFonts w:hint="eastAsia" w:hAnsi="宋体" w:eastAsia="宋体" w:cs="宋体"/>
          <w:bCs/>
          <w:snapToGrid w:val="0"/>
          <w:color w:val="000000" w:themeColor="text1"/>
          <w:sz w:val="32"/>
          <w:highlight w:val="none"/>
          <w14:textFill>
            <w14:solidFill>
              <w14:schemeClr w14:val="tx1"/>
            </w14:solidFill>
          </w14:textFill>
        </w:rPr>
        <w:t>法定代表人或其委托代理人：</w:t>
      </w:r>
      <w:r>
        <w:rPr>
          <w:rFonts w:hint="eastAsia" w:hAnsi="宋体" w:eastAsia="宋体" w:cs="宋体"/>
          <w:bCs/>
          <w:snapToGrid w:val="0"/>
          <w:color w:val="000000" w:themeColor="text1"/>
          <w:sz w:val="32"/>
          <w:highlight w:val="none"/>
          <w:u w:val="single"/>
          <w14:textFill>
            <w14:solidFill>
              <w14:schemeClr w14:val="tx1"/>
            </w14:solidFill>
          </w14:textFill>
        </w:rPr>
        <w:t xml:space="preserve">                 </w:t>
      </w:r>
      <w:r>
        <w:rPr>
          <w:rFonts w:hint="eastAsia" w:hAnsi="宋体" w:eastAsia="宋体" w:cs="宋体"/>
          <w:bCs/>
          <w:snapToGrid w:val="0"/>
          <w:color w:val="000000" w:themeColor="text1"/>
          <w:sz w:val="32"/>
          <w:highlight w:val="none"/>
          <w14:textFill>
            <w14:solidFill>
              <w14:schemeClr w14:val="tx1"/>
            </w14:solidFill>
          </w14:textFill>
        </w:rPr>
        <w:t>（签字或盖章）</w:t>
      </w:r>
    </w:p>
    <w:p w14:paraId="21481EC0">
      <w:pPr>
        <w:pStyle w:val="48"/>
        <w:widowControl w:val="0"/>
        <w:wordWrap w:val="0"/>
        <w:adjustRightInd w:val="0"/>
        <w:snapToGrid w:val="0"/>
        <w:ind w:firstLine="0"/>
        <w:jc w:val="center"/>
        <w:rPr>
          <w:rFonts w:hint="eastAsia" w:hAnsi="宋体" w:eastAsia="宋体" w:cs="宋体"/>
          <w:bCs/>
          <w:snapToGrid w:val="0"/>
          <w:color w:val="000000" w:themeColor="text1"/>
          <w:sz w:val="32"/>
          <w:highlight w:val="none"/>
          <w14:textFill>
            <w14:solidFill>
              <w14:schemeClr w14:val="tx1"/>
            </w14:solidFill>
          </w14:textFill>
        </w:rPr>
      </w:pPr>
    </w:p>
    <w:p w14:paraId="157E14DD">
      <w:pPr>
        <w:pStyle w:val="48"/>
        <w:widowControl w:val="0"/>
        <w:wordWrap w:val="0"/>
        <w:adjustRightInd w:val="0"/>
        <w:snapToGrid w:val="0"/>
        <w:ind w:firstLine="0"/>
        <w:jc w:val="center"/>
        <w:rPr>
          <w:rFonts w:hint="eastAsia" w:hAnsi="宋体" w:eastAsia="宋体" w:cs="宋体"/>
          <w:bCs/>
          <w:snapToGrid w:val="0"/>
          <w:color w:val="000000" w:themeColor="text1"/>
          <w:sz w:val="32"/>
          <w:highlight w:val="none"/>
          <w:u w:val="single"/>
          <w14:textFill>
            <w14:solidFill>
              <w14:schemeClr w14:val="tx1"/>
            </w14:solidFill>
          </w14:textFill>
        </w:rPr>
      </w:pPr>
    </w:p>
    <w:p w14:paraId="62209C4C">
      <w:pPr>
        <w:pStyle w:val="48"/>
        <w:widowControl w:val="0"/>
        <w:wordWrap w:val="0"/>
        <w:adjustRightInd w:val="0"/>
        <w:snapToGrid w:val="0"/>
        <w:ind w:firstLine="0"/>
        <w:jc w:val="center"/>
        <w:rPr>
          <w:rFonts w:hint="eastAsia" w:hAnsi="宋体" w:eastAsia="宋体" w:cs="宋体"/>
          <w:b/>
          <w:snapToGrid w:val="0"/>
          <w:color w:val="000000" w:themeColor="text1"/>
          <w:highlight w:val="none"/>
          <w14:textFill>
            <w14:solidFill>
              <w14:schemeClr w14:val="tx1"/>
            </w14:solidFill>
          </w14:textFill>
        </w:rPr>
      </w:pPr>
      <w:r>
        <w:rPr>
          <w:rFonts w:hint="eastAsia" w:hAnsi="宋体" w:eastAsia="宋体" w:cs="宋体"/>
          <w:bCs/>
          <w:snapToGrid w:val="0"/>
          <w:color w:val="000000" w:themeColor="text1"/>
          <w:sz w:val="32"/>
          <w:highlight w:val="none"/>
          <w:u w:val="single"/>
          <w14:textFill>
            <w14:solidFill>
              <w14:schemeClr w14:val="tx1"/>
            </w14:solidFill>
          </w14:textFill>
        </w:rPr>
        <w:t xml:space="preserve">         </w:t>
      </w:r>
      <w:r>
        <w:rPr>
          <w:rFonts w:hint="eastAsia" w:hAnsi="宋体" w:eastAsia="宋体" w:cs="宋体"/>
          <w:bCs/>
          <w:snapToGrid w:val="0"/>
          <w:color w:val="000000" w:themeColor="text1"/>
          <w:sz w:val="32"/>
          <w:highlight w:val="none"/>
          <w14:textFill>
            <w14:solidFill>
              <w14:schemeClr w14:val="tx1"/>
            </w14:solidFill>
          </w14:textFill>
        </w:rPr>
        <w:t>年</w:t>
      </w:r>
      <w:r>
        <w:rPr>
          <w:rFonts w:hint="eastAsia" w:hAnsi="宋体" w:eastAsia="宋体" w:cs="宋体"/>
          <w:bCs/>
          <w:snapToGrid w:val="0"/>
          <w:color w:val="000000" w:themeColor="text1"/>
          <w:sz w:val="32"/>
          <w:highlight w:val="none"/>
          <w:u w:val="single"/>
          <w14:textFill>
            <w14:solidFill>
              <w14:schemeClr w14:val="tx1"/>
            </w14:solidFill>
          </w14:textFill>
        </w:rPr>
        <w:t xml:space="preserve">      </w:t>
      </w:r>
      <w:r>
        <w:rPr>
          <w:rFonts w:hint="eastAsia" w:hAnsi="宋体" w:eastAsia="宋体" w:cs="宋体"/>
          <w:bCs/>
          <w:snapToGrid w:val="0"/>
          <w:color w:val="000000" w:themeColor="text1"/>
          <w:sz w:val="32"/>
          <w:highlight w:val="none"/>
          <w14:textFill>
            <w14:solidFill>
              <w14:schemeClr w14:val="tx1"/>
            </w14:solidFill>
          </w14:textFill>
        </w:rPr>
        <w:t>月</w:t>
      </w:r>
      <w:r>
        <w:rPr>
          <w:rFonts w:hint="eastAsia" w:hAnsi="宋体" w:eastAsia="宋体" w:cs="宋体"/>
          <w:bCs/>
          <w:snapToGrid w:val="0"/>
          <w:color w:val="000000" w:themeColor="text1"/>
          <w:sz w:val="32"/>
          <w:highlight w:val="none"/>
          <w:u w:val="single"/>
          <w14:textFill>
            <w14:solidFill>
              <w14:schemeClr w14:val="tx1"/>
            </w14:solidFill>
          </w14:textFill>
        </w:rPr>
        <w:t xml:space="preserve">      </w:t>
      </w:r>
      <w:r>
        <w:rPr>
          <w:rFonts w:hint="eastAsia" w:hAnsi="宋体" w:eastAsia="宋体" w:cs="宋体"/>
          <w:bCs/>
          <w:snapToGrid w:val="0"/>
          <w:color w:val="000000" w:themeColor="text1"/>
          <w:sz w:val="32"/>
          <w:highlight w:val="none"/>
          <w14:textFill>
            <w14:solidFill>
              <w14:schemeClr w14:val="tx1"/>
            </w14:solidFill>
          </w14:textFill>
        </w:rPr>
        <w:t>日</w:t>
      </w:r>
    </w:p>
    <w:p w14:paraId="7FD7E948">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358AD960">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70FF42CD">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17DF039D">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0778DF56">
      <w:pPr>
        <w:spacing w:before="120"/>
        <w:outlineLvl w:val="9"/>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p>
    <w:p w14:paraId="5DA514C6">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40" w:name="_Toc1038"/>
      <w:bookmarkStart w:id="541" w:name="_Toc4102"/>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格式二 </w:t>
      </w:r>
      <w:bookmarkEnd w:id="530"/>
      <w:bookmarkEnd w:id="531"/>
      <w:bookmarkEnd w:id="532"/>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《投标函》及《工程项目总价表》</w:t>
      </w:r>
      <w:bookmarkEnd w:id="533"/>
      <w:bookmarkEnd w:id="534"/>
      <w:bookmarkEnd w:id="540"/>
      <w:bookmarkEnd w:id="541"/>
    </w:p>
    <w:p w14:paraId="7E96A797">
      <w:pPr>
        <w:wordWrap w:val="0"/>
        <w:adjustRightInd w:val="0"/>
        <w:snapToGrid w:val="0"/>
        <w:spacing w:line="440" w:lineRule="exact"/>
        <w:ind w:firstLine="570"/>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bookmarkStart w:id="542" w:name="_Toc27121"/>
      <w:bookmarkStart w:id="543" w:name="_Toc9280"/>
      <w:bookmarkStart w:id="544" w:name="_Toc18294"/>
      <w:bookmarkStart w:id="545" w:name="_Toc21577"/>
      <w:bookmarkStart w:id="546" w:name="_Toc8657"/>
      <w:bookmarkStart w:id="547" w:name="_Toc28636"/>
      <w:bookmarkStart w:id="548" w:name="_Toc39136362"/>
      <w:bookmarkStart w:id="549" w:name="_Toc10604"/>
      <w:bookmarkStart w:id="550" w:name="_Toc29375"/>
    </w:p>
    <w:p w14:paraId="141A9169">
      <w:pPr>
        <w:wordWrap w:val="0"/>
        <w:adjustRightInd w:val="0"/>
        <w:snapToGrid w:val="0"/>
        <w:spacing w:line="440" w:lineRule="exact"/>
        <w:jc w:val="center"/>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t>投  标  函</w:t>
      </w:r>
      <w:bookmarkEnd w:id="542"/>
      <w:bookmarkEnd w:id="543"/>
      <w:bookmarkEnd w:id="544"/>
      <w:bookmarkEnd w:id="545"/>
      <w:bookmarkEnd w:id="546"/>
      <w:bookmarkEnd w:id="547"/>
      <w:bookmarkEnd w:id="548"/>
      <w:bookmarkEnd w:id="549"/>
      <w:bookmarkEnd w:id="550"/>
    </w:p>
    <w:p w14:paraId="391E1D3A">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27008BC0">
      <w:pPr>
        <w:wordWrap w:val="0"/>
        <w:adjustRightInd w:val="0"/>
        <w:snapToGrid w:val="0"/>
        <w:spacing w:line="440" w:lineRule="exact"/>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（招标人名称）</w:t>
      </w:r>
    </w:p>
    <w:p w14:paraId="0814D29C">
      <w:pPr>
        <w:wordWrap w:val="0"/>
        <w:adjustRightInd w:val="0"/>
        <w:snapToGrid w:val="0"/>
        <w:spacing w:line="440" w:lineRule="exact"/>
        <w:ind w:firstLine="570"/>
        <w:rPr>
          <w:rFonts w:hint="eastAsia" w:asciiTheme="minorEastAsia" w:hAnsiTheme="minorEastAsia" w:eastAsiaTheme="minorEastAsia" w:cstheme="minorEastAsia"/>
          <w:color w:val="000000" w:themeColor="text1"/>
          <w:szCs w:val="22"/>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1.在研</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究        （项目名称）</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招标文件和其它相关文件，并对现场进行深入了解后，我方（即文末签名人），考虑了本企业的实力和特点，愿意接受招标文件的全部内容和条件，兹以人民币（大写）：</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小写：（¥</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）的投标总价竞投本项目。</w:t>
      </w:r>
    </w:p>
    <w:p w14:paraId="5072A5D3">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2.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如果我方中标，我方保证按照合同约定的开工日期开始本项目的</w:t>
      </w:r>
      <w:r>
        <w:rPr>
          <w:rFonts w:hint="eastAsia" w:asciiTheme="minorEastAsia" w:hAnsiTheme="minorEastAsia" w:eastAsiaTheme="minorEastAsia" w:cstheme="minorEastAsia"/>
          <w:color w:val="000000" w:themeColor="text1"/>
          <w:szCs w:val="22"/>
          <w:highlight w:val="none"/>
          <w:lang w:val="en-US" w:eastAsia="zh-CN"/>
          <w14:textFill>
            <w14:solidFill>
              <w14:schemeClr w14:val="tx1"/>
            </w14:solidFill>
          </w14:textFill>
        </w:rPr>
        <w:t>勘察、</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设计、施工，本工程</w:t>
      </w:r>
      <w:r>
        <w:rPr>
          <w:rFonts w:hint="eastAsia" w:asciiTheme="minorEastAsia" w:hAnsiTheme="minorEastAsia" w:eastAsiaTheme="minorEastAsia" w:cstheme="minorEastAsia"/>
          <w:color w:val="000000" w:themeColor="text1"/>
          <w:szCs w:val="22"/>
          <w:highlight w:val="none"/>
          <w:lang w:val="en-US" w:eastAsia="zh-CN"/>
          <w14:textFill>
            <w14:solidFill>
              <w14:schemeClr w14:val="tx1"/>
            </w14:solidFill>
          </w14:textFill>
        </w:rPr>
        <w:t>勘察、</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设计、施工工期为</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个日历天</w:t>
      </w:r>
      <w:r>
        <w:rPr>
          <w:rFonts w:hint="eastAsia" w:asciiTheme="minorEastAsia" w:hAnsiTheme="minorEastAsia" w:eastAsiaTheme="minorEastAsia" w:cstheme="minorEastAsia"/>
          <w:color w:val="000000" w:themeColor="text1"/>
          <w:szCs w:val="22"/>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其中：</w:t>
      </w:r>
      <w:r>
        <w:rPr>
          <w:rFonts w:hint="eastAsia" w:asciiTheme="minorEastAsia" w:hAnsiTheme="minorEastAsia" w:eastAsiaTheme="minorEastAsia" w:cstheme="minorEastAsia"/>
          <w:color w:val="000000" w:themeColor="text1"/>
          <w:szCs w:val="22"/>
          <w:highlight w:val="none"/>
          <w:lang w:val="en-US" w:eastAsia="zh-CN"/>
          <w14:textFill>
            <w14:solidFill>
              <w14:schemeClr w14:val="tx1"/>
            </w14:solidFill>
          </w14:textFill>
        </w:rPr>
        <w:t>勘察、</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设计工期为</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日历天，施工工期为</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日历天</w:t>
      </w:r>
      <w:r>
        <w:rPr>
          <w:rFonts w:hint="eastAsia" w:asciiTheme="minorEastAsia" w:hAnsiTheme="minorEastAsia" w:eastAsiaTheme="minorEastAsia" w:cstheme="minorEastAsia"/>
          <w:color w:val="000000" w:themeColor="text1"/>
          <w:szCs w:val="22"/>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内竣工，并确保工程质量达到</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2"/>
          <w:highlight w:val="none"/>
          <w14:textFill>
            <w14:solidFill>
              <w14:schemeClr w14:val="tx1"/>
            </w14:solidFill>
          </w14:textFill>
        </w:rPr>
        <w:t>标准和维修其中的任何缺陷</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p w14:paraId="0A19A04F">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 本投标函在你方接收我方递交的投标文件之日起、到招标文件规定的投标有效期期满前对我方具有约束力。我方随时准备接受你方发出的中标通知书。</w:t>
      </w:r>
    </w:p>
    <w:p w14:paraId="72A4F4F3">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4．我方在此声明，我方不存在本工程招标文件所列示的“禁止投标条款”所列出的任何一种情形，并愿意承担因我方就此弄虚作假所引起的一切法律后果。</w:t>
      </w:r>
    </w:p>
    <w:p w14:paraId="135CB28E">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5．我方在此承诺，所递交投标文件的全部内容均为真实、有效、准确的，并愿意承担因我方就此弄虚作假所引起的一切法律后果，同时理解和同意有可能被要求提供更多的资料。</w:t>
      </w:r>
    </w:p>
    <w:p w14:paraId="4B833900">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6. 我方理解你方不一定要接纳收到的最低投标总价或任何投标总价的投标人中标，也不要求你方解释我方是否中标的原因。</w:t>
      </w:r>
    </w:p>
    <w:p w14:paraId="73A3D5F4">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p>
    <w:p w14:paraId="29DB08E6">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投标人：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（盖单位章）</w:t>
      </w:r>
    </w:p>
    <w:p w14:paraId="7813DE58">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法定代表人或其委托代理人：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（签字或盖章）</w:t>
      </w:r>
    </w:p>
    <w:p w14:paraId="36658203">
      <w:pPr>
        <w:wordWrap w:val="0"/>
        <w:adjustRightInd w:val="0"/>
        <w:snapToGrid w:val="0"/>
        <w:spacing w:line="440" w:lineRule="exact"/>
        <w:ind w:firstLine="4080" w:firstLineChars="1700"/>
        <w:jc w:val="lef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日</w:t>
      </w:r>
    </w:p>
    <w:p w14:paraId="4ABCF19B">
      <w:pPr>
        <w:jc w:val="lef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br w:type="page"/>
      </w:r>
    </w:p>
    <w:p w14:paraId="25DEE623">
      <w:pPr>
        <w:jc w:val="lef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6E4478DB">
      <w:pPr>
        <w:wordWrap w:val="0"/>
        <w:adjustRightInd w:val="0"/>
        <w:snapToGrid w:val="0"/>
        <w:spacing w:line="440" w:lineRule="exact"/>
        <w:jc w:val="center"/>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pPr>
      <w:bookmarkStart w:id="551" w:name="_Toc20338"/>
      <w:bookmarkStart w:id="552" w:name="_Toc25829"/>
      <w:bookmarkStart w:id="553" w:name="_Toc5052"/>
      <w:bookmarkStart w:id="554" w:name="_Toc25629"/>
      <w:bookmarkStart w:id="555" w:name="_Toc453"/>
      <w:bookmarkStart w:id="556" w:name="_Toc7915"/>
      <w:bookmarkStart w:id="557" w:name="_Toc39136364"/>
      <w:r>
        <w:rPr>
          <w:rFonts w:hint="eastAsia" w:asciiTheme="minorEastAsia" w:hAnsiTheme="minorEastAsia" w:eastAsiaTheme="minorEastAsia" w:cstheme="minorEastAsia"/>
          <w:b/>
          <w:bCs/>
          <w:color w:val="000000" w:themeColor="text1"/>
          <w:szCs w:val="22"/>
          <w:highlight w:val="none"/>
          <w14:textFill>
            <w14:solidFill>
              <w14:schemeClr w14:val="tx1"/>
            </w14:solidFill>
          </w14:textFill>
        </w:rPr>
        <w:t>工程项目总价表</w:t>
      </w:r>
      <w:bookmarkEnd w:id="551"/>
      <w:bookmarkEnd w:id="552"/>
      <w:bookmarkEnd w:id="553"/>
      <w:bookmarkEnd w:id="554"/>
      <w:bookmarkEnd w:id="555"/>
    </w:p>
    <w:p w14:paraId="2AEF0ABB">
      <w:pPr>
        <w:spacing w:line="360" w:lineRule="auto"/>
        <w:ind w:firstLine="480" w:firstLineChars="200"/>
        <w:rPr>
          <w:rFonts w:hint="eastAsia" w:ascii="宋体" w:hAnsi="宋体" w:eastAsia="宋体" w:cs="宋体"/>
          <w:color w:val="000000" w:themeColor="text1"/>
          <w:highlight w:val="none"/>
          <w14:textFill>
            <w14:solidFill>
              <w14:schemeClr w14:val="tx1"/>
            </w14:solidFill>
          </w14:textFill>
        </w:rPr>
      </w:pPr>
    </w:p>
    <w:tbl>
      <w:tblPr>
        <w:tblStyle w:val="21"/>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179"/>
        <w:gridCol w:w="1770"/>
        <w:gridCol w:w="1808"/>
        <w:gridCol w:w="1347"/>
        <w:gridCol w:w="2636"/>
      </w:tblGrid>
      <w:tr w14:paraId="02C0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56" w:type="dxa"/>
            <w:noWrap w:val="0"/>
            <w:vAlign w:val="center"/>
          </w:tcPr>
          <w:p w14:paraId="5FC755F5">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序号</w:t>
            </w:r>
          </w:p>
        </w:tc>
        <w:tc>
          <w:tcPr>
            <w:tcW w:w="1179" w:type="dxa"/>
            <w:noWrap w:val="0"/>
            <w:vAlign w:val="center"/>
          </w:tcPr>
          <w:p w14:paraId="4C3B9063">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项目名称</w:t>
            </w:r>
          </w:p>
        </w:tc>
        <w:tc>
          <w:tcPr>
            <w:tcW w:w="1770" w:type="dxa"/>
            <w:noWrap w:val="0"/>
            <w:vAlign w:val="center"/>
          </w:tcPr>
          <w:p w14:paraId="6CEC3C41">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报价基数（元）</w:t>
            </w:r>
          </w:p>
        </w:tc>
        <w:tc>
          <w:tcPr>
            <w:tcW w:w="1808" w:type="dxa"/>
            <w:noWrap w:val="0"/>
            <w:vAlign w:val="center"/>
          </w:tcPr>
          <w:p w14:paraId="0612A26C">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1"/>
                <w:sz w:val="24"/>
                <w:szCs w:val="24"/>
                <w:highlight w:val="none"/>
                <w:lang w:val="zh-CN"/>
                <w14:textFill>
                  <w14:solidFill>
                    <w14:schemeClr w14:val="tx1"/>
                  </w14:solidFill>
                </w14:textFill>
              </w:rPr>
              <w:t>投标费率</w:t>
            </w:r>
            <w:r>
              <w:rPr>
                <w:rFonts w:hint="eastAsia" w:asciiTheme="minorEastAsia" w:hAnsiTheme="minorEastAsia" w:eastAsiaTheme="minorEastAsia" w:cstheme="minorEastAsia"/>
                <w:color w:val="000000" w:themeColor="text1"/>
                <w:kern w:val="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投标下浮率</w:t>
            </w:r>
          </w:p>
        </w:tc>
        <w:tc>
          <w:tcPr>
            <w:tcW w:w="1347" w:type="dxa"/>
            <w:noWrap w:val="0"/>
            <w:vAlign w:val="center"/>
          </w:tcPr>
          <w:p w14:paraId="2FAEA2E0">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投标报价</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（元）</w:t>
            </w:r>
          </w:p>
        </w:tc>
        <w:tc>
          <w:tcPr>
            <w:tcW w:w="2636" w:type="dxa"/>
            <w:noWrap w:val="0"/>
            <w:vAlign w:val="center"/>
          </w:tcPr>
          <w:p w14:paraId="56275659">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备注</w:t>
            </w:r>
          </w:p>
        </w:tc>
      </w:tr>
      <w:tr w14:paraId="1B79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56" w:type="dxa"/>
            <w:noWrap w:val="0"/>
            <w:vAlign w:val="center"/>
          </w:tcPr>
          <w:p w14:paraId="55C2073B">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w:t>
            </w:r>
          </w:p>
        </w:tc>
        <w:tc>
          <w:tcPr>
            <w:tcW w:w="1179" w:type="dxa"/>
            <w:noWrap w:val="0"/>
            <w:vAlign w:val="center"/>
          </w:tcPr>
          <w:p w14:paraId="75D884AC">
            <w:pPr>
              <w:widowControl/>
              <w:ind w:right="-122" w:rightChars="-51"/>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勘察费（含测绘费）</w:t>
            </w:r>
          </w:p>
        </w:tc>
        <w:tc>
          <w:tcPr>
            <w:tcW w:w="1770" w:type="dxa"/>
            <w:noWrap w:val="0"/>
            <w:vAlign w:val="center"/>
          </w:tcPr>
          <w:p w14:paraId="150FCA0B">
            <w:pPr>
              <w:widowControl/>
              <w:jc w:val="center"/>
              <w:rPr>
                <w:rFonts w:hint="eastAsia" w:asciiTheme="minorEastAsia" w:hAnsiTheme="minorEastAsia" w:eastAsiaTheme="minorEastAsia" w:cstheme="minorEastAsia"/>
                <w:color w:val="000000" w:themeColor="text1"/>
                <w:kern w:val="0"/>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288000.00</w:t>
            </w:r>
          </w:p>
        </w:tc>
        <w:tc>
          <w:tcPr>
            <w:tcW w:w="1808" w:type="dxa"/>
            <w:noWrap w:val="0"/>
            <w:vAlign w:val="center"/>
          </w:tcPr>
          <w:p w14:paraId="26B18F9B">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347" w:type="dxa"/>
            <w:noWrap w:val="0"/>
            <w:vAlign w:val="center"/>
          </w:tcPr>
          <w:p w14:paraId="44EAF967">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2636" w:type="dxa"/>
            <w:noWrap w:val="0"/>
            <w:vAlign w:val="center"/>
          </w:tcPr>
          <w:p w14:paraId="5A6F1AEC">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投标人在勘察费（含测绘费）的最高投标限价范围内进行自主报价，结算时勘察费、测绘费按实结算。</w:t>
            </w:r>
          </w:p>
        </w:tc>
      </w:tr>
      <w:tr w14:paraId="1DF2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56" w:type="dxa"/>
            <w:noWrap w:val="0"/>
            <w:vAlign w:val="center"/>
          </w:tcPr>
          <w:p w14:paraId="38AEBF4C">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2</w:t>
            </w:r>
          </w:p>
        </w:tc>
        <w:tc>
          <w:tcPr>
            <w:tcW w:w="1179" w:type="dxa"/>
            <w:noWrap w:val="0"/>
            <w:vAlign w:val="center"/>
          </w:tcPr>
          <w:p w14:paraId="2AF06E29">
            <w:pPr>
              <w:widowControl/>
              <w:ind w:right="-122" w:rightChars="-51"/>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设计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费</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含施工图审查费</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p>
        </w:tc>
        <w:tc>
          <w:tcPr>
            <w:tcW w:w="1770" w:type="dxa"/>
            <w:noWrap w:val="0"/>
            <w:vAlign w:val="center"/>
          </w:tcPr>
          <w:p w14:paraId="34C8C0A2">
            <w:pPr>
              <w:widowControl/>
              <w:jc w:val="cente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18001864.29</w:t>
            </w:r>
          </w:p>
        </w:tc>
        <w:tc>
          <w:tcPr>
            <w:tcW w:w="1808" w:type="dxa"/>
            <w:noWrap w:val="0"/>
            <w:vAlign w:val="center"/>
          </w:tcPr>
          <w:p w14:paraId="72497075">
            <w:pPr>
              <w:widowControl/>
              <w:jc w:val="center"/>
              <w:rPr>
                <w:rFonts w:hint="eastAsia" w:asciiTheme="minorEastAsia" w:hAnsiTheme="minorEastAsia" w:eastAsiaTheme="minorEastAsia" w:cstheme="minorEastAsia"/>
                <w:color w:val="000000" w:themeColor="text1"/>
                <w:kern w:val="1"/>
                <w:sz w:val="24"/>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kern w:val="1"/>
                <w:sz w:val="24"/>
                <w:szCs w:val="24"/>
                <w:highlight w:val="none"/>
                <w:lang w:val="zh-CN"/>
                <w14:textFill>
                  <w14:solidFill>
                    <w14:schemeClr w14:val="tx1"/>
                  </w14:solidFill>
                </w14:textFill>
              </w:rPr>
              <w:t>投标费率</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347" w:type="dxa"/>
            <w:noWrap w:val="0"/>
            <w:vAlign w:val="center"/>
          </w:tcPr>
          <w:p w14:paraId="379DB345">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2636" w:type="dxa"/>
            <w:noWrap w:val="0"/>
            <w:vAlign w:val="center"/>
          </w:tcPr>
          <w:p w14:paraId="211E854D">
            <w:pPr>
              <w:widowControl/>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按最高投标限价</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范围内</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自行报</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总</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价及</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投标费</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率。报价基数作为暂定量，仅作为投标报价编制依据，不作为结算依据。</w:t>
            </w:r>
          </w:p>
        </w:tc>
      </w:tr>
      <w:tr w14:paraId="3D02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56" w:type="dxa"/>
            <w:noWrap w:val="0"/>
            <w:vAlign w:val="center"/>
          </w:tcPr>
          <w:p w14:paraId="2451ABEA">
            <w:pPr>
              <w:widowControl/>
              <w:jc w:val="cente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3</w:t>
            </w:r>
          </w:p>
        </w:tc>
        <w:tc>
          <w:tcPr>
            <w:tcW w:w="1179" w:type="dxa"/>
            <w:noWrap w:val="0"/>
            <w:vAlign w:val="center"/>
          </w:tcPr>
          <w:p w14:paraId="2E8F9754">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建安工程费</w:t>
            </w:r>
          </w:p>
        </w:tc>
        <w:tc>
          <w:tcPr>
            <w:tcW w:w="1770" w:type="dxa"/>
            <w:noWrap w:val="0"/>
            <w:vAlign w:val="center"/>
          </w:tcPr>
          <w:p w14:paraId="240F0C5D">
            <w:pPr>
              <w:widowControl/>
              <w:jc w:val="center"/>
              <w:rPr>
                <w:rFonts w:hint="eastAsia" w:asciiTheme="minorEastAsia" w:hAnsiTheme="minorEastAsia" w:eastAsiaTheme="minorEastAsia" w:cstheme="minorEastAsia"/>
                <w:color w:val="000000" w:themeColor="text1"/>
                <w:kern w:val="0"/>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18001864.29</w:t>
            </w:r>
          </w:p>
        </w:tc>
        <w:tc>
          <w:tcPr>
            <w:tcW w:w="1808" w:type="dxa"/>
            <w:noWrap w:val="0"/>
            <w:vAlign w:val="center"/>
          </w:tcPr>
          <w:p w14:paraId="52678562">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投标下浮率</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347" w:type="dxa"/>
            <w:noWrap w:val="0"/>
            <w:vAlign w:val="center"/>
          </w:tcPr>
          <w:p w14:paraId="408585C2">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2636" w:type="dxa"/>
            <w:noWrap w:val="0"/>
            <w:vAlign w:val="center"/>
          </w:tcPr>
          <w:p w14:paraId="0334E49B">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本项目为限额设计，</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工程结算价</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未超过建安工程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费中标价的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按实结算，超过建安工程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费中标价的</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则按建安工程</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中标</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价</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结算。建安工程投标报价=</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报价基数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×（1-投标下浮率）</w:t>
            </w:r>
          </w:p>
        </w:tc>
      </w:tr>
      <w:tr w14:paraId="5A94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35" w:type="dxa"/>
            <w:gridSpan w:val="2"/>
            <w:noWrap w:val="0"/>
            <w:vAlign w:val="center"/>
          </w:tcPr>
          <w:p w14:paraId="0BCDF1F8">
            <w:pPr>
              <w:widowControl/>
              <w:jc w:val="cente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合计</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1+2+3</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p>
        </w:tc>
        <w:tc>
          <w:tcPr>
            <w:tcW w:w="1770" w:type="dxa"/>
            <w:noWrap w:val="0"/>
            <w:vAlign w:val="center"/>
          </w:tcPr>
          <w:p w14:paraId="39AA7150">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tc>
        <w:tc>
          <w:tcPr>
            <w:tcW w:w="1808" w:type="dxa"/>
            <w:noWrap w:val="0"/>
            <w:vAlign w:val="center"/>
          </w:tcPr>
          <w:p w14:paraId="1AE70A4C">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c>
          <w:tcPr>
            <w:tcW w:w="1347" w:type="dxa"/>
            <w:noWrap w:val="0"/>
            <w:vAlign w:val="center"/>
          </w:tcPr>
          <w:p w14:paraId="5E6536F7">
            <w:pPr>
              <w:widowControl/>
              <w:jc w:val="cente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2636" w:type="dxa"/>
            <w:noWrap w:val="0"/>
            <w:vAlign w:val="center"/>
          </w:tcPr>
          <w:p w14:paraId="037B4BFC">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w:t>
            </w:r>
          </w:p>
        </w:tc>
      </w:tr>
    </w:tbl>
    <w:p w14:paraId="6F70853B">
      <w:pPr>
        <w:pStyle w:val="32"/>
        <w:rPr>
          <w:rFonts w:ascii="宋体" w:hAnsi="宋体" w:cs="宋体"/>
          <w:color w:val="000000" w:themeColor="text1"/>
          <w:sz w:val="24"/>
          <w:highlight w:val="none"/>
          <w:lang w:val="zh-CN"/>
          <w14:textFill>
            <w14:solidFill>
              <w14:schemeClr w14:val="tx1"/>
            </w14:solidFill>
          </w14:textFill>
        </w:rPr>
      </w:pPr>
    </w:p>
    <w:p w14:paraId="394AFE69">
      <w:pPr>
        <w:pStyle w:val="6"/>
        <w:ind w:firstLine="0"/>
        <w:rPr>
          <w:rFonts w:hint="eastAsia" w:asciiTheme="minorEastAsia" w:hAnsiTheme="minorEastAsia" w:eastAsiaTheme="minorEastAsia" w:cstheme="minorEastAsia"/>
          <w:snapToGrid w:val="0"/>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1"/>
          <w:szCs w:val="22"/>
          <w:highlight w:val="none"/>
          <w14:textFill>
            <w14:solidFill>
              <w14:schemeClr w14:val="tx1"/>
            </w14:solidFill>
          </w14:textFill>
        </w:rPr>
        <w:t>注：投标报价、</w:t>
      </w:r>
      <w:r>
        <w:rPr>
          <w:rFonts w:hint="eastAsia" w:ascii="宋体" w:hAnsi="宋体" w:eastAsia="宋体" w:cs="宋体"/>
          <w:b/>
          <w:bCs/>
          <w:color w:val="000000" w:themeColor="text1"/>
          <w:sz w:val="21"/>
          <w:szCs w:val="22"/>
          <w:highlight w:val="none"/>
          <w:lang w:eastAsia="zh-CN"/>
          <w14:textFill>
            <w14:solidFill>
              <w14:schemeClr w14:val="tx1"/>
            </w14:solidFill>
          </w14:textFill>
        </w:rPr>
        <w:t>投标下浮</w:t>
      </w:r>
      <w:r>
        <w:rPr>
          <w:rFonts w:hint="eastAsia" w:ascii="宋体" w:hAnsi="宋体" w:eastAsia="宋体" w:cs="宋体"/>
          <w:b/>
          <w:bCs/>
          <w:color w:val="000000" w:themeColor="text1"/>
          <w:sz w:val="21"/>
          <w:szCs w:val="22"/>
          <w:highlight w:val="none"/>
          <w14:textFill>
            <w14:solidFill>
              <w14:schemeClr w14:val="tx1"/>
            </w14:solidFill>
          </w14:textFill>
        </w:rPr>
        <w:t>率均保留至小数点后两位</w:t>
      </w:r>
      <w:r>
        <w:rPr>
          <w:rFonts w:hint="eastAsia" w:ascii="宋体" w:hAnsi="宋体" w:eastAsia="宋体" w:cs="宋体"/>
          <w:b/>
          <w:bCs/>
          <w:color w:val="000000" w:themeColor="text1"/>
          <w:sz w:val="21"/>
          <w:szCs w:val="22"/>
          <w:highlight w:val="none"/>
          <w:lang w:eastAsia="zh-CN"/>
          <w14:textFill>
            <w14:solidFill>
              <w14:schemeClr w14:val="tx1"/>
            </w14:solidFill>
          </w14:textFill>
        </w:rPr>
        <w:t>，投标费率保留至小数点后三位。</w:t>
      </w:r>
    </w:p>
    <w:p w14:paraId="3B383A35">
      <w:pPr>
        <w:wordWrap w:val="0"/>
        <w:adjustRightInd w:val="0"/>
        <w:snapToGrid w:val="0"/>
        <w:spacing w:line="276" w:lineRule="auto"/>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51DD2D3A">
      <w:pPr>
        <w:outlineLvl w:val="9"/>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3223CC57">
      <w:pPr>
        <w:wordWrap w:val="0"/>
        <w:adjustRightInd w:val="0"/>
        <w:snapToGrid w:val="0"/>
        <w:spacing w:line="276" w:lineRule="auto"/>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（盖单位章）</w:t>
      </w:r>
    </w:p>
    <w:p w14:paraId="759658B8">
      <w:pPr>
        <w:wordWrap w:val="0"/>
        <w:adjustRightInd w:val="0"/>
        <w:snapToGrid w:val="0"/>
        <w:spacing w:line="276" w:lineRule="auto"/>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5EFD5C53">
      <w:pPr>
        <w:wordWrap w:val="0"/>
        <w:adjustRightInd w:val="0"/>
        <w:snapToGrid w:val="0"/>
        <w:spacing w:line="276" w:lineRule="auto"/>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法定代表人或其委托代理人：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（签字或盖章）</w:t>
      </w:r>
    </w:p>
    <w:p w14:paraId="2827471C">
      <w:pPr>
        <w:wordWrap w:val="0"/>
        <w:adjustRightInd w:val="0"/>
        <w:snapToGrid w:val="0"/>
        <w:spacing w:line="276" w:lineRule="auto"/>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3A0CC27B">
      <w:pPr>
        <w:spacing w:line="276" w:lineRule="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p>
    <w:p w14:paraId="4CC1BE40">
      <w:pPr>
        <w:outlineLvl w:val="9"/>
        <w:rPr>
          <w:rFonts w:hint="eastAsia"/>
          <w:color w:val="000000" w:themeColor="text1"/>
          <w:highlight w:val="none"/>
          <w14:textFill>
            <w14:solidFill>
              <w14:schemeClr w14:val="tx1"/>
            </w14:solidFill>
          </w14:textFill>
        </w:rPr>
      </w:pPr>
    </w:p>
    <w:p w14:paraId="48FD6E31">
      <w:pPr>
        <w:rPr>
          <w:rFonts w:hint="eastAsia"/>
          <w:color w:val="000000" w:themeColor="text1"/>
          <w:highlight w:val="none"/>
          <w14:textFill>
            <w14:solidFill>
              <w14:schemeClr w14:val="tx1"/>
            </w14:solidFill>
          </w14:textFill>
        </w:rPr>
        <w:sectPr>
          <w:endnotePr>
            <w:numFmt w:val="decimal"/>
          </w:endnotePr>
          <w:pgSz w:w="11906" w:h="16838"/>
          <w:pgMar w:top="1701" w:right="535" w:bottom="1417" w:left="1531" w:header="850" w:footer="992" w:gutter="0"/>
          <w:pgNumType w:fmt="decimal"/>
          <w:cols w:space="720" w:num="1"/>
          <w:docGrid w:linePitch="327" w:charSpace="0"/>
        </w:sectPr>
      </w:pPr>
    </w:p>
    <w:p w14:paraId="769EA550">
      <w:pPr>
        <w:pStyle w:val="4"/>
        <w:spacing w:before="120"/>
        <w:rPr>
          <w:rStyle w:val="60"/>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bookmarkStart w:id="558" w:name="_Toc20987"/>
      <w:bookmarkStart w:id="559" w:name="_Toc8220"/>
      <w:bookmarkStart w:id="560" w:name="_Toc28529"/>
      <w:bookmarkStart w:id="561" w:name="_Toc919"/>
      <w:bookmarkStart w:id="562" w:name="_Toc20362"/>
      <w:bookmarkStart w:id="563" w:name="_Toc21928"/>
      <w:bookmarkStart w:id="564" w:name="_Toc1017"/>
      <w:bookmarkStart w:id="565" w:name="_Toc32555"/>
      <w:r>
        <w:rPr>
          <w:rStyle w:val="60"/>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格式三 各项</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承诺</w:t>
      </w:r>
      <w:r>
        <w:rPr>
          <w:rStyle w:val="60"/>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一览表</w:t>
      </w:r>
      <w:bookmarkEnd w:id="556"/>
      <w:bookmarkEnd w:id="557"/>
      <w:bookmarkEnd w:id="558"/>
      <w:bookmarkEnd w:id="559"/>
      <w:bookmarkEnd w:id="560"/>
      <w:bookmarkEnd w:id="561"/>
      <w:bookmarkEnd w:id="562"/>
    </w:p>
    <w:bookmarkEnd w:id="563"/>
    <w:bookmarkEnd w:id="564"/>
    <w:bookmarkEnd w:id="565"/>
    <w:p w14:paraId="2507BC48">
      <w:pPr>
        <w:spacing w:line="480" w:lineRule="auto"/>
        <w:jc w:val="cente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66" w:name="_Toc21521"/>
      <w:bookmarkStart w:id="567" w:name="_Toc39136365"/>
      <w:bookmarkStart w:id="568" w:name="_Toc30877"/>
      <w:bookmarkStart w:id="569" w:name="_Toc20729"/>
      <w:bookmarkStart w:id="570" w:name="_Toc18136"/>
      <w:bookmarkStart w:id="571" w:name="_Toc15279"/>
      <w:bookmarkStart w:id="572" w:name="_Toc31113"/>
      <w:bookmarkStart w:id="573" w:name="_Toc16438"/>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各项承诺一览表</w:t>
      </w:r>
      <w:bookmarkEnd w:id="566"/>
      <w:bookmarkEnd w:id="567"/>
      <w:bookmarkEnd w:id="568"/>
      <w:bookmarkEnd w:id="569"/>
    </w:p>
    <w:bookmarkEnd w:id="570"/>
    <w:bookmarkEnd w:id="571"/>
    <w:bookmarkEnd w:id="572"/>
    <w:bookmarkEnd w:id="573"/>
    <w:tbl>
      <w:tblPr>
        <w:tblStyle w:val="21"/>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1234"/>
        <w:gridCol w:w="3073"/>
        <w:gridCol w:w="4796"/>
      </w:tblGrid>
      <w:tr w14:paraId="4379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top"/>
          </w:tcPr>
          <w:p w14:paraId="28699F17">
            <w:pPr>
              <w:pStyle w:val="38"/>
              <w:spacing w:line="380" w:lineRule="exac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1234" w:type="dxa"/>
            <w:noWrap w:val="0"/>
            <w:vAlign w:val="top"/>
          </w:tcPr>
          <w:p w14:paraId="31A8938A">
            <w:pPr>
              <w:pStyle w:val="38"/>
              <w:spacing w:line="380" w:lineRule="exac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承诺标题</w:t>
            </w:r>
          </w:p>
        </w:tc>
        <w:tc>
          <w:tcPr>
            <w:tcW w:w="3073" w:type="dxa"/>
            <w:noWrap w:val="0"/>
            <w:vAlign w:val="top"/>
          </w:tcPr>
          <w:p w14:paraId="0723CADE">
            <w:pPr>
              <w:pStyle w:val="38"/>
              <w:spacing w:line="380" w:lineRule="exac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承诺内容</w:t>
            </w:r>
          </w:p>
        </w:tc>
        <w:tc>
          <w:tcPr>
            <w:tcW w:w="4796" w:type="dxa"/>
            <w:tcBorders>
              <w:bottom w:val="single" w:color="auto" w:sz="4" w:space="0"/>
            </w:tcBorders>
            <w:noWrap w:val="0"/>
            <w:vAlign w:val="top"/>
          </w:tcPr>
          <w:p w14:paraId="52D24AEA">
            <w:pPr>
              <w:pStyle w:val="38"/>
              <w:spacing w:line="380" w:lineRule="exac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违约承诺</w:t>
            </w:r>
          </w:p>
        </w:tc>
      </w:tr>
      <w:tr w14:paraId="600D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509D0026">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234" w:type="dxa"/>
            <w:noWrap w:val="0"/>
            <w:vAlign w:val="center"/>
          </w:tcPr>
          <w:p w14:paraId="7004AB1D">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对招标文件条款自愿接受承诺书</w:t>
            </w:r>
          </w:p>
        </w:tc>
        <w:tc>
          <w:tcPr>
            <w:tcW w:w="3073" w:type="dxa"/>
            <w:noWrap w:val="0"/>
            <w:vAlign w:val="center"/>
          </w:tcPr>
          <w:p w14:paraId="721EE92F">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我方保证接受招标文件的所有条款，响应招标文件的所有要求，并同意招标文件为施工承包合同的组成部分</w:t>
            </w:r>
          </w:p>
        </w:tc>
        <w:tc>
          <w:tcPr>
            <w:tcW w:w="4796" w:type="dxa"/>
            <w:tcBorders>
              <w:tr2bl w:val="single" w:color="auto" w:sz="4" w:space="0"/>
            </w:tcBorders>
            <w:noWrap w:val="0"/>
            <w:vAlign w:val="center"/>
          </w:tcPr>
          <w:p w14:paraId="41A7D528">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p>
        </w:tc>
      </w:tr>
      <w:tr w14:paraId="67A6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73BC4748">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234" w:type="dxa"/>
            <w:noWrap w:val="0"/>
            <w:vAlign w:val="center"/>
          </w:tcPr>
          <w:p w14:paraId="0BB5AD2B">
            <w:pPr>
              <w:pStyle w:val="62"/>
              <w:wordWrap w:val="0"/>
              <w:adjustRightInd w:val="0"/>
              <w:snapToGrid w:val="0"/>
              <w:spacing w:line="380" w:lineRule="exact"/>
              <w:ind w:firstLine="0" w:firstLineChars="0"/>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无禁止投标</w:t>
            </w:r>
          </w:p>
          <w:p w14:paraId="25B052BF">
            <w:pPr>
              <w:pStyle w:val="62"/>
              <w:wordWrap w:val="0"/>
              <w:adjustRightInd w:val="0"/>
              <w:snapToGrid w:val="0"/>
              <w:spacing w:line="380" w:lineRule="exact"/>
              <w:ind w:firstLine="0" w:firstLineChars="0"/>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情形的承诺</w:t>
            </w:r>
          </w:p>
        </w:tc>
        <w:tc>
          <w:tcPr>
            <w:tcW w:w="3073" w:type="dxa"/>
            <w:noWrap w:val="0"/>
            <w:vAlign w:val="center"/>
          </w:tcPr>
          <w:p w14:paraId="3D971B22">
            <w:pPr>
              <w:pStyle w:val="62"/>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我方不存在招标文件第一章第三节第</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2.4</w:t>
            </w:r>
            <w:r>
              <w:rPr>
                <w:rFonts w:hint="eastAsia" w:ascii="宋体" w:hAnsi="宋体" w:eastAsia="宋体" w:cs="宋体"/>
                <w:snapToGrid w:val="0"/>
                <w:color w:val="000000" w:themeColor="text1"/>
                <w:kern w:val="0"/>
                <w:sz w:val="21"/>
                <w:szCs w:val="21"/>
                <w:highlight w:val="none"/>
                <w14:textFill>
                  <w14:solidFill>
                    <w14:schemeClr w14:val="tx1"/>
                  </w14:solidFill>
                </w14:textFill>
              </w:rPr>
              <w:t>条“禁止投标条款”规定的任何一种情形。</w:t>
            </w:r>
          </w:p>
        </w:tc>
        <w:tc>
          <w:tcPr>
            <w:tcW w:w="4796" w:type="dxa"/>
            <w:noWrap w:val="0"/>
            <w:vAlign w:val="center"/>
          </w:tcPr>
          <w:p w14:paraId="13673D1C">
            <w:pPr>
              <w:pStyle w:val="62"/>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如果我方有招标文件第一章第三节第</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2.4</w:t>
            </w:r>
            <w:r>
              <w:rPr>
                <w:rFonts w:hint="eastAsia" w:ascii="宋体" w:hAnsi="宋体" w:eastAsia="宋体" w:cs="宋体"/>
                <w:snapToGrid w:val="0"/>
                <w:color w:val="000000" w:themeColor="text1"/>
                <w:kern w:val="0"/>
                <w:sz w:val="21"/>
                <w:szCs w:val="21"/>
                <w:highlight w:val="none"/>
                <w14:textFill>
                  <w14:solidFill>
                    <w14:schemeClr w14:val="tx1"/>
                  </w14:solidFill>
                </w14:textFill>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24A5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552394F2">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234" w:type="dxa"/>
            <w:noWrap w:val="0"/>
            <w:vAlign w:val="center"/>
          </w:tcPr>
          <w:p w14:paraId="2C90CA06">
            <w:pPr>
              <w:pStyle w:val="62"/>
              <w:wordWrap w:val="0"/>
              <w:adjustRightInd w:val="0"/>
              <w:snapToGrid w:val="0"/>
              <w:spacing w:line="380" w:lineRule="exact"/>
              <w:ind w:firstLine="0" w:firstLineChars="0"/>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自觉抵制围标串标和弄虚作假行为的承诺</w:t>
            </w:r>
          </w:p>
        </w:tc>
        <w:tc>
          <w:tcPr>
            <w:tcW w:w="3073" w:type="dxa"/>
            <w:noWrap w:val="0"/>
            <w:vAlign w:val="center"/>
          </w:tcPr>
          <w:p w14:paraId="671ABF6E">
            <w:pPr>
              <w:pStyle w:val="62"/>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我方合法正当、诚实守信地参与投标，不组织、不参加围标串标违法行为，不通过弄虚作假行为骗取中标。</w:t>
            </w:r>
          </w:p>
        </w:tc>
        <w:tc>
          <w:tcPr>
            <w:tcW w:w="4796" w:type="dxa"/>
            <w:noWrap w:val="0"/>
            <w:vAlign w:val="center"/>
          </w:tcPr>
          <w:p w14:paraId="7AF01976">
            <w:pPr>
              <w:pStyle w:val="62"/>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DAD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4EB0C70B">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1234" w:type="dxa"/>
            <w:noWrap w:val="0"/>
            <w:vAlign w:val="center"/>
          </w:tcPr>
          <w:p w14:paraId="4AE27BC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履约保证的承诺</w:t>
            </w:r>
          </w:p>
        </w:tc>
        <w:tc>
          <w:tcPr>
            <w:tcW w:w="3073" w:type="dxa"/>
            <w:noWrap w:val="0"/>
            <w:vAlign w:val="center"/>
          </w:tcPr>
          <w:p w14:paraId="7CB1DA74">
            <w:pPr>
              <w:pStyle w:val="62"/>
              <w:wordWrap w:val="0"/>
              <w:adjustRightInd w:val="0"/>
              <w:snapToGrid w:val="0"/>
              <w:spacing w:line="38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如果我方中标，我方保证在招标文件规定的时限内全额提交履约保证。</w:t>
            </w:r>
          </w:p>
        </w:tc>
        <w:tc>
          <w:tcPr>
            <w:tcW w:w="4796" w:type="dxa"/>
            <w:noWrap w:val="0"/>
            <w:vAlign w:val="center"/>
          </w:tcPr>
          <w:p w14:paraId="6E48051F">
            <w:pPr>
              <w:pStyle w:val="62"/>
              <w:wordWrap w:val="0"/>
              <w:adjustRightInd w:val="0"/>
              <w:snapToGrid w:val="0"/>
              <w:spacing w:line="380" w:lineRule="exact"/>
              <w:ind w:firstLine="0" w:firstLine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如果我方未在招标文件规定的时限内全额提交履约保证，我方接受招标人依据招标文件作出的相应处理以及有关监督部门作出的行政处罚，并承担由此引起的一切法律后果。</w:t>
            </w:r>
          </w:p>
        </w:tc>
      </w:tr>
      <w:tr w14:paraId="2AEE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56" w:type="dxa"/>
            <w:noWrap w:val="0"/>
            <w:vAlign w:val="center"/>
          </w:tcPr>
          <w:p w14:paraId="2BD73097">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1234" w:type="dxa"/>
            <w:noWrap w:val="0"/>
            <w:vAlign w:val="center"/>
          </w:tcPr>
          <w:p w14:paraId="1605709C">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工期、进度承诺书</w:t>
            </w:r>
          </w:p>
        </w:tc>
        <w:tc>
          <w:tcPr>
            <w:tcW w:w="3073" w:type="dxa"/>
            <w:noWrap w:val="0"/>
            <w:vAlign w:val="center"/>
          </w:tcPr>
          <w:p w14:paraId="0BE6F71F">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我方保证在</w:t>
            </w:r>
            <w:r>
              <w:rPr>
                <w:rFonts w:hint="eastAsia" w:ascii="宋体" w:hAnsi="宋体" w:eastAsia="宋体" w:cs="宋体"/>
                <w:b/>
                <w:bCs/>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u w:val="single"/>
                <w14:textFill>
                  <w14:solidFill>
                    <w14:schemeClr w14:val="tx1"/>
                  </w14:solidFill>
                </w14:textFill>
              </w:rPr>
              <w:t>日历天内（</w:t>
            </w:r>
            <w:r>
              <w:rPr>
                <w:rFonts w:hint="eastAsia" w:ascii="宋体" w:hAnsi="宋体" w:eastAsia="宋体" w:cs="宋体"/>
                <w:color w:val="000000" w:themeColor="text1"/>
                <w:sz w:val="21"/>
                <w:szCs w:val="21"/>
                <w:highlight w:val="none"/>
                <w14:textFill>
                  <w14:solidFill>
                    <w14:schemeClr w14:val="tx1"/>
                  </w14:solidFill>
                </w14:textFill>
              </w:rPr>
              <w:t>其中：</w:t>
            </w:r>
            <w:r>
              <w:rPr>
                <w:rFonts w:hint="eastAsia" w:ascii="宋体" w:hAnsi="宋体" w:eastAsia="宋体" w:cs="宋体"/>
                <w:color w:val="000000" w:themeColor="text1"/>
                <w:sz w:val="21"/>
                <w:szCs w:val="21"/>
                <w:highlight w:val="none"/>
                <w:lang w:eastAsia="zh-CN"/>
                <w14:textFill>
                  <w14:solidFill>
                    <w14:schemeClr w14:val="tx1"/>
                  </w14:solidFill>
                </w14:textFill>
              </w:rPr>
              <w:t>勘察</w:t>
            </w:r>
            <w:r>
              <w:rPr>
                <w:rFonts w:hint="eastAsia" w:ascii="宋体" w:hAnsi="宋体" w:eastAsia="宋体" w:cs="宋体"/>
                <w:color w:val="000000" w:themeColor="text1"/>
                <w:sz w:val="21"/>
                <w:szCs w:val="21"/>
                <w:highlight w:val="none"/>
                <w14:textFill>
                  <w14:solidFill>
                    <w14:schemeClr w14:val="tx1"/>
                  </w14:solidFill>
                </w14:textFill>
              </w:rPr>
              <w:t>设计工期</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日历天；施工工期</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日历天</w:t>
            </w:r>
            <w:r>
              <w:rPr>
                <w:rFonts w:hint="eastAsia" w:ascii="宋体" w:hAnsi="宋体" w:eastAsia="宋体" w:cs="宋体"/>
                <w:b/>
                <w:bCs/>
                <w:color w:val="000000" w:themeColor="text1"/>
                <w:sz w:val="21"/>
                <w:szCs w:val="21"/>
                <w:highlight w:val="none"/>
                <w:u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完成工程勘察、设计、施工并通过竣工验收。</w:t>
            </w:r>
          </w:p>
        </w:tc>
        <w:tc>
          <w:tcPr>
            <w:tcW w:w="4796" w:type="dxa"/>
            <w:noWrap w:val="0"/>
            <w:vAlign w:val="center"/>
          </w:tcPr>
          <w:p w14:paraId="592D198A">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若因我方原因，没有按期完成</w:t>
            </w:r>
            <w:r>
              <w:rPr>
                <w:rFonts w:hint="eastAsia" w:ascii="宋体" w:hAnsi="宋体" w:eastAsia="宋体" w:cs="宋体"/>
                <w:color w:val="000000" w:themeColor="text1"/>
                <w:sz w:val="21"/>
                <w:szCs w:val="21"/>
                <w:highlight w:val="none"/>
                <w:lang w:eastAsia="zh-CN"/>
                <w14:textFill>
                  <w14:solidFill>
                    <w14:schemeClr w14:val="tx1"/>
                  </w14:solidFill>
                </w14:textFill>
              </w:rPr>
              <w:t>勘察</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设计工作的，</w:t>
            </w:r>
            <w:r>
              <w:rPr>
                <w:rFonts w:hint="eastAsia" w:ascii="宋体" w:hAnsi="宋体" w:eastAsia="宋体" w:cs="宋体"/>
                <w:color w:val="000000" w:themeColor="text1"/>
                <w:sz w:val="21"/>
                <w:szCs w:val="21"/>
                <w:highlight w:val="none"/>
                <w:lang w:eastAsia="zh-CN"/>
                <w14:textFill>
                  <w14:solidFill>
                    <w14:schemeClr w14:val="tx1"/>
                  </w14:solidFill>
                </w14:textFill>
              </w:rPr>
              <w:t>我方</w:t>
            </w:r>
            <w:r>
              <w:rPr>
                <w:rFonts w:hint="eastAsia" w:ascii="宋体" w:hAnsi="宋体" w:eastAsia="宋体" w:cs="宋体"/>
                <w:color w:val="000000" w:themeColor="text1"/>
                <w:sz w:val="21"/>
                <w:szCs w:val="21"/>
                <w:highlight w:val="none"/>
                <w14:textFill>
                  <w14:solidFill>
                    <w14:schemeClr w14:val="tx1"/>
                  </w14:solidFill>
                </w14:textFill>
              </w:rPr>
              <w:t>须在逾期第壹天起每天按</w:t>
            </w:r>
            <w:r>
              <w:rPr>
                <w:rFonts w:hint="eastAsia" w:ascii="宋体" w:hAnsi="宋体" w:eastAsia="宋体" w:cs="宋体"/>
                <w:color w:val="000000" w:themeColor="text1"/>
                <w:sz w:val="21"/>
                <w:szCs w:val="21"/>
                <w:highlight w:val="none"/>
                <w:lang w:eastAsia="zh-CN"/>
                <w14:textFill>
                  <w14:solidFill>
                    <w14:schemeClr w14:val="tx1"/>
                  </w14:solidFill>
                </w14:textFill>
              </w:rPr>
              <w:t>勘察</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设计费合同价款的1‰向招标人返纳逾期违约金</w:t>
            </w:r>
            <w:r>
              <w:rPr>
                <w:rFonts w:hint="eastAsia" w:ascii="宋体" w:hAnsi="宋体" w:eastAsia="宋体" w:cs="宋体"/>
                <w:color w:val="000000" w:themeColor="text1"/>
                <w:sz w:val="21"/>
                <w:szCs w:val="21"/>
                <w:highlight w:val="none"/>
                <w:lang w:eastAsia="zh-CN"/>
                <w14:textFill>
                  <w14:solidFill>
                    <w14:schemeClr w14:val="tx1"/>
                  </w14:solidFill>
                </w14:textFill>
              </w:rPr>
              <w:t>，勘察</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设计</w:t>
            </w:r>
            <w:r>
              <w:rPr>
                <w:rFonts w:hint="eastAsia" w:ascii="宋体" w:hAnsi="宋体" w:eastAsia="宋体" w:cs="宋体"/>
                <w:color w:val="000000" w:themeColor="text1"/>
                <w:sz w:val="21"/>
                <w:szCs w:val="21"/>
                <w:highlight w:val="none"/>
                <w:lang w:eastAsia="zh-CN"/>
                <w14:textFill>
                  <w14:solidFill>
                    <w14:schemeClr w14:val="tx1"/>
                  </w14:solidFill>
                </w14:textFill>
              </w:rPr>
              <w:t>逾期违约金的最高限额为合同勘察</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设计</w:t>
            </w:r>
            <w:r>
              <w:rPr>
                <w:rFonts w:hint="eastAsia" w:ascii="宋体" w:hAnsi="宋体" w:eastAsia="宋体" w:cs="宋体"/>
                <w:color w:val="000000" w:themeColor="text1"/>
                <w:sz w:val="21"/>
                <w:szCs w:val="21"/>
                <w:highlight w:val="none"/>
                <w:lang w:eastAsia="zh-CN"/>
                <w14:textFill>
                  <w14:solidFill>
                    <w14:schemeClr w14:val="tx1"/>
                  </w14:solidFill>
                </w14:textFill>
              </w:rPr>
              <w:t>价款的</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工程没有按期竣工并通过验收时，我方在逾期第壹天起每天按合同价款的</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‰向招标人返纳逾期竣工违约金</w:t>
            </w:r>
            <w:r>
              <w:rPr>
                <w:rFonts w:hint="eastAsia" w:ascii="宋体" w:hAnsi="宋体" w:eastAsia="宋体" w:cs="宋体"/>
                <w:color w:val="000000" w:themeColor="text1"/>
                <w:sz w:val="21"/>
                <w:szCs w:val="21"/>
                <w:highlight w:val="none"/>
                <w:lang w:eastAsia="zh-CN"/>
                <w14:textFill>
                  <w14:solidFill>
                    <w14:schemeClr w14:val="tx1"/>
                  </w14:solidFill>
                </w14:textFill>
              </w:rPr>
              <w:t>，逾期竣工违约金的最高限额为合同施工价款的</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r>
      <w:tr w14:paraId="32B0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2EC99678">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p>
        </w:tc>
        <w:tc>
          <w:tcPr>
            <w:tcW w:w="1234" w:type="dxa"/>
            <w:noWrap w:val="0"/>
            <w:vAlign w:val="center"/>
          </w:tcPr>
          <w:p w14:paraId="37CB0D8D">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安全、文明施工承诺书</w:t>
            </w:r>
          </w:p>
        </w:tc>
        <w:tc>
          <w:tcPr>
            <w:tcW w:w="3073" w:type="dxa"/>
            <w:noWrap w:val="0"/>
            <w:vAlign w:val="center"/>
          </w:tcPr>
          <w:p w14:paraId="643DAC63">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我方保证在施工期间严格遵守国家、省、市有关安全、文明施工规定，确保施工安全和第三者的安全，根据施工现场情况保证安全防护、文明施工措施费投入。</w:t>
            </w:r>
          </w:p>
        </w:tc>
        <w:tc>
          <w:tcPr>
            <w:tcW w:w="4796" w:type="dxa"/>
            <w:noWrap w:val="0"/>
            <w:vAlign w:val="center"/>
          </w:tcPr>
          <w:p w14:paraId="11BA15C0">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若因我方原因，在施工期间发生安全事故，造成施工人员或第三者的伤亡，我方愿意承担由此造成的一切经济损失和法律责任。</w:t>
            </w:r>
          </w:p>
          <w:p w14:paraId="3B29240B">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若我方在施工中发生一般事故及以上等级生产安全事故，可扣除相当于所有“安全防护、文明施工措施费”的管理费。</w:t>
            </w:r>
          </w:p>
        </w:tc>
      </w:tr>
      <w:tr w14:paraId="23D5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305166C3">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p>
        </w:tc>
        <w:tc>
          <w:tcPr>
            <w:tcW w:w="1234" w:type="dxa"/>
            <w:noWrap w:val="0"/>
            <w:vAlign w:val="center"/>
          </w:tcPr>
          <w:p w14:paraId="3291A7DA">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质量承诺书</w:t>
            </w:r>
          </w:p>
        </w:tc>
        <w:tc>
          <w:tcPr>
            <w:tcW w:w="3073" w:type="dxa"/>
            <w:noWrap w:val="0"/>
            <w:vAlign w:val="center"/>
          </w:tcPr>
          <w:p w14:paraId="5B684535">
            <w:pPr>
              <w:pStyle w:val="38"/>
              <w:spacing w:line="380" w:lineRule="exact"/>
              <w:ind w:firstLine="56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我方保证按照现行的国家和广东省的有关施工技术规范及现行标准，达到合格标准</w:t>
            </w:r>
          </w:p>
        </w:tc>
        <w:tc>
          <w:tcPr>
            <w:tcW w:w="4796" w:type="dxa"/>
            <w:noWrap w:val="0"/>
            <w:vAlign w:val="center"/>
          </w:tcPr>
          <w:p w14:paraId="5B11A466">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因我方原因，工程在竣工验收或分部分项工程验收时没有达到合格标准，我方每次（每分部每分项次）验收检查时按合同价款的1％向招标人缴纳质量违约金。并达到合格标准为止，同时承担所有的责任及经济损失。</w:t>
            </w:r>
          </w:p>
          <w:p w14:paraId="359BF430">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建设或监理单组织的质量检查中，一次一个分项工程实测或其他项、程序不合格不符合要求的，一次向建设单位交纳质量违约金¥1000元/次项，分部工程不合格的一次、一个分部向建设（委托）单位交纳违约金¥2000元/次、项；</w:t>
            </w:r>
          </w:p>
          <w:p w14:paraId="129E1C9C">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省、市监管部门抽查、巡查、专项、随机检查中，一次一个分项工程实测或其他项、程序不合格不符合要求的，一次向建设（委托）单位交纳质量违约金¥2000元/次项，分部工程不合格的一次、一个分部向建设（委托）单位交纳违约金¥5000元/次、项；</w:t>
            </w:r>
          </w:p>
          <w:p w14:paraId="04C34C59">
            <w:pPr>
              <w:pStyle w:val="64"/>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未能在限期内完成质量安全隐患整改的，每逾期一天，向建设单位交纳罚金¥1000元；</w:t>
            </w:r>
          </w:p>
          <w:p w14:paraId="19EA5F6B">
            <w:pPr>
              <w:pStyle w:val="64"/>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未按规定委派专业人员参加检验批、分部分项工程验收，不及时签署验收记录的，一次向建设（委托）单位交纳违约金¥2000元/次、项；</w:t>
            </w:r>
          </w:p>
          <w:p w14:paraId="2AB7BF2D">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不按规定委派相关人员参加项目竣工验收的，一次向建设单位交纳违约金¥50000元/项，不签署意见的交纳违约金¥50000元。</w:t>
            </w:r>
          </w:p>
        </w:tc>
      </w:tr>
      <w:tr w14:paraId="20DD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 w:hRule="atLeast"/>
          <w:jc w:val="center"/>
        </w:trPr>
        <w:tc>
          <w:tcPr>
            <w:tcW w:w="656" w:type="dxa"/>
            <w:noWrap w:val="0"/>
            <w:vAlign w:val="center"/>
          </w:tcPr>
          <w:p w14:paraId="14C050E3">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w:t>
            </w:r>
          </w:p>
        </w:tc>
        <w:tc>
          <w:tcPr>
            <w:tcW w:w="1234" w:type="dxa"/>
            <w:noWrap w:val="0"/>
            <w:vAlign w:val="center"/>
          </w:tcPr>
          <w:p w14:paraId="02695FE4">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账户承诺</w:t>
            </w:r>
          </w:p>
        </w:tc>
        <w:tc>
          <w:tcPr>
            <w:tcW w:w="3073" w:type="dxa"/>
            <w:noWrap w:val="0"/>
            <w:vAlign w:val="center"/>
          </w:tcPr>
          <w:p w14:paraId="6F61BD00">
            <w:pPr>
              <w:pStyle w:val="64"/>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我方保证招标人的资金随时可划入合同中规定的我方账户。</w:t>
            </w:r>
          </w:p>
        </w:tc>
        <w:tc>
          <w:tcPr>
            <w:tcW w:w="4796" w:type="dxa"/>
            <w:noWrap w:val="0"/>
            <w:vAlign w:val="center"/>
          </w:tcPr>
          <w:p w14:paraId="59BA984E">
            <w:pPr>
              <w:pStyle w:val="62"/>
              <w:spacing w:line="380" w:lineRule="exact"/>
              <w:ind w:firstLine="412"/>
              <w:rPr>
                <w:rFonts w:hint="eastAsia" w:ascii="宋体" w:hAnsi="宋体" w:eastAsia="宋体" w:cs="宋体"/>
                <w:color w:val="000000" w:themeColor="text1"/>
                <w:spacing w:val="-2"/>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若因我方原因造成招标人的资金无法划入合同中规定的我方</w:t>
            </w:r>
            <w:r>
              <w:rPr>
                <w:rFonts w:hint="eastAsia" w:ascii="宋体" w:hAnsi="宋体" w:eastAsia="宋体" w:cs="宋体"/>
                <w:color w:val="000000" w:themeColor="text1"/>
                <w:sz w:val="21"/>
                <w:szCs w:val="21"/>
                <w:highlight w:val="none"/>
                <w14:textFill>
                  <w14:solidFill>
                    <w14:schemeClr w14:val="tx1"/>
                  </w14:solidFill>
                </w14:textFill>
              </w:rPr>
              <w:t>账</w:t>
            </w:r>
            <w:r>
              <w:rPr>
                <w:rFonts w:hint="eastAsia" w:ascii="宋体" w:hAnsi="宋体" w:eastAsia="宋体" w:cs="宋体"/>
                <w:color w:val="000000" w:themeColor="text1"/>
                <w:spacing w:val="-2"/>
                <w:sz w:val="21"/>
                <w:szCs w:val="21"/>
                <w:highlight w:val="none"/>
                <w14:textFill>
                  <w14:solidFill>
                    <w14:schemeClr w14:val="tx1"/>
                  </w14:solidFill>
                </w14:textFill>
              </w:rPr>
              <w:t>户，如时间达到30日历天，招标人有权终止合同。我方承担由此造成的所有责任及经济损失。</w:t>
            </w:r>
          </w:p>
        </w:tc>
      </w:tr>
      <w:tr w14:paraId="2F98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78487B43">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w:t>
            </w:r>
          </w:p>
        </w:tc>
        <w:tc>
          <w:tcPr>
            <w:tcW w:w="1234" w:type="dxa"/>
            <w:noWrap w:val="0"/>
            <w:vAlign w:val="center"/>
          </w:tcPr>
          <w:p w14:paraId="48496C40">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工程的配合服务承诺</w:t>
            </w:r>
          </w:p>
        </w:tc>
        <w:tc>
          <w:tcPr>
            <w:tcW w:w="3073" w:type="dxa"/>
            <w:noWrap w:val="0"/>
            <w:vAlign w:val="center"/>
          </w:tcPr>
          <w:p w14:paraId="2C0E482F">
            <w:pPr>
              <w:pStyle w:val="64"/>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我方服从业主管理，保证配合与工程承包范围内相关的其他标段（工种、分项）工程施工单位的工程施工，不提出额外增加费用的要求。</w:t>
            </w:r>
          </w:p>
        </w:tc>
        <w:tc>
          <w:tcPr>
            <w:tcW w:w="4796" w:type="dxa"/>
            <w:noWrap w:val="0"/>
            <w:vAlign w:val="center"/>
          </w:tcPr>
          <w:p w14:paraId="210F5CD9">
            <w:pPr>
              <w:pStyle w:val="62"/>
              <w:spacing w:line="380" w:lineRule="exact"/>
              <w:ind w:firstLine="412"/>
              <w:rPr>
                <w:rFonts w:hint="eastAsia" w:ascii="宋体" w:hAnsi="宋体" w:eastAsia="宋体" w:cs="宋体"/>
                <w:color w:val="000000" w:themeColor="text1"/>
                <w:spacing w:val="-2"/>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若因我方未及时配合与工程承包范围内相关的其他标段（工种、分项）工程施工单位的工程施工，给招标人或其他施工单位造成损失的，我方承担所有的责任及经济损失。</w:t>
            </w:r>
          </w:p>
        </w:tc>
      </w:tr>
      <w:tr w14:paraId="4D1E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655C3A2D">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p>
        </w:tc>
        <w:tc>
          <w:tcPr>
            <w:tcW w:w="1234" w:type="dxa"/>
            <w:noWrap w:val="0"/>
            <w:vAlign w:val="center"/>
          </w:tcPr>
          <w:p w14:paraId="50BBA48D">
            <w:pPr>
              <w:pStyle w:val="66"/>
              <w:spacing w:line="300" w:lineRule="exact"/>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5EFD5C77">
            <w:pPr>
              <w:pStyle w:val="66"/>
              <w:spacing w:line="300" w:lineRule="exact"/>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23A37F7C">
            <w:pPr>
              <w:pStyle w:val="66"/>
              <w:spacing w:line="300" w:lineRule="exact"/>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40D91B2A">
            <w:pPr>
              <w:pStyle w:val="66"/>
              <w:spacing w:line="300" w:lineRule="exact"/>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0141EA37">
            <w:pPr>
              <w:pStyle w:val="66"/>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中标人员承诺</w:t>
            </w:r>
          </w:p>
        </w:tc>
        <w:tc>
          <w:tcPr>
            <w:tcW w:w="3073" w:type="dxa"/>
            <w:noWrap w:val="0"/>
            <w:vAlign w:val="center"/>
          </w:tcPr>
          <w:p w14:paraId="6BDA504F">
            <w:pPr>
              <w:pStyle w:val="66"/>
              <w:spacing w:line="300" w:lineRule="exact"/>
              <w:ind w:firstLine="412" w:firstLineChars="200"/>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6156EF29">
            <w:pPr>
              <w:pStyle w:val="66"/>
              <w:spacing w:line="300" w:lineRule="exact"/>
              <w:ind w:firstLine="412" w:firstLineChars="200"/>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339AD7D6">
            <w:pPr>
              <w:pStyle w:val="66"/>
              <w:spacing w:line="300" w:lineRule="exact"/>
              <w:ind w:firstLine="412" w:firstLineChars="200"/>
              <w:jc w:val="center"/>
              <w:rPr>
                <w:rFonts w:hint="eastAsia" w:ascii="宋体" w:hAnsi="宋体" w:eastAsia="宋体" w:cs="宋体"/>
                <w:color w:val="000000" w:themeColor="text1"/>
                <w:spacing w:val="-2"/>
                <w:sz w:val="21"/>
                <w:szCs w:val="21"/>
                <w:highlight w:val="none"/>
                <w14:textFill>
                  <w14:solidFill>
                    <w14:schemeClr w14:val="tx1"/>
                  </w14:solidFill>
                </w14:textFill>
              </w:rPr>
            </w:pPr>
          </w:p>
          <w:p w14:paraId="2C3E0341">
            <w:pPr>
              <w:pStyle w:val="66"/>
              <w:spacing w:line="300" w:lineRule="exact"/>
              <w:ind w:firstLine="412" w:firstLineChars="20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我方保证投标文件中所拟派的中标人员全部配合施工现场管理施工。</w:t>
            </w:r>
          </w:p>
        </w:tc>
        <w:tc>
          <w:tcPr>
            <w:tcW w:w="4796" w:type="dxa"/>
            <w:noWrap w:val="0"/>
            <w:vAlign w:val="center"/>
          </w:tcPr>
          <w:p w14:paraId="48801C4F">
            <w:pPr>
              <w:pStyle w:val="67"/>
              <w:spacing w:line="300" w:lineRule="exact"/>
              <w:ind w:left="0" w:leftChars="0" w:firstLine="420" w:firstLineChars="200"/>
              <w:rPr>
                <w:rFonts w:hint="eastAsia" w:ascii="宋体" w:hAnsi="宋体" w:eastAsia="宋体" w:cs="宋体"/>
                <w:snapToGrid w:val="0"/>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sz w:val="21"/>
                <w:szCs w:val="21"/>
                <w:highlight w:val="none"/>
                <w14:textFill>
                  <w14:solidFill>
                    <w14:schemeClr w14:val="tx1"/>
                  </w14:solidFill>
                </w14:textFill>
              </w:rPr>
              <w:t>设计单位未能在招标人通知的时间内（提前一天通知，紧急情况随时通知）参加设计交底、处理有关设计问题、参加必要部位隐蔽验收和竣工验收等工作，每人次交纳违约金</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napToGrid w:val="0"/>
                <w:color w:val="000000" w:themeColor="text1"/>
                <w:sz w:val="21"/>
                <w:szCs w:val="21"/>
                <w:highlight w:val="none"/>
                <w14:textFill>
                  <w14:solidFill>
                    <w14:schemeClr w14:val="tx1"/>
                  </w14:solidFill>
                </w14:textFill>
              </w:rPr>
              <w:t>1000元。</w:t>
            </w:r>
          </w:p>
          <w:p w14:paraId="66D503B1">
            <w:pPr>
              <w:pStyle w:val="67"/>
              <w:spacing w:line="300" w:lineRule="exact"/>
              <w:ind w:left="0" w:leftChars="0" w:firstLine="420" w:firstLineChars="200"/>
              <w:rPr>
                <w:rFonts w:hint="eastAsia" w:ascii="宋体" w:hAnsi="宋体" w:eastAsia="宋体" w:cs="宋体"/>
                <w:snapToGrid w:val="0"/>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sz w:val="21"/>
                <w:szCs w:val="21"/>
                <w:highlight w:val="none"/>
                <w14:textFill>
                  <w14:solidFill>
                    <w14:schemeClr w14:val="tx1"/>
                  </w14:solidFill>
                </w14:textFill>
              </w:rPr>
              <w:t>设计单位驻韶办公的</w:t>
            </w:r>
            <w:r>
              <w:rPr>
                <w:rFonts w:hint="eastAsia" w:ascii="宋体" w:hAnsi="宋体" w:eastAsia="宋体" w:cs="宋体"/>
                <w:snapToGrid w:val="0"/>
                <w:color w:val="000000" w:themeColor="text1"/>
                <w:sz w:val="21"/>
                <w:szCs w:val="21"/>
                <w:highlight w:val="none"/>
                <w:lang w:eastAsia="zh-CN"/>
                <w14:textFill>
                  <w14:solidFill>
                    <w14:schemeClr w14:val="tx1"/>
                  </w14:solidFill>
                </w14:textFill>
              </w:rPr>
              <w:t>设计</w:t>
            </w:r>
            <w:r>
              <w:rPr>
                <w:rFonts w:hint="eastAsia" w:ascii="宋体" w:hAnsi="宋体" w:eastAsia="宋体" w:cs="宋体"/>
                <w:snapToGrid w:val="0"/>
                <w:color w:val="000000" w:themeColor="text1"/>
                <w:sz w:val="21"/>
                <w:szCs w:val="21"/>
                <w:highlight w:val="none"/>
                <w14:textFill>
                  <w14:solidFill>
                    <w14:schemeClr w14:val="tx1"/>
                  </w14:solidFill>
                </w14:textFill>
              </w:rPr>
              <w:t>负责人（即投标文件所拟派的</w:t>
            </w:r>
            <w:r>
              <w:rPr>
                <w:rFonts w:hint="eastAsia" w:ascii="宋体" w:hAnsi="宋体" w:eastAsia="宋体" w:cs="宋体"/>
                <w:snapToGrid w:val="0"/>
                <w:color w:val="000000" w:themeColor="text1"/>
                <w:sz w:val="21"/>
                <w:szCs w:val="21"/>
                <w:highlight w:val="none"/>
                <w:lang w:eastAsia="zh-CN"/>
                <w14:textFill>
                  <w14:solidFill>
                    <w14:schemeClr w14:val="tx1"/>
                  </w14:solidFill>
                </w14:textFill>
              </w:rPr>
              <w:t>设计</w:t>
            </w:r>
            <w:r>
              <w:rPr>
                <w:rFonts w:hint="eastAsia" w:ascii="宋体" w:hAnsi="宋体" w:eastAsia="宋体" w:cs="宋体"/>
                <w:snapToGrid w:val="0"/>
                <w:color w:val="000000" w:themeColor="text1"/>
                <w:sz w:val="21"/>
                <w:szCs w:val="21"/>
                <w:highlight w:val="none"/>
                <w14:textFill>
                  <w14:solidFill>
                    <w14:schemeClr w14:val="tx1"/>
                  </w14:solidFill>
                </w14:textFill>
              </w:rPr>
              <w:t>负责人）必须负责本项目设计全过程（包括施工图设计审查、施工图设计修编、预算跟踪服务、图纸会审和技术交底）。</w:t>
            </w:r>
            <w:r>
              <w:rPr>
                <w:rFonts w:hint="eastAsia" w:ascii="宋体" w:hAnsi="宋体" w:eastAsia="宋体" w:cs="宋体"/>
                <w:snapToGrid w:val="0"/>
                <w:color w:val="000000" w:themeColor="text1"/>
                <w:sz w:val="21"/>
                <w:szCs w:val="21"/>
                <w:highlight w:val="none"/>
                <w:lang w:eastAsia="zh-CN"/>
                <w14:textFill>
                  <w14:solidFill>
                    <w14:schemeClr w14:val="tx1"/>
                  </w14:solidFill>
                </w14:textFill>
              </w:rPr>
              <w:t>设计</w:t>
            </w:r>
            <w:r>
              <w:rPr>
                <w:rFonts w:hint="eastAsia" w:ascii="宋体" w:hAnsi="宋体" w:eastAsia="宋体" w:cs="宋体"/>
                <w:snapToGrid w:val="0"/>
                <w:color w:val="000000" w:themeColor="text1"/>
                <w:sz w:val="21"/>
                <w:szCs w:val="21"/>
                <w:highlight w:val="none"/>
                <w14:textFill>
                  <w14:solidFill>
                    <w14:schemeClr w14:val="tx1"/>
                  </w14:solidFill>
                </w14:textFill>
              </w:rPr>
              <w:t>负责人未准时参加上述环节工作的，每缺席一次交纳违约金</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napToGrid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snapToGrid w:val="0"/>
                <w:color w:val="000000" w:themeColor="text1"/>
                <w:sz w:val="21"/>
                <w:szCs w:val="21"/>
                <w:highlight w:val="none"/>
                <w14:textFill>
                  <w14:solidFill>
                    <w14:schemeClr w14:val="tx1"/>
                  </w14:solidFill>
                </w14:textFill>
              </w:rPr>
              <w:t>000元（以招标人发出的违约通知为准）。</w:t>
            </w:r>
          </w:p>
          <w:p w14:paraId="734BF04B">
            <w:pPr>
              <w:pStyle w:val="67"/>
              <w:spacing w:line="300" w:lineRule="exact"/>
              <w:ind w:left="0" w:leftChars="0"/>
              <w:rPr>
                <w:rFonts w:hint="eastAsia" w:ascii="宋体" w:hAnsi="宋体" w:eastAsia="宋体" w:cs="宋体"/>
                <w:color w:val="000000" w:themeColor="text1"/>
                <w:spacing w:val="-2"/>
                <w:sz w:val="21"/>
                <w:szCs w:val="21"/>
                <w:highlight w:val="none"/>
                <w14:textFill>
                  <w14:solidFill>
                    <w14:schemeClr w14:val="tx1"/>
                  </w14:solidFill>
                </w14:textFill>
              </w:rPr>
            </w:pPr>
            <w:r>
              <w:rPr>
                <w:rFonts w:hint="eastAsia" w:ascii="宋体" w:hAnsi="宋体" w:eastAsia="宋体" w:cs="宋体"/>
                <w:snapToGrid w:val="0"/>
                <w:color w:val="000000" w:themeColor="text1"/>
                <w:sz w:val="21"/>
                <w:szCs w:val="21"/>
                <w:highlight w:val="none"/>
                <w14:textFill>
                  <w14:solidFill>
                    <w14:schemeClr w14:val="tx1"/>
                  </w14:solidFill>
                </w14:textFill>
              </w:rPr>
              <w:t>设计单位应委派1名参与并熟悉本项目设计任务，有现场处理经验的设计代表常驻项目现场。中标人应为派驻现场的设计工作人员提供工作、生活及交通等方面的便利条件及准备必要的劳动保护装备。在正常施工阶段，每月应保证最少20天在现场。未经招标人书面许可，缺少1天向建设单位每人每天支付违约金¥2000元/天。</w:t>
            </w:r>
          </w:p>
        </w:tc>
      </w:tr>
      <w:tr w14:paraId="4908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6F4914B9">
            <w:pPr>
              <w:pStyle w:val="38"/>
              <w:spacing w:line="38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234" w:type="dxa"/>
            <w:noWrap w:val="0"/>
            <w:vAlign w:val="center"/>
          </w:tcPr>
          <w:p w14:paraId="51A1CB7E">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项目管理班子人员承诺</w:t>
            </w:r>
          </w:p>
        </w:tc>
        <w:tc>
          <w:tcPr>
            <w:tcW w:w="3073" w:type="dxa"/>
            <w:noWrap w:val="0"/>
            <w:vAlign w:val="center"/>
          </w:tcPr>
          <w:p w14:paraId="6357FC92">
            <w:pPr>
              <w:pStyle w:val="64"/>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我方保证投标文件中所拟派的项目经理、技术负责人、施工员、质量员、安全员等工程管理人员全部在施工现场管理施工</w:t>
            </w:r>
          </w:p>
        </w:tc>
        <w:tc>
          <w:tcPr>
            <w:tcW w:w="4796" w:type="dxa"/>
            <w:noWrap w:val="0"/>
            <w:vAlign w:val="center"/>
          </w:tcPr>
          <w:p w14:paraId="29398FF2">
            <w:pPr>
              <w:pStyle w:val="62"/>
              <w:spacing w:line="380" w:lineRule="exact"/>
              <w:ind w:firstLine="412"/>
              <w:rPr>
                <w:rFonts w:hint="eastAsia" w:ascii="宋体" w:hAnsi="宋体" w:eastAsia="宋体" w:cs="宋体"/>
                <w:color w:val="000000" w:themeColor="text1"/>
                <w:spacing w:val="-2"/>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承诺施工期间如左所叙施工现场管理人员按要求每日办理签到手续，如未经招标人同意未办理签到，向建设单位每人每天支付违约金</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pacing w:val="-2"/>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pacing w:val="-2"/>
                <w:sz w:val="21"/>
                <w:szCs w:val="21"/>
                <w:highlight w:val="none"/>
                <w14:textFill>
                  <w14:solidFill>
                    <w14:schemeClr w14:val="tx1"/>
                  </w14:solidFill>
                </w14:textFill>
              </w:rPr>
              <w:t>00元（项目经理未签到每天支付违约金</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pacing w:val="-2"/>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pacing w:val="-2"/>
                <w:sz w:val="21"/>
                <w:szCs w:val="21"/>
                <w:highlight w:val="none"/>
                <w14:textFill>
                  <w14:solidFill>
                    <w14:schemeClr w14:val="tx1"/>
                  </w14:solidFill>
                </w14:textFill>
              </w:rPr>
              <w:t>000元）；</w:t>
            </w:r>
          </w:p>
          <w:p w14:paraId="0449E707">
            <w:pPr>
              <w:pStyle w:val="62"/>
              <w:spacing w:line="380" w:lineRule="exact"/>
              <w:ind w:firstLine="412"/>
              <w:rPr>
                <w:rFonts w:hint="eastAsia" w:ascii="宋体" w:hAnsi="宋体" w:eastAsia="宋体" w:cs="宋体"/>
                <w:color w:val="000000" w:themeColor="text1"/>
                <w:spacing w:val="-2"/>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若我方的投标文件中所拟派的如左所述任何一个管理人员未经招标人或招标人同意擅自离岗，在一个月内达到10次/人，或项目经理、技术负责人在施工过程中每月驻场少于2</w:t>
            </w:r>
            <w:r>
              <w:rPr>
                <w:rFonts w:hint="eastAsia" w:ascii="宋体" w:hAnsi="宋体" w:eastAsia="宋体" w:cs="宋体"/>
                <w:color w:val="000000" w:themeColor="text1"/>
                <w:spacing w:val="-2"/>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pacing w:val="-2"/>
                <w:sz w:val="21"/>
                <w:szCs w:val="21"/>
                <w:highlight w:val="none"/>
                <w14:textFill>
                  <w14:solidFill>
                    <w14:schemeClr w14:val="tx1"/>
                  </w14:solidFill>
                </w14:textFill>
              </w:rPr>
              <w:t>天的，招标人有权终止合同。我方承担由此造成的所有责任及经济损失。</w:t>
            </w:r>
          </w:p>
        </w:tc>
      </w:tr>
      <w:tr w14:paraId="4F091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3" w:hRule="atLeast"/>
          <w:jc w:val="center"/>
        </w:trPr>
        <w:tc>
          <w:tcPr>
            <w:tcW w:w="656" w:type="dxa"/>
            <w:noWrap w:val="0"/>
            <w:vAlign w:val="center"/>
          </w:tcPr>
          <w:p w14:paraId="1B340186">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w:t>
            </w:r>
          </w:p>
        </w:tc>
        <w:tc>
          <w:tcPr>
            <w:tcW w:w="1234" w:type="dxa"/>
            <w:noWrap w:val="0"/>
            <w:vAlign w:val="center"/>
          </w:tcPr>
          <w:p w14:paraId="572A10B7">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对支付农民工工资的承诺</w:t>
            </w:r>
          </w:p>
        </w:tc>
        <w:tc>
          <w:tcPr>
            <w:tcW w:w="3073" w:type="dxa"/>
            <w:noWrap w:val="0"/>
            <w:vAlign w:val="center"/>
          </w:tcPr>
          <w:p w14:paraId="164AB79E">
            <w:pPr>
              <w:pStyle w:val="62"/>
              <w:spacing w:line="380" w:lineRule="exact"/>
              <w:ind w:firstLine="206" w:firstLineChars="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如我方中标，我方无条件同意按照用工合同支付</w:t>
            </w:r>
            <w:r>
              <w:rPr>
                <w:rFonts w:hint="eastAsia" w:ascii="宋体" w:hAnsi="宋体" w:eastAsia="宋体" w:cs="宋体"/>
                <w:color w:val="000000" w:themeColor="text1"/>
                <w:sz w:val="21"/>
                <w:szCs w:val="21"/>
                <w:highlight w:val="none"/>
                <w14:textFill>
                  <w14:solidFill>
                    <w14:schemeClr w14:val="tx1"/>
                  </w14:solidFill>
                </w14:textFill>
              </w:rPr>
              <w:t>农民工工资。</w:t>
            </w:r>
          </w:p>
        </w:tc>
        <w:tc>
          <w:tcPr>
            <w:tcW w:w="4796" w:type="dxa"/>
            <w:noWrap w:val="0"/>
            <w:vAlign w:val="center"/>
          </w:tcPr>
          <w:p w14:paraId="4CBB4832">
            <w:pPr>
              <w:pStyle w:val="62"/>
              <w:spacing w:line="380" w:lineRule="exact"/>
              <w:ind w:firstLine="41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如我方中标，我方无条件同意按照用工合同支付</w:t>
            </w:r>
            <w:r>
              <w:rPr>
                <w:rFonts w:hint="eastAsia" w:ascii="宋体" w:hAnsi="宋体" w:eastAsia="宋体" w:cs="宋体"/>
                <w:color w:val="000000" w:themeColor="text1"/>
                <w:sz w:val="21"/>
                <w:szCs w:val="21"/>
                <w:highlight w:val="none"/>
                <w14:textFill>
                  <w14:solidFill>
                    <w14:schemeClr w14:val="tx1"/>
                  </w14:solidFill>
                </w14:textFill>
              </w:rPr>
              <w:t>农民工工资。否则，招标人有权终止合同，扣除履约保证金，并由招标人先行垫付农民工被拖欠的工资，数额以未结清的工程数为限。</w:t>
            </w:r>
          </w:p>
        </w:tc>
      </w:tr>
      <w:tr w14:paraId="1E5F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757F6B66">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w:t>
            </w:r>
          </w:p>
        </w:tc>
        <w:tc>
          <w:tcPr>
            <w:tcW w:w="1234" w:type="dxa"/>
            <w:noWrap w:val="0"/>
            <w:vAlign w:val="center"/>
          </w:tcPr>
          <w:p w14:paraId="6B8BB558">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施工组织设计承诺</w:t>
            </w:r>
          </w:p>
        </w:tc>
        <w:tc>
          <w:tcPr>
            <w:tcW w:w="3073" w:type="dxa"/>
            <w:noWrap w:val="0"/>
            <w:vAlign w:val="center"/>
          </w:tcPr>
          <w:p w14:paraId="280CF969">
            <w:pPr>
              <w:pStyle w:val="62"/>
              <w:spacing w:line="380" w:lineRule="exact"/>
              <w:ind w:firstLine="210" w:firstLineChars="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我方保证施工组织设计按照国家省市有关规定进行编写。</w:t>
            </w:r>
          </w:p>
        </w:tc>
        <w:tc>
          <w:tcPr>
            <w:tcW w:w="4796" w:type="dxa"/>
            <w:noWrap w:val="0"/>
            <w:vAlign w:val="center"/>
          </w:tcPr>
          <w:p w14:paraId="771F6BE2">
            <w:pPr>
              <w:pStyle w:val="62"/>
              <w:spacing w:line="380" w:lineRule="exact"/>
              <w:ind w:firstLine="210" w:firstLineChars="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如我方的施工组织设计未根据招标项目情况按照国家省市有关规定进行编写的，扣除全部履约保证金。</w:t>
            </w:r>
          </w:p>
        </w:tc>
      </w:tr>
      <w:tr w14:paraId="72AA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69CBA5F7">
            <w:pPr>
              <w:pStyle w:val="68"/>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w:t>
            </w:r>
          </w:p>
        </w:tc>
        <w:tc>
          <w:tcPr>
            <w:tcW w:w="1234" w:type="dxa"/>
            <w:noWrap w:val="0"/>
            <w:vAlign w:val="center"/>
          </w:tcPr>
          <w:p w14:paraId="585B1CF5">
            <w:pPr>
              <w:pStyle w:val="68"/>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设计承诺</w:t>
            </w:r>
          </w:p>
        </w:tc>
        <w:tc>
          <w:tcPr>
            <w:tcW w:w="3073" w:type="dxa"/>
            <w:noWrap w:val="0"/>
            <w:vAlign w:val="center"/>
          </w:tcPr>
          <w:p w14:paraId="06FDF4B4">
            <w:pPr>
              <w:pStyle w:val="69"/>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如我方中标，我方保证按设计规范及有关法律法规进行设计，并准时提供相应设计文件经审图机构审查通过。</w:t>
            </w:r>
          </w:p>
        </w:tc>
        <w:tc>
          <w:tcPr>
            <w:tcW w:w="4796" w:type="dxa"/>
            <w:noWrap w:val="0"/>
            <w:vAlign w:val="center"/>
          </w:tcPr>
          <w:p w14:paraId="01EA568A">
            <w:pPr>
              <w:pStyle w:val="69"/>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中标，未能按招标文件要求提供设计文件，招标人有权终止合同，扣除设计费的10%作为违约罚款，并由招标人另行委托相应资质的单位进行设计，其费用由中标人支付，施工工期不予顺延且不另外计取赶工措施费。</w:t>
            </w:r>
          </w:p>
          <w:p w14:paraId="4ABDC80B">
            <w:pPr>
              <w:pStyle w:val="69"/>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由于设计人设计工作错误造成工程设计质量事故，根据责任情况，负责赔偿工程损失费，但最高不超过该项目应收设计费总额，负责采取补救措施。</w:t>
            </w:r>
          </w:p>
          <w:p w14:paraId="10D93F7D">
            <w:pPr>
              <w:pStyle w:val="69"/>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施工期间除发包人要求或特殊地质原因外，因设计质量和深度不够的原因引起的工程返工或需要设计变更引起工程造价增加的，每次扣减勘察设计合同价款中设计费的2％，扣完为止。</w:t>
            </w:r>
          </w:p>
          <w:p w14:paraId="3C6DF7EF">
            <w:pPr>
              <w:pStyle w:val="69"/>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因设计单位自身原因造成工程结算超施工招标中标价的，扣除应付设计合同价款中的余款。</w:t>
            </w:r>
          </w:p>
        </w:tc>
      </w:tr>
      <w:tr w14:paraId="7AC1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78A5C725">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w:t>
            </w:r>
          </w:p>
        </w:tc>
        <w:tc>
          <w:tcPr>
            <w:tcW w:w="1234" w:type="dxa"/>
            <w:noWrap w:val="0"/>
            <w:vAlign w:val="center"/>
          </w:tcPr>
          <w:p w14:paraId="17085DFB">
            <w:pPr>
              <w:pStyle w:val="68"/>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勘察承诺</w:t>
            </w:r>
          </w:p>
        </w:tc>
        <w:tc>
          <w:tcPr>
            <w:tcW w:w="3073" w:type="dxa"/>
            <w:noWrap w:val="0"/>
            <w:vAlign w:val="center"/>
          </w:tcPr>
          <w:p w14:paraId="0C3896F7">
            <w:pPr>
              <w:pStyle w:val="69"/>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如我方中标，我方保证按勘察规范及有关法律法规进行勘察，并准时提供相应满足设计要求的勘察成果。</w:t>
            </w:r>
          </w:p>
        </w:tc>
        <w:tc>
          <w:tcPr>
            <w:tcW w:w="4796" w:type="dxa"/>
            <w:noWrap w:val="0"/>
            <w:vAlign w:val="center"/>
          </w:tcPr>
          <w:p w14:paraId="4C284FC2">
            <w:pPr>
              <w:pStyle w:val="69"/>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中标，未能按招标文件要求提供勘察成果，招标人有权终止合同，扣除勘察费的10%作为违约罚款，并由招标人另行委托相应资质的单位进行勘察，其费用由中标人支付，施工工期不予顺延且不另外计取赶工措施费。</w:t>
            </w:r>
          </w:p>
          <w:p w14:paraId="47FACFBA">
            <w:pPr>
              <w:pStyle w:val="69"/>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地质勘探过程中，发包人可随时到现场抽检勘探情况，发现有造假现象的，扣除勘察设计合同价款中勘察费的10%。发现两次以上的则发包人有权解除合同。</w:t>
            </w:r>
          </w:p>
          <w:p w14:paraId="778F1F01">
            <w:pPr>
              <w:pStyle w:val="69"/>
              <w:spacing w:line="300" w:lineRule="exact"/>
              <w:ind w:left="0" w:leftChars="0"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施工过程中，发现现场地质情况与同位置勘察点的勘察成果不符时，每发现一处，需扣除勘察设计合同价款中勘察费的5%，扣完为止。同时免费负责补充相应的地质勘察工作。</w:t>
            </w:r>
          </w:p>
        </w:tc>
      </w:tr>
      <w:tr w14:paraId="1EEE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016E3174">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16</w:t>
            </w:r>
          </w:p>
        </w:tc>
        <w:tc>
          <w:tcPr>
            <w:tcW w:w="1234" w:type="dxa"/>
            <w:noWrap w:val="0"/>
            <w:vAlign w:val="center"/>
          </w:tcPr>
          <w:p w14:paraId="4471B0CF">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综合服务能力承诺</w:t>
            </w:r>
          </w:p>
        </w:tc>
        <w:tc>
          <w:tcPr>
            <w:tcW w:w="3073" w:type="dxa"/>
            <w:noWrap w:val="0"/>
            <w:vAlign w:val="center"/>
          </w:tcPr>
          <w:p w14:paraId="1F937805">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我方保证中标后，自行解决施工中遇到的各种外部问题，协调周边企业、村民关系，并承担由此产生的所以责任及损失。</w:t>
            </w:r>
          </w:p>
        </w:tc>
        <w:tc>
          <w:tcPr>
            <w:tcW w:w="4796" w:type="dxa"/>
            <w:noWrap w:val="0"/>
            <w:vAlign w:val="center"/>
          </w:tcPr>
          <w:p w14:paraId="32A4256B">
            <w:pPr>
              <w:pStyle w:val="62"/>
              <w:spacing w:line="380" w:lineRule="exact"/>
              <w:ind w:firstLine="42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若我方未能按招标文件所承诺的各项承诺完成时，我方同意按比例扣除相应履约保证金，并承担由此引起的所有责任。</w:t>
            </w:r>
          </w:p>
        </w:tc>
      </w:tr>
      <w:tr w14:paraId="7539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07D89ADB">
            <w:pPr>
              <w:pStyle w:val="38"/>
              <w:spacing w:line="3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17</w:t>
            </w:r>
          </w:p>
        </w:tc>
        <w:tc>
          <w:tcPr>
            <w:tcW w:w="1234" w:type="dxa"/>
            <w:noWrap w:val="0"/>
            <w:vAlign w:val="center"/>
          </w:tcPr>
          <w:p w14:paraId="4306825F">
            <w:pPr>
              <w:pStyle w:val="62"/>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廉政承诺</w:t>
            </w:r>
          </w:p>
        </w:tc>
        <w:tc>
          <w:tcPr>
            <w:tcW w:w="3073" w:type="dxa"/>
            <w:noWrap w:val="0"/>
            <w:vAlign w:val="center"/>
          </w:tcPr>
          <w:p w14:paraId="0C29C104">
            <w:pPr>
              <w:pStyle w:val="62"/>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如我方中标，我方将严格执行国家、广东省、韶关市有关工程建设廉政的有关法律法规及双方签订的廉政合同。</w:t>
            </w:r>
          </w:p>
        </w:tc>
        <w:tc>
          <w:tcPr>
            <w:tcW w:w="4796" w:type="dxa"/>
            <w:noWrap w:val="0"/>
            <w:vAlign w:val="center"/>
          </w:tcPr>
          <w:p w14:paraId="675E7C52">
            <w:pPr>
              <w:pStyle w:val="62"/>
              <w:spacing w:line="380" w:lineRule="exact"/>
              <w:ind w:firstLine="42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违反国家、广东省、韶关市有关工程建设廉政的有关法律法规及双方签订的廉政合同，受到相关主管部门的通报或查处，招标人可按规定对我方进行处罚，情节严重时招标人可终止合同，我方承担由此造成的所有责任和经济损失。</w:t>
            </w:r>
          </w:p>
        </w:tc>
      </w:tr>
      <w:tr w14:paraId="65B6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0C6DB75F">
            <w:pPr>
              <w:pStyle w:val="38"/>
              <w:spacing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18</w:t>
            </w:r>
          </w:p>
        </w:tc>
        <w:tc>
          <w:tcPr>
            <w:tcW w:w="1234" w:type="dxa"/>
            <w:noWrap w:val="0"/>
            <w:vAlign w:val="center"/>
          </w:tcPr>
          <w:p w14:paraId="57AB79D9">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对外协调关系承诺</w:t>
            </w:r>
          </w:p>
        </w:tc>
        <w:tc>
          <w:tcPr>
            <w:tcW w:w="3073" w:type="dxa"/>
            <w:noWrap w:val="0"/>
            <w:vAlign w:val="center"/>
          </w:tcPr>
          <w:p w14:paraId="089CE4C2">
            <w:pPr>
              <w:pStyle w:val="9"/>
              <w:spacing w:line="3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我方保证中标后，自行解决施工中遇到的各种外部问题，协调周边企业、村民关系，并承担由此产生的所有责任及损失。</w:t>
            </w:r>
          </w:p>
        </w:tc>
        <w:tc>
          <w:tcPr>
            <w:tcW w:w="4796" w:type="dxa"/>
            <w:noWrap w:val="0"/>
            <w:vAlign w:val="center"/>
          </w:tcPr>
          <w:p w14:paraId="58E1BDE3">
            <w:pPr>
              <w:pStyle w:val="9"/>
              <w:spacing w:line="3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若我方未能按招标文件所承诺的各项承诺完成时，我方同意按比例扣除相应履约保证金，并承担由此引起的所有责任。</w:t>
            </w:r>
          </w:p>
        </w:tc>
      </w:tr>
      <w:tr w14:paraId="72B0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19773501">
            <w:pPr>
              <w:pStyle w:val="7"/>
              <w:spacing w:line="38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19</w:t>
            </w:r>
          </w:p>
        </w:tc>
        <w:tc>
          <w:tcPr>
            <w:tcW w:w="1234" w:type="dxa"/>
            <w:noWrap w:val="0"/>
            <w:vAlign w:val="center"/>
          </w:tcPr>
          <w:p w14:paraId="7EBE6FAC">
            <w:pPr>
              <w:pStyle w:val="62"/>
              <w:wordWrap w:val="0"/>
              <w:adjustRightInd w:val="0"/>
              <w:snapToGrid w:val="0"/>
              <w:spacing w:line="38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投标文件信息公开承诺</w:t>
            </w:r>
          </w:p>
        </w:tc>
        <w:tc>
          <w:tcPr>
            <w:tcW w:w="3073" w:type="dxa"/>
            <w:noWrap w:val="0"/>
            <w:vAlign w:val="center"/>
          </w:tcPr>
          <w:p w14:paraId="33100E59">
            <w:pPr>
              <w:pStyle w:val="62"/>
              <w:wordWrap w:val="0"/>
              <w:adjustRightInd w:val="0"/>
              <w:snapToGrid w:val="0"/>
              <w:spacing w:line="38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我方提供完整的电子文件。如</w:t>
            </w:r>
            <w:r>
              <w:rPr>
                <w:rFonts w:hint="eastAsia" w:ascii="宋体" w:hAnsi="宋体" w:eastAsia="宋体" w:cs="宋体"/>
                <w:color w:val="000000" w:themeColor="text1"/>
                <w:sz w:val="21"/>
                <w:szCs w:val="21"/>
                <w:highlight w:val="none"/>
                <w:lang w:eastAsia="zh-CN"/>
                <w14:textFill>
                  <w14:solidFill>
                    <w14:schemeClr w14:val="tx1"/>
                  </w14:solidFill>
                </w14:textFill>
              </w:rPr>
              <w:t>果</w:t>
            </w:r>
            <w:r>
              <w:rPr>
                <w:rFonts w:hint="eastAsia" w:ascii="宋体" w:hAnsi="宋体" w:eastAsia="宋体" w:cs="宋体"/>
                <w:color w:val="000000" w:themeColor="text1"/>
                <w:sz w:val="21"/>
                <w:szCs w:val="21"/>
                <w:highlight w:val="none"/>
                <w14:textFill>
                  <w14:solidFill>
                    <w14:schemeClr w14:val="tx1"/>
                  </w14:solidFill>
                </w14:textFill>
              </w:rPr>
              <w:t>我方成为本项目</w:t>
            </w:r>
            <w:r>
              <w:rPr>
                <w:rFonts w:hint="eastAsia" w:hAnsi="宋体" w:cs="宋体"/>
                <w:color w:val="000000" w:themeColor="text1"/>
                <w:sz w:val="21"/>
                <w:szCs w:val="21"/>
                <w:highlight w:val="none"/>
                <w:lang w:val="en-US" w:eastAsia="zh-CN"/>
                <w14:textFill>
                  <w14:solidFill>
                    <w14:schemeClr w14:val="tx1"/>
                  </w14:solidFill>
                </w14:textFill>
              </w:rPr>
              <w:t>定标</w:t>
            </w:r>
            <w:r>
              <w:rPr>
                <w:rFonts w:hint="eastAsia" w:ascii="宋体" w:hAnsi="宋体" w:eastAsia="宋体" w:cs="宋体"/>
                <w:color w:val="000000" w:themeColor="text1"/>
                <w:sz w:val="21"/>
                <w:szCs w:val="21"/>
                <w:highlight w:val="none"/>
                <w14:textFill>
                  <w14:solidFill>
                    <w14:schemeClr w14:val="tx1"/>
                  </w14:solidFill>
                </w14:textFill>
              </w:rPr>
              <w:t>候选人，我方同意并授权招标人</w:t>
            </w:r>
            <w:r>
              <w:rPr>
                <w:rFonts w:hint="eastAsia" w:ascii="宋体" w:hAnsi="宋体" w:eastAsia="宋体" w:cs="宋体"/>
                <w:color w:val="000000" w:themeColor="text1"/>
                <w:sz w:val="21"/>
                <w:szCs w:val="21"/>
                <w:highlight w:val="none"/>
                <w:lang w:eastAsia="zh-CN"/>
                <w14:textFill>
                  <w14:solidFill>
                    <w14:schemeClr w14:val="tx1"/>
                  </w14:solidFill>
                </w14:textFill>
              </w:rPr>
              <w:t>在评标结果公示期内公开</w:t>
            </w:r>
            <w:r>
              <w:rPr>
                <w:rFonts w:hint="eastAsia" w:ascii="宋体" w:hAnsi="宋体" w:eastAsia="宋体" w:cs="宋体"/>
                <w:color w:val="000000" w:themeColor="text1"/>
                <w:sz w:val="21"/>
                <w:szCs w:val="21"/>
                <w:highlight w:val="none"/>
                <w14:textFill>
                  <w14:solidFill>
                    <w14:schemeClr w14:val="tx1"/>
                  </w14:solidFill>
                </w14:textFill>
              </w:rPr>
              <w:t>我方商务部分的</w:t>
            </w:r>
            <w:r>
              <w:rPr>
                <w:rFonts w:hint="eastAsia" w:ascii="宋体" w:hAnsi="宋体" w:eastAsia="宋体" w:cs="宋体"/>
                <w:color w:val="000000" w:themeColor="text1"/>
                <w:sz w:val="21"/>
                <w:szCs w:val="21"/>
                <w:highlight w:val="none"/>
                <w:lang w:eastAsia="zh-CN"/>
                <w14:textFill>
                  <w14:solidFill>
                    <w14:schemeClr w14:val="tx1"/>
                  </w14:solidFill>
                </w14:textFill>
              </w:rPr>
              <w:t>全部</w:t>
            </w:r>
            <w:r>
              <w:rPr>
                <w:rFonts w:hint="eastAsia" w:ascii="宋体" w:hAnsi="宋体" w:eastAsia="宋体" w:cs="宋体"/>
                <w:color w:val="000000" w:themeColor="text1"/>
                <w:sz w:val="21"/>
                <w:szCs w:val="21"/>
                <w:highlight w:val="none"/>
                <w14:textFill>
                  <w14:solidFill>
                    <w14:schemeClr w14:val="tx1"/>
                  </w14:solidFill>
                </w14:textFill>
              </w:rPr>
              <w:t>内容。</w:t>
            </w:r>
          </w:p>
        </w:tc>
        <w:tc>
          <w:tcPr>
            <w:tcW w:w="4796" w:type="dxa"/>
            <w:tcBorders>
              <w:tr2bl w:val="single" w:color="auto" w:sz="4" w:space="0"/>
            </w:tcBorders>
            <w:noWrap w:val="0"/>
            <w:vAlign w:val="center"/>
          </w:tcPr>
          <w:p w14:paraId="53324650">
            <w:pPr>
              <w:pStyle w:val="62"/>
              <w:wordWrap w:val="0"/>
              <w:adjustRightInd w:val="0"/>
              <w:snapToGrid w:val="0"/>
              <w:spacing w:line="380" w:lineRule="exact"/>
              <w:ind w:firstLine="0" w:firstLineChars="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w:t>
            </w:r>
          </w:p>
        </w:tc>
      </w:tr>
      <w:tr w14:paraId="7814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524B4BD6">
            <w:pPr>
              <w:pStyle w:val="7"/>
              <w:spacing w:line="38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20</w:t>
            </w:r>
          </w:p>
        </w:tc>
        <w:tc>
          <w:tcPr>
            <w:tcW w:w="1234" w:type="dxa"/>
            <w:noWrap w:val="0"/>
            <w:vAlign w:val="center"/>
          </w:tcPr>
          <w:p w14:paraId="66B21A03">
            <w:pPr>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按时签订合同的承诺</w:t>
            </w:r>
          </w:p>
        </w:tc>
        <w:tc>
          <w:tcPr>
            <w:tcW w:w="3073" w:type="dxa"/>
            <w:noWrap w:val="0"/>
            <w:vAlign w:val="center"/>
          </w:tcPr>
          <w:p w14:paraId="096674D2">
            <w:pPr>
              <w:pStyle w:val="62"/>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如果我方中标，我方保证在招标文件规定的时限内与招标人签订合同，不提出违背或超出招标文件、中标文件的要求。</w:t>
            </w:r>
          </w:p>
        </w:tc>
        <w:tc>
          <w:tcPr>
            <w:tcW w:w="4796" w:type="dxa"/>
            <w:noWrap w:val="0"/>
            <w:vAlign w:val="center"/>
          </w:tcPr>
          <w:p w14:paraId="0916CEC1">
            <w:pPr>
              <w:pStyle w:val="62"/>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r w14:paraId="3541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2D952E80">
            <w:pPr>
              <w:pStyle w:val="7"/>
              <w:spacing w:line="380" w:lineRule="exact"/>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21</w:t>
            </w:r>
          </w:p>
        </w:tc>
        <w:tc>
          <w:tcPr>
            <w:tcW w:w="1234" w:type="dxa"/>
            <w:noWrap w:val="0"/>
            <w:vAlign w:val="center"/>
          </w:tcPr>
          <w:p w14:paraId="0951A09C">
            <w:pPr>
              <w:pStyle w:val="62"/>
              <w:snapToGrid w:val="0"/>
              <w:spacing w:line="400" w:lineRule="exact"/>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质量安全受检承诺</w:t>
            </w:r>
          </w:p>
        </w:tc>
        <w:tc>
          <w:tcPr>
            <w:tcW w:w="3073" w:type="dxa"/>
            <w:noWrap w:val="0"/>
            <w:vAlign w:val="center"/>
          </w:tcPr>
          <w:p w14:paraId="103581FF">
            <w:pPr>
              <w:pStyle w:val="62"/>
              <w:snapToGrid w:val="0"/>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我方中标，我方承诺本项目在建设过程中，设计及施工的质量安全等相关实施内容按照业主单位、发包单位的相关管理规定和质量安全考核要求，随时接受业主单位、发包单位自行或委托的第三方的监督检查及考核，我方保证无条件配合。</w:t>
            </w:r>
          </w:p>
        </w:tc>
        <w:tc>
          <w:tcPr>
            <w:tcW w:w="4796" w:type="dxa"/>
            <w:noWrap w:val="0"/>
            <w:vAlign w:val="center"/>
          </w:tcPr>
          <w:p w14:paraId="471E2361">
            <w:pPr>
              <w:pStyle w:val="62"/>
              <w:snapToGrid w:val="0"/>
              <w:spacing w:line="400" w:lineRule="exact"/>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如我方不配合或未通过相关的监督检查及考核，我方承诺接受业主单位、发包单位的相关管理规定和处罚，并承担相应的责任。</w:t>
            </w:r>
          </w:p>
        </w:tc>
      </w:tr>
      <w:tr w14:paraId="5E06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0"/>
            <w:vAlign w:val="center"/>
          </w:tcPr>
          <w:p w14:paraId="590414ED">
            <w:pPr>
              <w:pStyle w:val="7"/>
              <w:spacing w:line="38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22</w:t>
            </w:r>
          </w:p>
        </w:tc>
        <w:tc>
          <w:tcPr>
            <w:tcW w:w="1234" w:type="dxa"/>
            <w:noWrap w:val="0"/>
            <w:vAlign w:val="center"/>
          </w:tcPr>
          <w:p w14:paraId="7055292D">
            <w:pPr>
              <w:pStyle w:val="62"/>
              <w:snapToGrid w:val="0"/>
              <w:spacing w:line="400" w:lineRule="exact"/>
              <w:ind w:firstLine="0" w:firstLineChars="0"/>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对工程预付款的使用承诺</w:t>
            </w:r>
          </w:p>
        </w:tc>
        <w:tc>
          <w:tcPr>
            <w:tcW w:w="3073" w:type="dxa"/>
            <w:noWrap w:val="0"/>
            <w:vAlign w:val="center"/>
          </w:tcPr>
          <w:p w14:paraId="6319074A">
            <w:pPr>
              <w:pStyle w:val="62"/>
              <w:snapToGrid w:val="0"/>
              <w:spacing w:line="400" w:lineRule="exact"/>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我方保证工程预付款用于主要建筑材料的备料及支付工人工资。</w:t>
            </w:r>
          </w:p>
        </w:tc>
        <w:tc>
          <w:tcPr>
            <w:tcW w:w="4796" w:type="dxa"/>
            <w:tcBorders>
              <w:tr2bl w:val="single" w:color="auto" w:sz="4" w:space="0"/>
            </w:tcBorders>
            <w:noWrap w:val="0"/>
            <w:vAlign w:val="center"/>
          </w:tcPr>
          <w:p w14:paraId="77E1D587">
            <w:pPr>
              <w:pStyle w:val="62"/>
              <w:wordWrap w:val="0"/>
              <w:adjustRightInd w:val="0"/>
              <w:snapToGrid w:val="0"/>
              <w:spacing w:line="380" w:lineRule="exact"/>
              <w:ind w:firstLine="420"/>
              <w:rPr>
                <w:rFonts w:hint="eastAsia" w:ascii="宋体" w:hAnsi="宋体" w:eastAsia="宋体" w:cs="宋体"/>
                <w:snapToGrid w:val="0"/>
                <w:color w:val="000000" w:themeColor="text1"/>
                <w:kern w:val="0"/>
                <w:sz w:val="21"/>
                <w:szCs w:val="21"/>
                <w:highlight w:val="none"/>
                <w14:textFill>
                  <w14:solidFill>
                    <w14:schemeClr w14:val="tx1"/>
                  </w14:solidFill>
                </w14:textFill>
              </w:rPr>
            </w:pPr>
          </w:p>
        </w:tc>
      </w:tr>
    </w:tbl>
    <w:p w14:paraId="44326297">
      <w:pPr>
        <w:pStyle w:val="7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48243121">
      <w:pPr>
        <w:pStyle w:val="7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2"/>
          <w:szCs w:val="22"/>
          <w:highlight w:val="none"/>
          <w14:textFill>
            <w14:solidFill>
              <w14:schemeClr w14:val="tx1"/>
            </w14:solidFill>
          </w14:textFill>
        </w:rPr>
        <w:t>注：所有违约金均从中标人的进度款中扣除，最终结算以扣除违约金总数后的金额为准。</w:t>
      </w:r>
    </w:p>
    <w:p w14:paraId="4F109FDC">
      <w:pPr>
        <w:pStyle w:val="38"/>
        <w:spacing w:line="400" w:lineRule="exact"/>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0BE4A8C5">
      <w:pPr>
        <w:pStyle w:val="11"/>
        <w:wordWrap w:val="0"/>
        <w:adjustRightInd w:val="0"/>
        <w:snapToGrid w:val="0"/>
        <w:spacing w:line="420" w:lineRule="exact"/>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（盖单位章）</w:t>
      </w:r>
    </w:p>
    <w:p w14:paraId="6DF638EC">
      <w:pPr>
        <w:pStyle w:val="11"/>
        <w:wordWrap w:val="0"/>
        <w:adjustRightInd w:val="0"/>
        <w:snapToGrid w:val="0"/>
        <w:spacing w:line="420" w:lineRule="exact"/>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275CDFC8">
      <w:pPr>
        <w:pStyle w:val="11"/>
        <w:wordWrap w:val="0"/>
        <w:adjustRightInd w:val="0"/>
        <w:snapToGrid w:val="0"/>
        <w:spacing w:line="420" w:lineRule="exact"/>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法定代表人或其委托代理人：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（签字或盖章）</w:t>
      </w:r>
    </w:p>
    <w:p w14:paraId="7E57DB37">
      <w:pPr>
        <w:pStyle w:val="11"/>
        <w:wordWrap w:val="0"/>
        <w:adjustRightInd w:val="0"/>
        <w:snapToGrid w:val="0"/>
        <w:spacing w:line="420" w:lineRule="exact"/>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p>
    <w:p w14:paraId="33C04A25">
      <w:pPr>
        <w:widowControl/>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p>
    <w:p w14:paraId="6A141A49">
      <w:pPr>
        <w:widowControl/>
        <w:jc w:val="both"/>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br w:type="page"/>
      </w:r>
    </w:p>
    <w:p w14:paraId="4B19F682">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74" w:name="_Toc10516"/>
      <w:bookmarkStart w:id="575" w:name="_Toc30764"/>
      <w:bookmarkStart w:id="576" w:name="_Toc10981"/>
      <w:bookmarkStart w:id="577" w:name="_Toc24868"/>
      <w:bookmarkStart w:id="578" w:name="_Toc6896"/>
      <w:bookmarkStart w:id="579" w:name="_Toc30463"/>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格式四 授权委托书</w:t>
      </w:r>
      <w:bookmarkEnd w:id="574"/>
      <w:bookmarkEnd w:id="575"/>
      <w:bookmarkEnd w:id="576"/>
      <w:bookmarkEnd w:id="577"/>
      <w:bookmarkEnd w:id="578"/>
      <w:bookmarkEnd w:id="579"/>
    </w:p>
    <w:p w14:paraId="3ADCFDEF">
      <w:pPr>
        <w:wordWrap w:val="0"/>
        <w:adjustRightInd w:val="0"/>
        <w:snapToGrid w:val="0"/>
        <w:spacing w:line="440" w:lineRule="exact"/>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p>
    <w:p w14:paraId="34CFB3DC">
      <w:pPr>
        <w:wordWrap w:val="0"/>
        <w:adjustRightInd w:val="0"/>
        <w:snapToGrid w:val="0"/>
        <w:spacing w:before="260" w:after="260" w:line="44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授权委托书</w:t>
      </w:r>
    </w:p>
    <w:p w14:paraId="78AFEB40">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17103A9E">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本人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（姓名）系</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（投标人名称）的法定代表人，现委托</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（姓名）为我方代理人。代理人根据授权，以我方名义签署、澄清、说明、补正、递交、撤回、修改</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（项目名称）投标文件、签订合同和处理有关事宜，其法律后果由我方承担。</w:t>
      </w:r>
    </w:p>
    <w:p w14:paraId="35025E88">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委托期限：至</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年   月   日</w:t>
      </w:r>
      <w:r>
        <w:rPr>
          <w:rFonts w:hint="eastAsia" w:asciiTheme="minorEastAsia" w:hAnsiTheme="minorEastAsia" w:eastAsiaTheme="minorEastAsia" w:cstheme="minorEastAsia"/>
          <w:i/>
          <w:iCs/>
          <w:snapToGrid w:val="0"/>
          <w:color w:val="000000" w:themeColor="text1"/>
          <w:kern w:val="0"/>
          <w:szCs w:val="24"/>
          <w:highlight w:val="none"/>
          <w:u w:val="single"/>
          <w14:textFill>
            <w14:solidFill>
              <w14:schemeClr w14:val="tx1"/>
            </w14:solidFill>
          </w14:textFill>
        </w:rPr>
        <w:t>（不得短于招标文件规定的投标有效期）</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p>
    <w:p w14:paraId="388E33EC">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代理人无转委托权。</w:t>
      </w:r>
    </w:p>
    <w:p w14:paraId="4790C8F1">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48F8D5A">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79CDA10">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  标  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（盖单位章）</w:t>
      </w:r>
    </w:p>
    <w:p w14:paraId="47178EF4">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4910192">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法定代表人：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（签字或盖章）</w:t>
      </w:r>
    </w:p>
    <w:p w14:paraId="3731AF0B">
      <w:pPr>
        <w:wordWrap w:val="0"/>
        <w:adjustRightInd w:val="0"/>
        <w:snapToGrid w:val="0"/>
        <w:spacing w:line="440" w:lineRule="exact"/>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1F477B2B">
      <w:pPr>
        <w:wordWrap w:val="0"/>
        <w:adjustRightInd w:val="0"/>
        <w:snapToGrid w:val="0"/>
        <w:spacing w:line="480" w:lineRule="auto"/>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委托代理人：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（签字或盖章）</w:t>
      </w:r>
    </w:p>
    <w:p w14:paraId="639A250B">
      <w:pPr>
        <w:wordWrap w:val="0"/>
        <w:adjustRightInd w:val="0"/>
        <w:snapToGrid w:val="0"/>
        <w:spacing w:line="480" w:lineRule="auto"/>
        <w:ind w:firstLine="480" w:firstLineChars="200"/>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日</w:t>
      </w:r>
    </w:p>
    <w:p w14:paraId="45F4FEDC">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6B3334F8">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1466850</wp:posOffset>
                </wp:positionH>
                <wp:positionV relativeFrom="paragraph">
                  <wp:posOffset>139700</wp:posOffset>
                </wp:positionV>
                <wp:extent cx="319087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212300E">
                            <w:pPr>
                              <w:jc w:val="center"/>
                              <w:rPr>
                                <w:rFonts w:hint="default"/>
                                <w:szCs w:val="21"/>
                              </w:rPr>
                            </w:pPr>
                          </w:p>
                          <w:p w14:paraId="392B6583">
                            <w:pPr>
                              <w:jc w:val="center"/>
                              <w:rPr>
                                <w:rFonts w:hint="default"/>
                                <w:szCs w:val="21"/>
                              </w:rPr>
                            </w:pPr>
                          </w:p>
                          <w:p w14:paraId="3A12F76C">
                            <w:pPr>
                              <w:jc w:val="center"/>
                              <w:rPr>
                                <w:rFonts w:hint="default"/>
                                <w:szCs w:val="21"/>
                              </w:rPr>
                            </w:pPr>
                          </w:p>
                          <w:p w14:paraId="76520C7F">
                            <w:pPr>
                              <w:jc w:val="center"/>
                              <w:rPr>
                                <w:rFonts w:hint="eastAsia" w:ascii="宋体" w:hAnsi="宋体" w:eastAsia="宋体" w:cs="宋体"/>
                                <w:szCs w:val="21"/>
                              </w:rPr>
                            </w:pPr>
                            <w:r>
                              <w:rPr>
                                <w:rFonts w:hint="eastAsia" w:ascii="宋体" w:hAnsi="宋体" w:eastAsia="宋体" w:cs="宋体"/>
                                <w:szCs w:val="21"/>
                              </w:rPr>
                              <w:t>委托代理人身份证彩色扫描件正、反面</w:t>
                            </w:r>
                          </w:p>
                        </w:txbxContent>
                      </wps:txbx>
                      <wps:bodyPr wrap="square" upright="1"/>
                    </wps:wsp>
                  </a:graphicData>
                </a:graphic>
              </wp:anchor>
            </w:drawing>
          </mc:Choice>
          <mc:Fallback>
            <w:pict>
              <v:shape id="_x0000_s1026" o:spid="_x0000_s1026" o:spt="176" type="#_x0000_t176" style="position:absolute;left:0pt;margin-left:115.5pt;margin-top:11pt;height:124.75pt;width:251.25pt;z-index:251663360;mso-width-relative:page;mso-height-relative:page;" fillcolor="#FFFFFF" filled="t" stroked="t" coordsize="21600,21600" o:gfxdata="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H2VounXAAAACgEAAA8AAAAAAAAAAQAgAAAAIgAAAGRycy9kb3du&#10;cmV2LnhtbFBLAQIUABQAAAAIAIdO4kCx9llbOQIAAG4EAAAOAAAAAAAAAAEAIAAAACYBAABkcnMv&#10;ZTJvRG9jLnhtbFBLBQYAAAAABgAGAFkBAADRBQAAAAA=&#10;">
                <v:fill on="t" focussize="0,0"/>
                <v:stroke color="#000000" joinstyle="miter"/>
                <v:imagedata o:title=""/>
                <o:lock v:ext="edit" aspectratio="f"/>
                <v:textbox>
                  <w:txbxContent>
                    <w:p w14:paraId="6212300E">
                      <w:pPr>
                        <w:jc w:val="center"/>
                        <w:rPr>
                          <w:rFonts w:hint="default"/>
                          <w:szCs w:val="21"/>
                        </w:rPr>
                      </w:pPr>
                    </w:p>
                    <w:p w14:paraId="392B6583">
                      <w:pPr>
                        <w:jc w:val="center"/>
                        <w:rPr>
                          <w:rFonts w:hint="default"/>
                          <w:szCs w:val="21"/>
                        </w:rPr>
                      </w:pPr>
                    </w:p>
                    <w:p w14:paraId="3A12F76C">
                      <w:pPr>
                        <w:jc w:val="center"/>
                        <w:rPr>
                          <w:rFonts w:hint="default"/>
                          <w:szCs w:val="21"/>
                        </w:rPr>
                      </w:pPr>
                    </w:p>
                    <w:p w14:paraId="76520C7F">
                      <w:pPr>
                        <w:jc w:val="center"/>
                        <w:rPr>
                          <w:rFonts w:hint="eastAsia" w:ascii="宋体" w:hAnsi="宋体" w:eastAsia="宋体" w:cs="宋体"/>
                          <w:szCs w:val="21"/>
                        </w:rPr>
                      </w:pPr>
                      <w:r>
                        <w:rPr>
                          <w:rFonts w:hint="eastAsia" w:ascii="宋体" w:hAnsi="宋体" w:eastAsia="宋体" w:cs="宋体"/>
                          <w:szCs w:val="21"/>
                        </w:rPr>
                        <w:t>委托代理人身份证彩色扫描件正、反面</w:t>
                      </w:r>
                    </w:p>
                  </w:txbxContent>
                </v:textbox>
              </v:shape>
            </w:pict>
          </mc:Fallback>
        </mc:AlternateContent>
      </w:r>
    </w:p>
    <w:p w14:paraId="1D0E79FE">
      <w:pPr>
        <w:outlineLvl w:val="9"/>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474923E0">
      <w:pP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36F0DC3">
      <w:pPr>
        <w:outlineLvl w:val="9"/>
        <w:rPr>
          <w:rFonts w:hint="eastAsia"/>
          <w:color w:val="000000" w:themeColor="text1"/>
          <w:highlight w:val="none"/>
          <w14:textFill>
            <w14:solidFill>
              <w14:schemeClr w14:val="tx1"/>
            </w14:solidFill>
          </w14:textFill>
        </w:rPr>
      </w:pPr>
    </w:p>
    <w:p w14:paraId="322DA218">
      <w:pPr>
        <w:wordWrap w:val="0"/>
        <w:adjustRightInd w:val="0"/>
        <w:snapToGrid w:val="0"/>
        <w:spacing w:line="44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21CDB063">
      <w:pPr>
        <w:wordWrap w:val="0"/>
        <w:adjustRightInd w:val="0"/>
        <w:snapToGrid w:val="0"/>
        <w:ind w:firstLine="5520" w:firstLineChars="23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435F828D">
      <w:pPr>
        <w:pStyle w:val="8"/>
        <w:wordWrap w:val="0"/>
        <w:adjustRightInd w:val="0"/>
        <w:snapToGrid w:val="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5D3AFF63">
      <w:pPr>
        <w:pStyle w:val="8"/>
        <w:wordWrap w:val="0"/>
        <w:adjustRightInd w:val="0"/>
        <w:snapToGrid w:val="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4A72F4A7">
      <w:pP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41C4AFC9">
      <w:pPr>
        <w:wordWrap w:val="0"/>
        <w:adjustRightInd w:val="0"/>
        <w:snapToGrid w:val="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sectPr>
          <w:headerReference r:id="rId6" w:type="default"/>
          <w:footerReference r:id="rId7" w:type="default"/>
          <w:endnotePr>
            <w:numFmt w:val="decimal"/>
          </w:endnotePr>
          <w:pgSz w:w="11906" w:h="16838"/>
          <w:pgMar w:top="1701" w:right="1531" w:bottom="1417" w:left="1531" w:header="850" w:footer="737" w:gutter="0"/>
          <w:pgNumType w:fmt="decimal"/>
          <w:cols w:space="720" w:num="1"/>
          <w:docGrid w:linePitch="327" w:charSpace="0"/>
        </w:sectPr>
      </w:pPr>
    </w:p>
    <w:p w14:paraId="3FD84A81">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80" w:name="_Toc24677"/>
      <w:bookmarkStart w:id="581" w:name="_Toc12031"/>
      <w:bookmarkStart w:id="582" w:name="_Toc11174"/>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格式五 法定代表人身份证明</w:t>
      </w:r>
      <w:bookmarkEnd w:id="580"/>
      <w:bookmarkEnd w:id="581"/>
      <w:bookmarkEnd w:id="582"/>
    </w:p>
    <w:p w14:paraId="4516AF38">
      <w:pPr>
        <w:wordWrap w:val="0"/>
        <w:adjustRightInd w:val="0"/>
        <w:snapToGrid w:val="0"/>
        <w:spacing w:line="440" w:lineRule="exact"/>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p>
    <w:p w14:paraId="450DC350">
      <w:pPr>
        <w:wordWrap w:val="0"/>
        <w:adjustRightInd w:val="0"/>
        <w:snapToGrid w:val="0"/>
        <w:spacing w:before="260" w:after="260" w:line="44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法定代表人身份证明</w:t>
      </w:r>
    </w:p>
    <w:p w14:paraId="28098091">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3E481A1">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投标人名称：</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p>
    <w:p w14:paraId="47A92B05">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姓名：</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性别：</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年龄：</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职务：</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p>
    <w:p w14:paraId="7119E739">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系</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（投标人名称）的法定代表人。</w:t>
      </w:r>
    </w:p>
    <w:p w14:paraId="67B43677">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特此证明。</w:t>
      </w:r>
    </w:p>
    <w:p w14:paraId="414C0FFF">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4B7156C0">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16BC1EBC">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（盖单位章）</w:t>
      </w:r>
    </w:p>
    <w:p w14:paraId="13245FAD">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2C82B7B">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5640E0DA">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法定代表人：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（签字或盖章）</w:t>
      </w:r>
    </w:p>
    <w:p w14:paraId="1A9F4A29">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75875AC">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日       </w:t>
      </w:r>
    </w:p>
    <w:p w14:paraId="3E7BE46F">
      <w:pPr>
        <w:wordWrap w:val="0"/>
        <w:adjustRightInd w:val="0"/>
        <w:snapToGrid w:val="0"/>
        <w:spacing w:line="440" w:lineRule="exact"/>
        <w:ind w:firstLine="720" w:firstLineChars="300"/>
        <w:rPr>
          <w:rFonts w:hint="eastAsia" w:asciiTheme="minorEastAsia" w:hAnsiTheme="minorEastAsia" w:eastAsiaTheme="minorEastAsia" w:cstheme="minorEastAsia"/>
          <w:i/>
          <w:iCs/>
          <w:snapToGrid w:val="0"/>
          <w:color w:val="000000" w:themeColor="text1"/>
          <w:kern w:val="0"/>
          <w:szCs w:val="24"/>
          <w:highlight w:val="none"/>
          <w14:textFill>
            <w14:solidFill>
              <w14:schemeClr w14:val="tx1"/>
            </w14:solidFill>
          </w14:textFill>
        </w:rPr>
      </w:pPr>
    </w:p>
    <w:p w14:paraId="23E4B240">
      <w:pPr>
        <w:wordWrap w:val="0"/>
        <w:adjustRightInd w:val="0"/>
        <w:snapToGrid w:val="0"/>
        <w:spacing w:line="440" w:lineRule="exact"/>
        <w:ind w:firstLine="720" w:firstLineChars="300"/>
        <w:rPr>
          <w:rFonts w:hint="eastAsia" w:asciiTheme="minorEastAsia" w:hAnsiTheme="minorEastAsia" w:eastAsiaTheme="minorEastAsia" w:cstheme="minorEastAsia"/>
          <w:i/>
          <w:iCs/>
          <w:snapToGrid w:val="0"/>
          <w:color w:val="000000" w:themeColor="text1"/>
          <w:kern w:val="0"/>
          <w:szCs w:val="24"/>
          <w:highlight w:val="none"/>
          <w14:textFill>
            <w14:solidFill>
              <w14:schemeClr w14:val="tx1"/>
            </w14:solidFill>
          </w14:textFill>
        </w:rPr>
      </w:pPr>
    </w:p>
    <w:p w14:paraId="659C4946">
      <w:pPr>
        <w:wordWrap w:val="0"/>
        <w:adjustRightInd w:val="0"/>
        <w:snapToGrid w:val="0"/>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9" name="流程图: 可选过程 9"/>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0EDDE0C">
                            <w:pPr>
                              <w:jc w:val="center"/>
                              <w:rPr>
                                <w:rFonts w:hint="default"/>
                                <w:szCs w:val="21"/>
                              </w:rPr>
                            </w:pPr>
                          </w:p>
                          <w:p w14:paraId="68574360">
                            <w:pPr>
                              <w:jc w:val="center"/>
                              <w:rPr>
                                <w:rFonts w:hint="default"/>
                                <w:szCs w:val="21"/>
                              </w:rPr>
                            </w:pPr>
                          </w:p>
                          <w:p w14:paraId="4719C687">
                            <w:pPr>
                              <w:jc w:val="center"/>
                              <w:rPr>
                                <w:rFonts w:hint="default"/>
                                <w:szCs w:val="21"/>
                              </w:rPr>
                            </w:pPr>
                          </w:p>
                          <w:p w14:paraId="07B3FA8F">
                            <w:pPr>
                              <w:jc w:val="center"/>
                              <w:rPr>
                                <w:rFonts w:hint="eastAsia" w:ascii="宋体" w:hAnsi="宋体" w:eastAsia="宋体" w:cs="宋体"/>
                                <w:szCs w:val="21"/>
                              </w:rPr>
                            </w:pPr>
                            <w:r>
                              <w:rPr>
                                <w:rFonts w:hint="eastAsia" w:ascii="宋体" w:hAnsi="宋体" w:eastAsia="宋体" w:cs="宋体"/>
                                <w:szCs w:val="21"/>
                              </w:rPr>
                              <w:t>法定代表人身份证彩色扫描件正、反面</w:t>
                            </w:r>
                          </w:p>
                        </w:txbxContent>
                      </wps:txbx>
                      <wps:bodyPr wrap="square" upright="1"/>
                    </wps:wsp>
                  </a:graphicData>
                </a:graphic>
              </wp:anchor>
            </w:drawing>
          </mc:Choice>
          <mc:Fallback>
            <w:pict>
              <v:shape id="_x0000_s1026" o:spid="_x0000_s1026" o:spt="176" type="#_x0000_t176" style="position:absolute;left:0pt;margin-left:127.5pt;margin-top:1.6pt;height:124.75pt;width:222.45pt;z-index:251662336;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hXUptgAAAAJAQAADwAAAAAAAAABACAAAAAiAAAAZHJzL2Rvd25y&#10;ZXYueG1sUEsBAhQAFAAAAAgAh07iQEz7asY3AgAAbAQAAA4AAAAAAAAAAQAgAAAAJwEAAGRycy9l&#10;Mm9Eb2MueG1sUEsFBgAAAAAGAAYAWQEAANAFAAAAAA==&#10;">
                <v:fill on="t" focussize="0,0"/>
                <v:stroke color="#000000" joinstyle="miter"/>
                <v:imagedata o:title=""/>
                <o:lock v:ext="edit" aspectratio="f"/>
                <v:textbox>
                  <w:txbxContent>
                    <w:p w14:paraId="30EDDE0C">
                      <w:pPr>
                        <w:jc w:val="center"/>
                        <w:rPr>
                          <w:rFonts w:hint="default"/>
                          <w:szCs w:val="21"/>
                        </w:rPr>
                      </w:pPr>
                    </w:p>
                    <w:p w14:paraId="68574360">
                      <w:pPr>
                        <w:jc w:val="center"/>
                        <w:rPr>
                          <w:rFonts w:hint="default"/>
                          <w:szCs w:val="21"/>
                        </w:rPr>
                      </w:pPr>
                    </w:p>
                    <w:p w14:paraId="4719C687">
                      <w:pPr>
                        <w:jc w:val="center"/>
                        <w:rPr>
                          <w:rFonts w:hint="default"/>
                          <w:szCs w:val="21"/>
                        </w:rPr>
                      </w:pPr>
                    </w:p>
                    <w:p w14:paraId="07B3FA8F">
                      <w:pPr>
                        <w:jc w:val="center"/>
                        <w:rPr>
                          <w:rFonts w:hint="eastAsia" w:ascii="宋体" w:hAnsi="宋体" w:eastAsia="宋体" w:cs="宋体"/>
                          <w:szCs w:val="21"/>
                        </w:rPr>
                      </w:pPr>
                      <w:r>
                        <w:rPr>
                          <w:rFonts w:hint="eastAsia" w:ascii="宋体" w:hAnsi="宋体" w:eastAsia="宋体" w:cs="宋体"/>
                          <w:szCs w:val="21"/>
                        </w:rPr>
                        <w:t>法定代表人身份证彩色扫描件正、反面</w:t>
                      </w:r>
                    </w:p>
                  </w:txbxContent>
                </v:textbox>
              </v:shape>
            </w:pict>
          </mc:Fallback>
        </mc:AlternateContent>
      </w:r>
    </w:p>
    <w:p w14:paraId="2E318E0B">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70C26697">
      <w:pPr>
        <w:outlineLvl w:val="9"/>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1B9B0041">
      <w:pP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604393EB">
      <w:pPr>
        <w:outlineLvl w:val="9"/>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7921C77D">
      <w:pPr>
        <w:rPr>
          <w:rFonts w:hint="eastAsia"/>
          <w:color w:val="000000" w:themeColor="text1"/>
          <w:highlight w:val="none"/>
          <w14:textFill>
            <w14:solidFill>
              <w14:schemeClr w14:val="tx1"/>
            </w14:solidFill>
          </w14:textFill>
        </w:rPr>
      </w:pPr>
    </w:p>
    <w:p w14:paraId="305BD005">
      <w:pPr>
        <w:outlineLvl w:val="9"/>
        <w:rPr>
          <w:rFonts w:hint="eastAsia"/>
          <w:color w:val="000000" w:themeColor="text1"/>
          <w:highlight w:val="none"/>
          <w14:textFill>
            <w14:solidFill>
              <w14:schemeClr w14:val="tx1"/>
            </w14:solidFill>
          </w14:textFill>
        </w:rPr>
      </w:pPr>
    </w:p>
    <w:p w14:paraId="0A652531">
      <w:pPr>
        <w:wordWrap w:val="0"/>
        <w:adjustRightInd w:val="0"/>
        <w:snapToGrid w:val="0"/>
        <w:spacing w:line="48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p>
    <w:p w14:paraId="633E6118">
      <w:pPr>
        <w:wordWrap w:val="0"/>
        <w:adjustRightInd w:val="0"/>
        <w:snapToGrid w:val="0"/>
        <w:spacing w:line="48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p>
    <w:p w14:paraId="5CEC2D37">
      <w:pPr>
        <w:wordWrap w:val="0"/>
        <w:adjustRightInd w:val="0"/>
        <w:snapToGrid w:val="0"/>
        <w:spacing w:line="48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sectPr>
          <w:endnotePr>
            <w:numFmt w:val="decimal"/>
          </w:endnotePr>
          <w:pgSz w:w="11906" w:h="16838"/>
          <w:pgMar w:top="1701" w:right="1531" w:bottom="1417" w:left="1531" w:header="850" w:footer="992" w:gutter="0"/>
          <w:pgNumType w:fmt="decimal"/>
          <w:cols w:space="720" w:num="1"/>
          <w:docGrid w:linePitch="327" w:charSpace="0"/>
        </w:sectPr>
      </w:pPr>
    </w:p>
    <w:p w14:paraId="06BC645D">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83" w:name="_Toc26875"/>
      <w:bookmarkStart w:id="584" w:name="_Toc2580"/>
      <w:bookmarkStart w:id="585" w:name="_Toc30665"/>
      <w:bookmarkStart w:id="586" w:name="_Toc16430"/>
      <w:bookmarkStart w:id="587" w:name="_Toc26395"/>
      <w:bookmarkStart w:id="588" w:name="_Toc31679"/>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格式六 联合体协议书</w:t>
      </w:r>
      <w:bookmarkEnd w:id="583"/>
      <w:bookmarkEnd w:id="584"/>
      <w:bookmarkEnd w:id="585"/>
      <w:bookmarkEnd w:id="586"/>
      <w:bookmarkEnd w:id="587"/>
      <w:bookmarkEnd w:id="588"/>
    </w:p>
    <w:p w14:paraId="1E169E49">
      <w:pPr>
        <w:pStyle w:val="48"/>
        <w:widowControl w:val="0"/>
        <w:wordWrap w:val="0"/>
        <w:adjustRightInd w:val="0"/>
        <w:snapToGrid w:val="0"/>
        <w:spacing w:before="240" w:after="240" w:line="440" w:lineRule="exact"/>
        <w:ind w:firstLine="0"/>
        <w:jc w:val="cente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t>联合体协议书</w:t>
      </w:r>
    </w:p>
    <w:p w14:paraId="48A14098">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4B559640">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5FAA8F32">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牵头人名称：</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7FCF3D52">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法定代表人：</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7468D4F1">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法定住所：</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39290C7A">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564B1A82">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成员二名称：</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614174E7">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法定代表人：</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660DA1A9">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法定住所：</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p>
    <w:p w14:paraId="32D7A4E0">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4CC9F319">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07BD02E7">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w:t>
      </w:r>
    </w:p>
    <w:p w14:paraId="44FA1284">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上述各成员单位经过友好协商，自愿组成联合体，共同参加</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（项目名称）（以下简称“本项目”）的投标并争取赢得本项目勘察设计、施工总承包合同（以下简称合同）。现就联合体投标事宜订立如下协议：</w:t>
      </w:r>
    </w:p>
    <w:p w14:paraId="719956F5">
      <w:pPr>
        <w:pStyle w:val="48"/>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1．</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（某成员单位名称）为联合体牵头人。</w:t>
      </w:r>
    </w:p>
    <w:p w14:paraId="437C48FA">
      <w:pPr>
        <w:pStyle w:val="48"/>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506AF19F">
      <w:pPr>
        <w:pStyle w:val="48"/>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相关责任。</w:t>
      </w:r>
    </w:p>
    <w:p w14:paraId="682E636A">
      <w:pPr>
        <w:pStyle w:val="48"/>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4．联合体各成员单位内部的职责分工如下：</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w:t>
      </w:r>
    </w:p>
    <w:p w14:paraId="1F0E38FD">
      <w:pPr>
        <w:pStyle w:val="48"/>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5．投标工作和联合体在中标后工程实施过程中的有关费用按各自承担的工作量分摊。</w:t>
      </w:r>
    </w:p>
    <w:p w14:paraId="4AF650F6">
      <w:pPr>
        <w:pStyle w:val="48"/>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6．联合体中标后，本联合体协议是合同的附件，对联合体各成员单位有合同约束力。</w:t>
      </w:r>
    </w:p>
    <w:p w14:paraId="3904DBFB">
      <w:pPr>
        <w:pStyle w:val="48"/>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7．本协议书自签署之日起生效，联合体未中标或者中标时合同履行完毕后自动失效。</w:t>
      </w:r>
    </w:p>
    <w:p w14:paraId="4F0D01DD">
      <w:pPr>
        <w:pStyle w:val="48"/>
        <w:widowControl w:val="0"/>
        <w:wordWrap w:val="0"/>
        <w:adjustRightInd w:val="0"/>
        <w:snapToGrid w:val="0"/>
        <w:spacing w:line="440" w:lineRule="exact"/>
        <w:ind w:firstLine="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8．本协议书一式</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份，联合体成员和招标人各执一份。</w:t>
      </w:r>
    </w:p>
    <w:p w14:paraId="6B5D6CF6">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3EEB2D15">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23A4F23C">
      <w:pPr>
        <w:pStyle w:val="48"/>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牵头人名称：</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（盖单位章）</w:t>
      </w:r>
    </w:p>
    <w:p w14:paraId="5678A31B">
      <w:pPr>
        <w:pStyle w:val="48"/>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w:t>
      </w:r>
    </w:p>
    <w:p w14:paraId="75EE1DF6">
      <w:pPr>
        <w:pStyle w:val="48"/>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法定代表人或其委托代理人：</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（签字或盖章）</w:t>
      </w:r>
    </w:p>
    <w:p w14:paraId="698C4154">
      <w:pPr>
        <w:pStyle w:val="48"/>
        <w:widowControl w:val="0"/>
        <w:wordWrap w:val="0"/>
        <w:adjustRightInd w:val="0"/>
        <w:snapToGrid w:val="0"/>
        <w:spacing w:line="440" w:lineRule="exact"/>
        <w:ind w:firstLine="0"/>
        <w:jc w:val="both"/>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5475F658">
      <w:pPr>
        <w:pStyle w:val="48"/>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成员二名称：</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（盖单位章）</w:t>
      </w:r>
    </w:p>
    <w:p w14:paraId="3D484E5F">
      <w:pPr>
        <w:pStyle w:val="48"/>
        <w:widowControl w:val="0"/>
        <w:wordWrap w:val="0"/>
        <w:adjustRightInd w:val="0"/>
        <w:snapToGrid w:val="0"/>
        <w:spacing w:line="440" w:lineRule="exact"/>
        <w:ind w:firstLine="0"/>
        <w:jc w:val="both"/>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384A654B">
      <w:pPr>
        <w:pStyle w:val="48"/>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法定代表人或其委托代理人：</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（签字或盖章）</w:t>
      </w:r>
    </w:p>
    <w:p w14:paraId="533ECC54">
      <w:pPr>
        <w:pStyle w:val="48"/>
        <w:widowControl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3A01DDEF">
      <w:pPr>
        <w:pStyle w:val="48"/>
        <w:widowControl w:val="0"/>
        <w:wordWrap w:val="0"/>
        <w:adjustRightInd w:val="0"/>
        <w:snapToGrid w:val="0"/>
        <w:spacing w:line="440" w:lineRule="exact"/>
        <w:ind w:firstLine="3840" w:firstLineChars="1600"/>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 xml:space="preserve"> ……</w:t>
      </w:r>
    </w:p>
    <w:p w14:paraId="3E94A3B6">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61178B74">
      <w:pPr>
        <w:pStyle w:val="48"/>
        <w:widowControl w:val="0"/>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highlight w:val="none"/>
          <w:u w:val="single"/>
          <w:lang w:eastAsia="zh-CN"/>
          <w14:textFill>
            <w14:solidFill>
              <w14:schemeClr w14:val="tx1"/>
            </w14:solidFill>
          </w14:textFill>
        </w:rPr>
        <w:t>日</w:t>
      </w:r>
    </w:p>
    <w:p w14:paraId="114BFA46">
      <w:pPr>
        <w:pStyle w:val="48"/>
        <w:widowControl w:val="0"/>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79F84F11">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4712C5B5">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7503721D">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25E89DE6">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t>说明：《联合体协议书》由委托代理人签字或盖章的，应附法定代表人签字或盖章的授权委托书。</w:t>
      </w:r>
    </w:p>
    <w:p w14:paraId="28AAA5DA">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p>
    <w:p w14:paraId="24B66360">
      <w:pPr>
        <w:pStyle w:val="48"/>
        <w:widowControl w:val="0"/>
        <w:wordWrap w:val="0"/>
        <w:adjustRightInd w:val="0"/>
        <w:snapToGrid w:val="0"/>
        <w:spacing w:line="440" w:lineRule="exact"/>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sectPr>
          <w:endnotePr>
            <w:numFmt w:val="decimal"/>
          </w:endnotePr>
          <w:pgSz w:w="11906" w:h="16838"/>
          <w:pgMar w:top="1701" w:right="1531" w:bottom="1417" w:left="1531" w:header="850" w:footer="992" w:gutter="0"/>
          <w:pgNumType w:fmt="decimal"/>
          <w:cols w:space="720" w:num="1"/>
          <w:docGrid w:linePitch="327" w:charSpace="0"/>
        </w:sectPr>
      </w:pPr>
    </w:p>
    <w:p w14:paraId="4F4448E0">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89" w:name="_Toc31264"/>
      <w:bookmarkStart w:id="590" w:name="_Toc13130"/>
      <w:bookmarkStart w:id="591" w:name="_Toc3031"/>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格式七 投标人基本情况表</w:t>
      </w:r>
      <w:bookmarkEnd w:id="589"/>
      <w:bookmarkEnd w:id="590"/>
      <w:bookmarkEnd w:id="591"/>
    </w:p>
    <w:p w14:paraId="244162F3">
      <w:pPr>
        <w:pStyle w:val="48"/>
        <w:widowControl w:val="0"/>
        <w:wordWrap w:val="0"/>
        <w:adjustRightInd w:val="0"/>
        <w:snapToGrid w:val="0"/>
        <w:spacing w:before="260" w:after="260" w:line="400" w:lineRule="exact"/>
        <w:ind w:firstLine="0"/>
        <w:jc w:val="center"/>
        <w:rPr>
          <w:rFonts w:hint="eastAsia" w:asciiTheme="minorEastAsia" w:hAnsiTheme="minorEastAsia" w:eastAsiaTheme="minorEastAsia" w:cstheme="minorEastAsia"/>
          <w:snapToGrid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sz w:val="24"/>
          <w:szCs w:val="24"/>
          <w:highlight w:val="none"/>
          <w14:textFill>
            <w14:solidFill>
              <w14:schemeClr w14:val="tx1"/>
            </w14:solidFill>
          </w14:textFill>
        </w:rPr>
        <w:t>投标人基本情况表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541"/>
        <w:gridCol w:w="1140"/>
        <w:gridCol w:w="833"/>
        <w:gridCol w:w="460"/>
        <w:gridCol w:w="832"/>
        <w:gridCol w:w="269"/>
        <w:gridCol w:w="735"/>
        <w:gridCol w:w="1470"/>
      </w:tblGrid>
      <w:tr w14:paraId="13AF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17031DA0">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投标人名称</w:t>
            </w:r>
          </w:p>
        </w:tc>
        <w:tc>
          <w:tcPr>
            <w:tcW w:w="7280" w:type="dxa"/>
            <w:gridSpan w:val="8"/>
            <w:noWrap/>
            <w:vAlign w:val="center"/>
          </w:tcPr>
          <w:p w14:paraId="2922417B">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1ACB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60196E6A">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注册地址</w:t>
            </w:r>
          </w:p>
        </w:tc>
        <w:tc>
          <w:tcPr>
            <w:tcW w:w="3514" w:type="dxa"/>
            <w:gridSpan w:val="3"/>
            <w:noWrap/>
            <w:vAlign w:val="center"/>
          </w:tcPr>
          <w:p w14:paraId="2534C5BC">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2" w:type="dxa"/>
            <w:gridSpan w:val="2"/>
            <w:noWrap/>
            <w:vAlign w:val="center"/>
          </w:tcPr>
          <w:p w14:paraId="28151D48">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邮政编码</w:t>
            </w:r>
          </w:p>
        </w:tc>
        <w:tc>
          <w:tcPr>
            <w:tcW w:w="2474" w:type="dxa"/>
            <w:gridSpan w:val="3"/>
            <w:noWrap/>
            <w:vAlign w:val="center"/>
          </w:tcPr>
          <w:p w14:paraId="648CA5B4">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6A5A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vMerge w:val="restart"/>
            <w:noWrap/>
            <w:vAlign w:val="center"/>
          </w:tcPr>
          <w:p w14:paraId="77005BE7">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联系方式</w:t>
            </w:r>
          </w:p>
        </w:tc>
        <w:tc>
          <w:tcPr>
            <w:tcW w:w="1541" w:type="dxa"/>
            <w:noWrap/>
            <w:vAlign w:val="center"/>
          </w:tcPr>
          <w:p w14:paraId="6DA39D2A">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联系人</w:t>
            </w:r>
          </w:p>
        </w:tc>
        <w:tc>
          <w:tcPr>
            <w:tcW w:w="1973" w:type="dxa"/>
            <w:gridSpan w:val="2"/>
            <w:noWrap/>
            <w:vAlign w:val="center"/>
          </w:tcPr>
          <w:p w14:paraId="220FDAEB">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2" w:type="dxa"/>
            <w:gridSpan w:val="2"/>
            <w:noWrap/>
            <w:vAlign w:val="center"/>
          </w:tcPr>
          <w:p w14:paraId="3F88FF07">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电  话</w:t>
            </w:r>
          </w:p>
        </w:tc>
        <w:tc>
          <w:tcPr>
            <w:tcW w:w="2474" w:type="dxa"/>
            <w:gridSpan w:val="3"/>
            <w:noWrap/>
            <w:vAlign w:val="center"/>
          </w:tcPr>
          <w:p w14:paraId="78E42A51">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3A46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vMerge w:val="continue"/>
            <w:noWrap/>
            <w:vAlign w:val="center"/>
          </w:tcPr>
          <w:p w14:paraId="30DD40AE">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541" w:type="dxa"/>
            <w:noWrap/>
            <w:vAlign w:val="center"/>
          </w:tcPr>
          <w:p w14:paraId="2D42253D">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传  真</w:t>
            </w:r>
          </w:p>
        </w:tc>
        <w:tc>
          <w:tcPr>
            <w:tcW w:w="1973" w:type="dxa"/>
            <w:gridSpan w:val="2"/>
            <w:noWrap/>
            <w:vAlign w:val="center"/>
          </w:tcPr>
          <w:p w14:paraId="0A57192B">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2" w:type="dxa"/>
            <w:gridSpan w:val="2"/>
            <w:noWrap/>
            <w:vAlign w:val="center"/>
          </w:tcPr>
          <w:p w14:paraId="7D8EAB59">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电子邮箱</w:t>
            </w:r>
          </w:p>
        </w:tc>
        <w:tc>
          <w:tcPr>
            <w:tcW w:w="2474" w:type="dxa"/>
            <w:gridSpan w:val="3"/>
            <w:noWrap/>
            <w:vAlign w:val="center"/>
          </w:tcPr>
          <w:p w14:paraId="44C31D6F">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46A9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13BED66B">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单位性质</w:t>
            </w:r>
          </w:p>
        </w:tc>
        <w:tc>
          <w:tcPr>
            <w:tcW w:w="7280" w:type="dxa"/>
            <w:gridSpan w:val="8"/>
            <w:noWrap/>
            <w:vAlign w:val="center"/>
          </w:tcPr>
          <w:p w14:paraId="18E12F01">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54AA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35041117">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法定代表人</w:t>
            </w:r>
          </w:p>
        </w:tc>
        <w:tc>
          <w:tcPr>
            <w:tcW w:w="1541" w:type="dxa"/>
            <w:noWrap/>
            <w:vAlign w:val="center"/>
          </w:tcPr>
          <w:p w14:paraId="3C89A138">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姓名</w:t>
            </w:r>
          </w:p>
        </w:tc>
        <w:tc>
          <w:tcPr>
            <w:tcW w:w="1140" w:type="dxa"/>
            <w:noWrap/>
            <w:vAlign w:val="center"/>
          </w:tcPr>
          <w:p w14:paraId="692AF9CB">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3" w:type="dxa"/>
            <w:gridSpan w:val="2"/>
            <w:noWrap/>
            <w:vAlign w:val="center"/>
          </w:tcPr>
          <w:p w14:paraId="2074D5CA">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技术职称</w:t>
            </w:r>
          </w:p>
        </w:tc>
        <w:tc>
          <w:tcPr>
            <w:tcW w:w="1101" w:type="dxa"/>
            <w:gridSpan w:val="2"/>
            <w:noWrap/>
            <w:vAlign w:val="center"/>
          </w:tcPr>
          <w:p w14:paraId="5520AFAA">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735" w:type="dxa"/>
            <w:noWrap/>
            <w:vAlign w:val="center"/>
          </w:tcPr>
          <w:p w14:paraId="3E1A2552">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电话</w:t>
            </w:r>
          </w:p>
        </w:tc>
        <w:tc>
          <w:tcPr>
            <w:tcW w:w="1470" w:type="dxa"/>
            <w:noWrap/>
            <w:vAlign w:val="center"/>
          </w:tcPr>
          <w:p w14:paraId="46DEE77C">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5F28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03DF737B">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成立时间</w:t>
            </w:r>
          </w:p>
        </w:tc>
        <w:tc>
          <w:tcPr>
            <w:tcW w:w="2681" w:type="dxa"/>
            <w:gridSpan w:val="2"/>
            <w:noWrap/>
            <w:vAlign w:val="center"/>
          </w:tcPr>
          <w:p w14:paraId="5D1CC060">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4599" w:type="dxa"/>
            <w:gridSpan w:val="6"/>
            <w:noWrap/>
            <w:vAlign w:val="center"/>
          </w:tcPr>
          <w:p w14:paraId="547C094B">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员工总人数（个）：</w:t>
            </w:r>
          </w:p>
        </w:tc>
      </w:tr>
      <w:tr w14:paraId="360E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exact"/>
          <w:jc w:val="center"/>
        </w:trPr>
        <w:tc>
          <w:tcPr>
            <w:tcW w:w="1540" w:type="dxa"/>
            <w:noWrap/>
            <w:vAlign w:val="center"/>
          </w:tcPr>
          <w:p w14:paraId="43C9CD15">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企业资质</w:t>
            </w:r>
          </w:p>
          <w:p w14:paraId="2DA599A3">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类型和等级</w:t>
            </w:r>
          </w:p>
        </w:tc>
        <w:tc>
          <w:tcPr>
            <w:tcW w:w="2681" w:type="dxa"/>
            <w:gridSpan w:val="2"/>
            <w:noWrap/>
            <w:vAlign w:val="center"/>
          </w:tcPr>
          <w:p w14:paraId="435587D3">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3" w:type="dxa"/>
            <w:gridSpan w:val="2"/>
            <w:vMerge w:val="restart"/>
            <w:noWrap/>
            <w:vAlign w:val="center"/>
          </w:tcPr>
          <w:p w14:paraId="64161980">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其中</w:t>
            </w:r>
          </w:p>
        </w:tc>
        <w:tc>
          <w:tcPr>
            <w:tcW w:w="1836" w:type="dxa"/>
            <w:gridSpan w:val="3"/>
            <w:noWrap/>
            <w:vAlign w:val="center"/>
          </w:tcPr>
          <w:p w14:paraId="1585BAA8">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项目经理</w:t>
            </w:r>
          </w:p>
        </w:tc>
        <w:tc>
          <w:tcPr>
            <w:tcW w:w="1470" w:type="dxa"/>
            <w:noWrap/>
            <w:vAlign w:val="center"/>
          </w:tcPr>
          <w:p w14:paraId="33668F7C">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1633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364B8632">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营业执照号</w:t>
            </w:r>
          </w:p>
        </w:tc>
        <w:tc>
          <w:tcPr>
            <w:tcW w:w="2681" w:type="dxa"/>
            <w:gridSpan w:val="2"/>
            <w:noWrap/>
            <w:vAlign w:val="center"/>
          </w:tcPr>
          <w:p w14:paraId="3661E2AE">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3" w:type="dxa"/>
            <w:gridSpan w:val="2"/>
            <w:vMerge w:val="continue"/>
            <w:noWrap/>
            <w:vAlign w:val="center"/>
          </w:tcPr>
          <w:p w14:paraId="1E22C194">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836" w:type="dxa"/>
            <w:gridSpan w:val="3"/>
            <w:noWrap/>
            <w:vAlign w:val="center"/>
          </w:tcPr>
          <w:p w14:paraId="206E84F0">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高级职称人员</w:t>
            </w:r>
          </w:p>
        </w:tc>
        <w:tc>
          <w:tcPr>
            <w:tcW w:w="1470" w:type="dxa"/>
            <w:noWrap/>
            <w:vAlign w:val="center"/>
          </w:tcPr>
          <w:p w14:paraId="0C76BE91">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5008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407B426D">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注册资金</w:t>
            </w:r>
          </w:p>
        </w:tc>
        <w:tc>
          <w:tcPr>
            <w:tcW w:w="2681" w:type="dxa"/>
            <w:gridSpan w:val="2"/>
            <w:noWrap/>
            <w:vAlign w:val="center"/>
          </w:tcPr>
          <w:p w14:paraId="275B6FE6">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3" w:type="dxa"/>
            <w:gridSpan w:val="2"/>
            <w:vMerge w:val="continue"/>
            <w:noWrap/>
            <w:vAlign w:val="center"/>
          </w:tcPr>
          <w:p w14:paraId="71E4C8E1">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836" w:type="dxa"/>
            <w:gridSpan w:val="3"/>
            <w:noWrap/>
            <w:vAlign w:val="center"/>
          </w:tcPr>
          <w:p w14:paraId="6596F59D">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中级职称人员</w:t>
            </w:r>
          </w:p>
        </w:tc>
        <w:tc>
          <w:tcPr>
            <w:tcW w:w="1470" w:type="dxa"/>
            <w:noWrap/>
            <w:vAlign w:val="center"/>
          </w:tcPr>
          <w:p w14:paraId="443F8464">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26FC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1540" w:type="dxa"/>
            <w:noWrap/>
            <w:vAlign w:val="center"/>
          </w:tcPr>
          <w:p w14:paraId="5CD56260">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基本账户</w:t>
            </w:r>
          </w:p>
          <w:p w14:paraId="5E6EFF70">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开户银行</w:t>
            </w:r>
          </w:p>
        </w:tc>
        <w:tc>
          <w:tcPr>
            <w:tcW w:w="2681" w:type="dxa"/>
            <w:gridSpan w:val="2"/>
            <w:noWrap/>
            <w:vAlign w:val="center"/>
          </w:tcPr>
          <w:p w14:paraId="35963BB3">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3" w:type="dxa"/>
            <w:gridSpan w:val="2"/>
            <w:vMerge w:val="continue"/>
            <w:noWrap/>
            <w:vAlign w:val="center"/>
          </w:tcPr>
          <w:p w14:paraId="451799AF">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836" w:type="dxa"/>
            <w:gridSpan w:val="3"/>
            <w:noWrap/>
            <w:vAlign w:val="center"/>
          </w:tcPr>
          <w:p w14:paraId="1C90B777">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初级职称人员</w:t>
            </w:r>
          </w:p>
        </w:tc>
        <w:tc>
          <w:tcPr>
            <w:tcW w:w="1470" w:type="dxa"/>
            <w:noWrap/>
            <w:vAlign w:val="center"/>
          </w:tcPr>
          <w:p w14:paraId="5185F20C">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1A1E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jc w:val="center"/>
        </w:trPr>
        <w:tc>
          <w:tcPr>
            <w:tcW w:w="1540" w:type="dxa"/>
            <w:noWrap/>
            <w:vAlign w:val="center"/>
          </w:tcPr>
          <w:p w14:paraId="5F1EB85C">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基本账户</w:t>
            </w:r>
          </w:p>
          <w:p w14:paraId="59540401">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银行账号</w:t>
            </w:r>
          </w:p>
        </w:tc>
        <w:tc>
          <w:tcPr>
            <w:tcW w:w="2681" w:type="dxa"/>
            <w:gridSpan w:val="2"/>
            <w:noWrap/>
            <w:vAlign w:val="center"/>
          </w:tcPr>
          <w:p w14:paraId="6EEEA4D0">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293" w:type="dxa"/>
            <w:gridSpan w:val="2"/>
            <w:vMerge w:val="continue"/>
            <w:noWrap/>
            <w:vAlign w:val="center"/>
          </w:tcPr>
          <w:p w14:paraId="730649CA">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c>
          <w:tcPr>
            <w:tcW w:w="1836" w:type="dxa"/>
            <w:gridSpan w:val="3"/>
            <w:noWrap/>
            <w:vAlign w:val="center"/>
          </w:tcPr>
          <w:p w14:paraId="283128EF">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技术员</w:t>
            </w:r>
          </w:p>
        </w:tc>
        <w:tc>
          <w:tcPr>
            <w:tcW w:w="1470" w:type="dxa"/>
            <w:noWrap/>
            <w:vAlign w:val="center"/>
          </w:tcPr>
          <w:p w14:paraId="13BB8B81">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7745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jc w:val="center"/>
        </w:trPr>
        <w:tc>
          <w:tcPr>
            <w:tcW w:w="1540" w:type="dxa"/>
            <w:noWrap/>
            <w:vAlign w:val="center"/>
          </w:tcPr>
          <w:p w14:paraId="653E3CAE">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经营范围</w:t>
            </w:r>
          </w:p>
        </w:tc>
        <w:tc>
          <w:tcPr>
            <w:tcW w:w="7280" w:type="dxa"/>
            <w:gridSpan w:val="8"/>
            <w:noWrap/>
            <w:vAlign w:val="center"/>
          </w:tcPr>
          <w:p w14:paraId="790185DB">
            <w:pPr>
              <w:pStyle w:val="44"/>
              <w:wordWrap w:val="0"/>
              <w:adjustRightInd w:val="0"/>
              <w:snapToGrid w:val="0"/>
              <w:jc w:val="left"/>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r w14:paraId="1CCB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1540" w:type="dxa"/>
            <w:noWrap/>
            <w:vAlign w:val="center"/>
          </w:tcPr>
          <w:p w14:paraId="2BB6AB5C">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关联企业情况</w:t>
            </w:r>
          </w:p>
        </w:tc>
        <w:tc>
          <w:tcPr>
            <w:tcW w:w="7280" w:type="dxa"/>
            <w:gridSpan w:val="8"/>
            <w:noWrap/>
            <w:vAlign w:val="center"/>
          </w:tcPr>
          <w:p w14:paraId="6EE38209">
            <w:pPr>
              <w:pStyle w:val="44"/>
              <w:wordWrap w:val="0"/>
              <w:adjustRightInd w:val="0"/>
              <w:snapToGrid w:val="0"/>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包括但不限于与投标人存在以下关系的不同单位：</w:t>
            </w:r>
          </w:p>
          <w:p w14:paraId="1844A97D">
            <w:pPr>
              <w:pStyle w:val="44"/>
              <w:wordWrap w:val="0"/>
              <w:adjustRightInd w:val="0"/>
              <w:snapToGrid w:val="0"/>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1．法定代表人为同一人的。</w:t>
            </w:r>
          </w:p>
          <w:p w14:paraId="643D42A4">
            <w:pPr>
              <w:pStyle w:val="44"/>
              <w:wordWrap w:val="0"/>
              <w:adjustRightInd w:val="0"/>
              <w:snapToGrid w:val="0"/>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2．存在控股、管理关系的。</w:t>
            </w:r>
          </w:p>
          <w:p w14:paraId="1EAED253">
            <w:pPr>
              <w:pStyle w:val="44"/>
              <w:wordWrap w:val="0"/>
              <w:adjustRightInd w:val="0"/>
              <w:snapToGrid w:val="0"/>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3．主要人员相互任职的。</w:t>
            </w:r>
          </w:p>
        </w:tc>
      </w:tr>
      <w:tr w14:paraId="7A1C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40" w:type="dxa"/>
            <w:noWrap/>
            <w:vAlign w:val="center"/>
          </w:tcPr>
          <w:p w14:paraId="1D753AD6">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备注</w:t>
            </w:r>
          </w:p>
        </w:tc>
        <w:tc>
          <w:tcPr>
            <w:tcW w:w="7280" w:type="dxa"/>
            <w:gridSpan w:val="8"/>
            <w:noWrap/>
            <w:vAlign w:val="center"/>
          </w:tcPr>
          <w:p w14:paraId="6D279D12">
            <w:pPr>
              <w:pStyle w:val="44"/>
              <w:wordWrap w:val="0"/>
              <w:adjustRightInd w:val="0"/>
              <w:snapToGrid w:val="0"/>
              <w:jc w:val="cente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p>
        </w:tc>
      </w:tr>
    </w:tbl>
    <w:p w14:paraId="7B89B98D">
      <w:pPr>
        <w:pStyle w:val="44"/>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highlight w:val="none"/>
          <w14:textFill>
            <w14:solidFill>
              <w14:schemeClr w14:val="tx1"/>
            </w14:solidFill>
          </w14:textFill>
        </w:rPr>
        <w:t>说明：</w:t>
      </w:r>
    </w:p>
    <w:bookmarkEnd w:id="535"/>
    <w:bookmarkEnd w:id="536"/>
    <w:bookmarkEnd w:id="537"/>
    <w:bookmarkEnd w:id="538"/>
    <w:bookmarkEnd w:id="539"/>
    <w:p w14:paraId="3825431F">
      <w:pPr>
        <w:pStyle w:val="48"/>
        <w:widowControl w:val="0"/>
        <w:wordWrap w:val="0"/>
        <w:adjustRightInd w:val="0"/>
        <w:snapToGrid w:val="0"/>
        <w:spacing w:line="400" w:lineRule="exact"/>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bookmarkStart w:id="592" w:name="_Toc1659"/>
      <w:bookmarkStart w:id="593" w:name="_Toc535300004"/>
      <w:bookmarkStart w:id="594" w:name="_Toc118541763"/>
      <w:bookmarkStart w:id="595" w:name="_Toc534641863"/>
      <w:bookmarkStart w:id="596" w:name="_Toc48547015"/>
      <w:bookmarkStart w:id="597" w:name="_Toc210101349"/>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1．《投标人基本情况表》后应附以下资料：</w:t>
      </w:r>
    </w:p>
    <w:p w14:paraId="663DA07C">
      <w:pPr>
        <w:pStyle w:val="48"/>
        <w:widowControl w:val="0"/>
        <w:wordWrap w:val="0"/>
        <w:adjustRightInd w:val="0"/>
        <w:snapToGrid w:val="0"/>
        <w:spacing w:line="400" w:lineRule="exact"/>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（1）企业营业执照、资质证书、安全生产许可证</w:t>
      </w:r>
      <w:r>
        <w:rPr>
          <w:rFonts w:hint="eastAsia" w:asciiTheme="minorEastAsia" w:hAnsiTheme="minorEastAsia" w:eastAsiaTheme="minorEastAsia" w:cstheme="minorEastAsia"/>
          <w:b/>
          <w:bCs/>
          <w:snapToGrid w:val="0"/>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b/>
          <w:bCs/>
          <w:snapToGrid w:val="0"/>
          <w:color w:val="000000" w:themeColor="text1"/>
          <w:sz w:val="21"/>
          <w:szCs w:val="21"/>
          <w:highlight w:val="none"/>
          <w:lang w:val="en-US" w:eastAsia="zh-CN"/>
          <w14:textFill>
            <w14:solidFill>
              <w14:schemeClr w14:val="tx1"/>
            </w14:solidFill>
          </w14:textFill>
        </w:rPr>
        <w:t>施工企业提供</w:t>
      </w:r>
      <w:r>
        <w:rPr>
          <w:rFonts w:hint="eastAsia" w:asciiTheme="minorEastAsia" w:hAnsiTheme="minorEastAsia" w:eastAsiaTheme="minorEastAsia" w:cstheme="minorEastAsia"/>
          <w:b/>
          <w:bCs/>
          <w:snapToGrid w:val="0"/>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snapToGrid w:val="0"/>
          <w:color w:val="000000" w:themeColor="text1"/>
          <w:sz w:val="21"/>
          <w:szCs w:val="21"/>
          <w:highlight w:val="none"/>
          <w:lang w:val="en-US" w:eastAsia="zh-CN"/>
          <w14:textFill>
            <w14:solidFill>
              <w14:schemeClr w14:val="tx1"/>
            </w14:solidFill>
          </w14:textFill>
        </w:rPr>
        <w:t>扫描</w:t>
      </w: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件</w:t>
      </w:r>
      <w:r>
        <w:rPr>
          <w:rFonts w:hint="eastAsia" w:asciiTheme="minorEastAsia" w:hAnsiTheme="minorEastAsia" w:eastAsiaTheme="minorEastAsia" w:cstheme="minorEastAsia"/>
          <w:b w:val="0"/>
          <w:bCs w:val="0"/>
          <w:snapToGrid w:val="0"/>
          <w:color w:val="000000" w:themeColor="text1"/>
          <w:sz w:val="21"/>
          <w:szCs w:val="21"/>
          <w:highlight w:val="none"/>
          <w14:textFill>
            <w14:solidFill>
              <w14:schemeClr w14:val="tx1"/>
            </w14:solidFill>
          </w14:textFill>
        </w:rPr>
        <w:t>（因推行电子证照，企业的营业执照、资质证书等可以提供电子证照。为实时掌握项目</w:t>
      </w:r>
      <w:r>
        <w:rPr>
          <w:rFonts w:hint="eastAsia" w:asciiTheme="minorEastAsia" w:hAnsiTheme="minorEastAsia" w:eastAsiaTheme="minorEastAsia" w:cstheme="minorEastAsia"/>
          <w:b/>
          <w:bCs/>
          <w:snapToGrid w:val="0"/>
          <w:color w:val="000000" w:themeColor="text1"/>
          <w:sz w:val="21"/>
          <w:szCs w:val="21"/>
          <w:highlight w:val="none"/>
          <w14:textFill>
            <w14:solidFill>
              <w14:schemeClr w14:val="tx1"/>
            </w14:solidFill>
          </w14:textFill>
        </w:rPr>
        <w:t>投标单位的是否具备企业安全生产条件，企业的安全生产许可证需提供企业实时网页查询页，实时查询页的打印时间应在项目招标公告发布之日起至开标前。如中标后，投标单位安全生产许可证发生被暂扣情形，需双方另行协商）；</w:t>
      </w:r>
    </w:p>
    <w:p w14:paraId="21234B0F">
      <w:pPr>
        <w:pStyle w:val="48"/>
        <w:widowControl w:val="0"/>
        <w:wordWrap w:val="0"/>
        <w:adjustRightInd w:val="0"/>
        <w:snapToGrid w:val="0"/>
        <w:spacing w:line="400" w:lineRule="exact"/>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（2）外省建筑企业须提供“进粤企业和人员诚信信息登记平台”企业信息情况打印页。</w:t>
      </w:r>
    </w:p>
    <w:p w14:paraId="4D00A3DC">
      <w:pPr>
        <w:pStyle w:val="48"/>
        <w:widowControl w:val="0"/>
        <w:wordWrap w:val="0"/>
        <w:adjustRightInd w:val="0"/>
        <w:snapToGrid w:val="0"/>
        <w:spacing w:line="400" w:lineRule="exact"/>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2．联合体投标的，联合体成员单位均应填写《投标人基本情况表》并提供以上所需资料。</w:t>
      </w:r>
    </w:p>
    <w:p w14:paraId="3F793927">
      <w:pPr>
        <w:pStyle w:val="48"/>
        <w:widowControl w:val="0"/>
        <w:wordWrap w:val="0"/>
        <w:adjustRightInd w:val="0"/>
        <w:snapToGrid w:val="0"/>
        <w:spacing w:line="400" w:lineRule="exact"/>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3.《法人和非法人组织公共信用信息报告》打印件（在“信用中国”网站企业查询界面中下载）。</w:t>
      </w:r>
    </w:p>
    <w:p w14:paraId="60C95F0B">
      <w:pPr>
        <w:pStyle w:val="48"/>
        <w:widowControl w:val="0"/>
        <w:wordWrap w:val="0"/>
        <w:adjustRightInd w:val="0"/>
        <w:snapToGrid w:val="0"/>
        <w:spacing w:line="400" w:lineRule="exact"/>
        <w:ind w:left="0" w:leftChars="0" w:firstLine="0" w:firstLineChars="0"/>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sectPr>
          <w:endnotePr>
            <w:numFmt w:val="decimal"/>
          </w:endnotePr>
          <w:pgSz w:w="11906" w:h="16838"/>
          <w:pgMar w:top="1221" w:right="1531" w:bottom="1417" w:left="1531" w:header="850" w:footer="992" w:gutter="0"/>
          <w:pgNumType w:fmt="decimal"/>
          <w:cols w:space="720" w:num="1"/>
          <w:docGrid w:linePitch="327" w:charSpace="0"/>
        </w:sectPr>
      </w:pPr>
    </w:p>
    <w:p w14:paraId="046ADA4A">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598" w:name="_Toc266"/>
      <w:bookmarkStart w:id="599" w:name="_Toc12567"/>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格式八 项目经理简历表</w:t>
      </w:r>
      <w:bookmarkEnd w:id="592"/>
      <w:bookmarkEnd w:id="598"/>
      <w:bookmarkEnd w:id="599"/>
    </w:p>
    <w:p w14:paraId="2B375A7A">
      <w:pPr>
        <w:wordWrap w:val="0"/>
        <w:adjustRightInd w:val="0"/>
        <w:snapToGrid w:val="0"/>
        <w:spacing w:line="440" w:lineRule="exact"/>
        <w:jc w:val="left"/>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215F8D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5B88326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5FBC687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1876908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3DC7EB0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EDD0DF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34CF2A2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258E73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051D1AC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549D4F7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2973DA6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08BFF83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77F32BD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2B93C2F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7F0C2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69DBFC4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7DDA83C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6FCC032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2458BC5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2050B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356F285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以项目经理身份参与过的主要业绩（已完工项目）</w:t>
            </w:r>
          </w:p>
        </w:tc>
      </w:tr>
      <w:tr w14:paraId="6921A2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27B6F9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013625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32CF8A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76DA2E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657C2FD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FD45D7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质量等级</w:t>
            </w:r>
          </w:p>
        </w:tc>
      </w:tr>
      <w:tr w14:paraId="468EC3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763A7F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A59F68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545A565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4272EC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BF3CA6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F4CE40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16811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2E4B55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1926A2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4FDAD4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41946C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CC1054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2A57807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4A98C6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1F63A0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EA7951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A428B5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A8DF59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531B0AE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475A699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6B29AD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D8206F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7F91A0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DB8876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58EC9B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4316668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57E1304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bl>
    <w:p w14:paraId="0B0BEAF0">
      <w:pPr>
        <w:wordWrap w:val="0"/>
        <w:adjustRightInd w:val="0"/>
        <w:snapToGrid w:val="0"/>
        <w:spacing w:line="440" w:lineRule="exact"/>
        <w:jc w:val="cente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项目经理简历表</w:t>
      </w:r>
    </w:p>
    <w:p w14:paraId="598C1A20">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44DC5543">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40A8A1A7">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项目经理：</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（签字）</w:t>
      </w:r>
    </w:p>
    <w:p w14:paraId="5E163C89">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596E09A4">
      <w:pPr>
        <w:wordWrap w:val="0"/>
        <w:adjustRightInd w:val="0"/>
        <w:snapToGrid w:val="0"/>
        <w:spacing w:line="400" w:lineRule="exact"/>
        <w:ind w:firstLine="570"/>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w:t>
      </w:r>
    </w:p>
    <w:p w14:paraId="5CD3B3E0">
      <w:pPr>
        <w:outlineLvl w:val="9"/>
        <w:rPr>
          <w:rFonts w:hint="eastAsia"/>
          <w:color w:val="000000" w:themeColor="text1"/>
          <w:highlight w:val="none"/>
          <w14:textFill>
            <w14:solidFill>
              <w14:schemeClr w14:val="tx1"/>
            </w14:solidFill>
          </w14:textFill>
        </w:rPr>
      </w:pPr>
    </w:p>
    <w:p w14:paraId="39724635">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说明：《项目经理简历表》后应附拟派项目经理以下资料：</w:t>
      </w:r>
    </w:p>
    <w:p w14:paraId="234E50E1">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1．身份证彩色扫描件；</w:t>
      </w:r>
    </w:p>
    <w:p w14:paraId="62F97137">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2．建造师电子注册证书（在使用有效期内的有效电子证书）彩色扫描件；</w:t>
      </w:r>
    </w:p>
    <w:p w14:paraId="24918F13">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3．B类安全生产考核合格证书彩色扫描件或广东省建筑施工企业管理人员安全生产考核系统考核合格信息彩色扫描件；</w:t>
      </w:r>
    </w:p>
    <w:p w14:paraId="01350D00">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4．在本单位缴纳社保的证明（</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至少3个月，其中必须中2026年2月</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）彩色扫描件；拟派项目经理为退休返聘人员无法提供社保证明的，提供退休证和劳动合同彩色扫描件。</w:t>
      </w:r>
    </w:p>
    <w:p w14:paraId="2E1D7FAF">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6EB0024F">
      <w:pPr>
        <w:pStyle w:val="2"/>
        <w:rPr>
          <w:rFonts w:hint="eastAsia"/>
          <w:color w:val="000000" w:themeColor="text1"/>
          <w:highlight w:val="none"/>
          <w14:textFill>
            <w14:solidFill>
              <w14:schemeClr w14:val="tx1"/>
            </w14:solidFill>
          </w14:textFill>
        </w:rPr>
        <w:sectPr>
          <w:endnotePr>
            <w:numFmt w:val="decimal"/>
          </w:endnotePr>
          <w:pgSz w:w="11906" w:h="16838"/>
          <w:pgMar w:top="1701" w:right="1531" w:bottom="1417" w:left="1531" w:header="850" w:footer="992" w:gutter="0"/>
          <w:pgNumType w:fmt="decimal"/>
          <w:cols w:space="720" w:num="1"/>
          <w:docGrid w:linePitch="327" w:charSpace="0"/>
        </w:sectPr>
      </w:pPr>
    </w:p>
    <w:p w14:paraId="722A95E1">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600" w:name="_Toc13976"/>
      <w:bookmarkStart w:id="601" w:name="_Toc3371"/>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格式九 项目经理任职声明</w:t>
      </w:r>
      <w:bookmarkEnd w:id="600"/>
      <w:bookmarkEnd w:id="601"/>
    </w:p>
    <w:p w14:paraId="4ADE852D">
      <w:pPr>
        <w:wordWrap w:val="0"/>
        <w:adjustRightInd w:val="0"/>
        <w:snapToGrid w:val="0"/>
        <w:spacing w:line="440" w:lineRule="exact"/>
        <w:jc w:val="left"/>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p>
    <w:p w14:paraId="5B39C3F5">
      <w:pPr>
        <w:wordWrap w:val="0"/>
        <w:adjustRightInd w:val="0"/>
        <w:snapToGrid w:val="0"/>
        <w:spacing w:before="260" w:after="260" w:line="440" w:lineRule="exact"/>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项目经理任职声明</w:t>
      </w:r>
    </w:p>
    <w:p w14:paraId="5BBE975C">
      <w:pPr>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64C715F">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602" w:name="_Toc21599"/>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（招标人名称）：</w:t>
      </w:r>
    </w:p>
    <w:p w14:paraId="4B31BB21">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我方在此声明，我方拟派往</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（项目名称）的项目经理</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（项目经理姓名）现阶段没有担任任何在施（包括已中标未开工、已开工未竣工）建设工程项目的项目经理。</w:t>
      </w:r>
    </w:p>
    <w:p w14:paraId="243E9439">
      <w:pPr>
        <w:wordWrap w:val="0"/>
        <w:adjustRightInd w:val="0"/>
        <w:snapToGrid w:val="0"/>
        <w:spacing w:line="440" w:lineRule="exact"/>
        <w:ind w:firstLine="48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我方保证上述信息的真实和准确，并愿意承担因我方就此弄虚作假所引起的一切法律后果。</w:t>
      </w:r>
    </w:p>
    <w:p w14:paraId="5CFC49FD">
      <w:pPr>
        <w:wordWrap w:val="0"/>
        <w:adjustRightInd w:val="0"/>
        <w:snapToGrid w:val="0"/>
        <w:spacing w:line="440" w:lineRule="exact"/>
        <w:ind w:firstLine="48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w:t>
      </w:r>
    </w:p>
    <w:p w14:paraId="42D74EF3">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特此承诺　　</w:t>
      </w:r>
    </w:p>
    <w:p w14:paraId="741114B9">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w:t>
      </w:r>
    </w:p>
    <w:p w14:paraId="2024B237">
      <w:pPr>
        <w:wordWrap w:val="0"/>
        <w:adjustRightInd w:val="0"/>
        <w:snapToGrid w:val="0"/>
        <w:spacing w:line="44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w:t>
      </w:r>
    </w:p>
    <w:p w14:paraId="142252A1">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投标人：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（盖单位章）</w:t>
      </w:r>
    </w:p>
    <w:p w14:paraId="4F2DA4C9">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B18FAC1">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7DEBFFFA">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法定代表人或其委托代理人：</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（签字或盖章）</w:t>
      </w:r>
    </w:p>
    <w:p w14:paraId="2E059885">
      <w:pPr>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210DF30">
      <w:pPr>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日</w:t>
      </w:r>
    </w:p>
    <w:p w14:paraId="0F642273">
      <w:pP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603" w:name="_Toc21516"/>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br w:type="page"/>
      </w:r>
    </w:p>
    <w:p w14:paraId="46560B8D">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604" w:name="_Toc9420"/>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格式十 项目技术负责人简历表</w:t>
      </w:r>
      <w:bookmarkEnd w:id="602"/>
      <w:bookmarkEnd w:id="603"/>
      <w:bookmarkEnd w:id="604"/>
    </w:p>
    <w:p w14:paraId="69C790BB">
      <w:pPr>
        <w:wordWrap w:val="0"/>
        <w:adjustRightInd w:val="0"/>
        <w:snapToGrid w:val="0"/>
        <w:spacing w:line="440" w:lineRule="exact"/>
        <w:jc w:val="left"/>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38EB5E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2D6AA48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683FD6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68A7925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27A4DC8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38B8580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58D6116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186C6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2476F06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69F66E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7097239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7ADE524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311479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2B67543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48548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46B699E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69DF1E0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44B5375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0E5C094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2F85F9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1F832E2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以项目技术负责人身份参与过的主要业绩（已完工项目）</w:t>
            </w:r>
          </w:p>
        </w:tc>
      </w:tr>
      <w:tr w14:paraId="1EF5A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AC1144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11D03FE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44A4AD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8E3363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66DE2BB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CD231E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质量等级</w:t>
            </w:r>
          </w:p>
        </w:tc>
      </w:tr>
      <w:tr w14:paraId="019F1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A06DF5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16BB8E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1503D2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B84B5A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15D18C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71F479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8DD6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B24CEB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1B8832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C54A9D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EA8091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A69EDA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6879669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15ACF1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1CC66C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D86993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A70942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813A8E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550C1E0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26A8E26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1D8322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26EFD5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9310F2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FF2122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4736BC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3D7711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07EBDB3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00B954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92E004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4A1762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AF7719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3DA3EA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0B15926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A64157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bl>
    <w:p w14:paraId="371C6CAC">
      <w:pPr>
        <w:wordWrap w:val="0"/>
        <w:adjustRightInd w:val="0"/>
        <w:snapToGrid w:val="0"/>
        <w:spacing w:line="440" w:lineRule="exact"/>
        <w:jc w:val="cente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项目技术负责人简历表</w:t>
      </w:r>
    </w:p>
    <w:p w14:paraId="17AC5CE6">
      <w:pPr>
        <w:pStyle w:val="49"/>
        <w:wordWrap w:val="0"/>
        <w:adjustRightInd w:val="0"/>
        <w:snapToGrid w:val="0"/>
        <w:spacing w:line="440" w:lineRule="exact"/>
        <w:jc w:val="both"/>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15757182">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4D95344E">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项目技术负责人：</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（签字）</w:t>
      </w:r>
    </w:p>
    <w:p w14:paraId="2C0A8BBB">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71B8FEEF">
      <w:pPr>
        <w:pStyle w:val="49"/>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w:t>
      </w:r>
    </w:p>
    <w:p w14:paraId="1B25A8B4">
      <w:pPr>
        <w:wordWrap w:val="0"/>
        <w:adjustRightInd w:val="0"/>
        <w:snapToGrid w:val="0"/>
        <w:spacing w:line="40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31204AF5">
      <w:pPr>
        <w:pStyle w:val="49"/>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25C04728">
      <w:pPr>
        <w:wordWrap w:val="0"/>
        <w:adjustRightInd w:val="0"/>
        <w:snapToGrid w:val="0"/>
        <w:spacing w:line="40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699FB7EE">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说明：《项目技术负责人简历表》后应附拟派项目技术负责人以下资料：</w:t>
      </w:r>
    </w:p>
    <w:p w14:paraId="46370442">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1．身份证彩色扫描件；</w:t>
      </w:r>
    </w:p>
    <w:p w14:paraId="333723B7">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2．职称证彩色扫描件；</w:t>
      </w:r>
    </w:p>
    <w:p w14:paraId="4FDA75C7">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szCs w:val="24"/>
          <w:highlight w:val="none"/>
          <w14:textFill>
            <w14:solidFill>
              <w14:schemeClr w14:val="tx1"/>
            </w14:solidFill>
          </w14:textFill>
        </w:rPr>
        <w:sectPr>
          <w:endnotePr>
            <w:numFmt w:val="decimal"/>
          </w:endnotePr>
          <w:pgSz w:w="11906" w:h="16838"/>
          <w:pgMar w:top="1701" w:right="1531" w:bottom="1417" w:left="1531" w:header="850" w:footer="992" w:gutter="0"/>
          <w:pgNumType w:fmt="decimal"/>
          <w:cols w:space="720" w:num="1"/>
          <w:docGrid w:linePitch="327" w:charSpace="0"/>
        </w:sect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3．在本单位缴纳社保的证明（</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至少3个月，其中必须中2026年2月</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）彩色扫描件；拟派技术负责人为退休返聘人员无法提供社保证明的，提供退休证和劳动合同彩色扫描件。</w:t>
      </w:r>
    </w:p>
    <w:p w14:paraId="7F2BF5ED">
      <w:pPr>
        <w:pStyle w:val="4"/>
        <w:spacing w:before="120"/>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605" w:name="_Toc29256"/>
      <w:bookmarkStart w:id="606" w:name="_Toc31518"/>
      <w:bookmarkStart w:id="607" w:name="_Toc11192"/>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格式十一 项目设计负责人</w:t>
      </w:r>
      <w:r>
        <w:rPr>
          <w:rFonts w:hint="eastAsia" w:asciiTheme="minorEastAsia" w:hAnsiTheme="minorEastAsia" w:eastAsiaTheme="minorEastAsia" w:cstheme="minorEastAsia"/>
          <w:b/>
          <w:bCs/>
          <w:color w:val="000000" w:themeColor="text1"/>
          <w:szCs w:val="24"/>
          <w:highlight w:val="none"/>
          <w:lang w:val="en-US" w:eastAsia="zh-CN"/>
          <w14:textFill>
            <w14:solidFill>
              <w14:schemeClr w14:val="tx1"/>
            </w14:solidFill>
          </w14:textFill>
        </w:rPr>
        <w:t>/勘察负责人</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简历表</w:t>
      </w:r>
      <w:bookmarkEnd w:id="605"/>
      <w:bookmarkEnd w:id="606"/>
      <w:bookmarkEnd w:id="607"/>
    </w:p>
    <w:p w14:paraId="6BE0E100">
      <w:pPr>
        <w:wordWrap w:val="0"/>
        <w:adjustRightInd w:val="0"/>
        <w:snapToGrid w:val="0"/>
        <w:spacing w:line="440" w:lineRule="exact"/>
        <w:jc w:val="left"/>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7959C1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31D87E5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110D74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1E67DD1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0F58B60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0E75D2C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36CA4E5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71D55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7B359A3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4730A62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24DA3C3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4BC2079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6601887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412EF28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6F9465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663345B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0D984A0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26FDD63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39EAC85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15F36B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0D17669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以项目</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设计</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负责人</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/勘察负责人</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身份参与过的主要业绩（已完工项目）</w:t>
            </w:r>
          </w:p>
        </w:tc>
      </w:tr>
      <w:tr w14:paraId="4F4E9F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266138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D7CE1F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21C204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0E6D81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42CA1BE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A33B00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质量等级</w:t>
            </w:r>
          </w:p>
        </w:tc>
      </w:tr>
      <w:tr w14:paraId="6BEE2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3C2747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0C26B5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3E20D6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976D5B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6FE87C2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5B39C68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65E975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49D15E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9DB314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67931EE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0AF41E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166BA8F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0CDE6FC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1C35CF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01E4D0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CD1A4B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27DED1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7B6C6B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03E7EC7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6CC8DC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71616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A89ECF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1CCC90C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24051D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93B20A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D28771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7B1062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D1B4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75FF3B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7AFE78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5A4A0CD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488E2A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8B644F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67F4709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bl>
    <w:p w14:paraId="04EB943A">
      <w:pPr>
        <w:wordWrap w:val="0"/>
        <w:adjustRightInd w:val="0"/>
        <w:snapToGrid w:val="0"/>
        <w:spacing w:line="440" w:lineRule="exact"/>
        <w:jc w:val="center"/>
        <w:rPr>
          <w:rFonts w:hint="eastAsia" w:asciiTheme="minorEastAsia" w:hAnsiTheme="minorEastAsia" w:eastAsiaTheme="minorEastAsia" w:cstheme="minorEastAsia"/>
          <w:b/>
          <w:bCs/>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项目设计负责人</w:t>
      </w:r>
      <w:r>
        <w:rPr>
          <w:rFonts w:hint="eastAsia" w:asciiTheme="minorEastAsia" w:hAnsiTheme="minorEastAsia" w:eastAsiaTheme="minorEastAsia" w:cstheme="minorEastAsia"/>
          <w:b/>
          <w:bCs/>
          <w:color w:val="000000" w:themeColor="text1"/>
          <w:szCs w:val="24"/>
          <w:highlight w:val="none"/>
          <w:lang w:val="en-US" w:eastAsia="zh-CN"/>
          <w14:textFill>
            <w14:solidFill>
              <w14:schemeClr w14:val="tx1"/>
            </w14:solidFill>
          </w14:textFill>
        </w:rPr>
        <w:t>/勘察负责人</w:t>
      </w: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简历表</w:t>
      </w:r>
    </w:p>
    <w:p w14:paraId="3506B618">
      <w:pPr>
        <w:wordWrap w:val="0"/>
        <w:adjustRightInd w:val="0"/>
        <w:snapToGrid w:val="0"/>
        <w:spacing w:line="44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A8464B6">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25F73BA2">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项目</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设计</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负责人</w:t>
      </w:r>
      <w:r>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t>/勘察负责人</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（签字）</w:t>
      </w:r>
    </w:p>
    <w:p w14:paraId="10647B72">
      <w:pPr>
        <w:pStyle w:val="49"/>
        <w:wordWrap w:val="0"/>
        <w:adjustRightInd w:val="0"/>
        <w:snapToGrid w:val="0"/>
        <w:spacing w:line="440" w:lineRule="exact"/>
        <w:jc w:val="right"/>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p>
    <w:p w14:paraId="74901679">
      <w:pPr>
        <w:pStyle w:val="49"/>
        <w:wordWrap w:val="0"/>
        <w:adjustRightInd w:val="0"/>
        <w:snapToGrid w:val="0"/>
        <w:spacing w:line="440" w:lineRule="exact"/>
        <w:jc w:val="cente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highlight w:val="none"/>
          <w14:textFill>
            <w14:solidFill>
              <w14:schemeClr w14:val="tx1"/>
            </w14:solidFill>
          </w14:textFill>
        </w:rPr>
        <w:t>日</w:t>
      </w:r>
    </w:p>
    <w:p w14:paraId="01884584">
      <w:pPr>
        <w:wordWrap w:val="0"/>
        <w:adjustRightInd w:val="0"/>
        <w:snapToGrid w:val="0"/>
        <w:spacing w:line="40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59F06DFC">
      <w:pPr>
        <w:wordWrap w:val="0"/>
        <w:adjustRightInd w:val="0"/>
        <w:snapToGrid w:val="0"/>
        <w:spacing w:line="400" w:lineRule="exact"/>
        <w:ind w:firstLine="57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054F7E9E">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说明：《项目设计负责人</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/勘察负责人</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简历表》后应附拟派项目设计负责人</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/勘察负责人</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以下资料：</w:t>
      </w:r>
    </w:p>
    <w:p w14:paraId="4B633D08">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1．身份证彩色扫描件；</w:t>
      </w:r>
    </w:p>
    <w:p w14:paraId="586E437A">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2．</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注册</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证彩色扫描件</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如需</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）、职称证彩色扫描件（</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如需</w:t>
      </w:r>
      <w:r>
        <w:rPr>
          <w:rFonts w:hint="eastAsia" w:asciiTheme="minorEastAsia" w:hAnsiTheme="minorEastAsia" w:eastAsiaTheme="minorEastAsia" w:cstheme="minorEastAsia"/>
          <w:snapToGrid w:val="0"/>
          <w:color w:val="000000" w:themeColor="text1"/>
          <w:kern w:val="0"/>
          <w:szCs w:val="24"/>
          <w:highlight w:val="none"/>
          <w:lang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p w14:paraId="0B22D139">
      <w:pPr>
        <w:wordWrap w:val="0"/>
        <w:adjustRightInd w:val="0"/>
        <w:snapToGrid w:val="0"/>
        <w:spacing w:line="400" w:lineRule="exact"/>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3．在本单位缴纳社保的证明（</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至少3个月，其中必须中2026年2月</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）彩色扫描件；拟派设计负责人</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/勘察负责人</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为退休返聘人员无法提供社保证明的，提供退休证和劳动合同彩色扫描件。</w:t>
      </w:r>
      <w:bookmarkEnd w:id="593"/>
      <w:bookmarkEnd w:id="594"/>
      <w:bookmarkEnd w:id="595"/>
      <w:bookmarkEnd w:id="596"/>
      <w:bookmarkEnd w:id="597"/>
    </w:p>
    <w:p w14:paraId="6E013105">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4．“进粤企业和人员诚信信息登记平台”个人信息情况截图。（适用于省外建筑企业）。</w:t>
      </w:r>
    </w:p>
    <w:p w14:paraId="4AF244B7">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4"/>
          <w:highlight w:val="none"/>
          <w14:textFill>
            <w14:solidFill>
              <w14:schemeClr w14:val="tx1"/>
            </w14:solidFill>
          </w14:textFill>
        </w:rPr>
        <w:br w:type="page"/>
      </w:r>
      <w:bookmarkStart w:id="608" w:name="_Toc10080"/>
      <w:bookmarkStart w:id="609" w:name="_Toc8264"/>
    </w:p>
    <w:p w14:paraId="052519CD">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p w14:paraId="5B71362B">
      <w:pPr>
        <w:pStyle w:val="4"/>
        <w:spacing w:before="120"/>
        <w:rPr>
          <w:rFonts w:hint="eastAsia" w:asciiTheme="minorEastAsia" w:hAnsiTheme="minorEastAsia" w:eastAsiaTheme="minorEastAsia" w:cstheme="minorEastAsia"/>
          <w:bCs/>
          <w:snapToGrid w:val="0"/>
          <w:color w:val="000000" w:themeColor="text1"/>
          <w:szCs w:val="24"/>
          <w:highlight w:val="none"/>
          <w14:textFill>
            <w14:solidFill>
              <w14:schemeClr w14:val="tx1"/>
            </w14:solidFill>
          </w14:textFill>
        </w:rPr>
      </w:pPr>
      <w:bookmarkStart w:id="610" w:name="_Toc31050"/>
      <w:bookmarkStart w:id="611" w:name="_Toc24806"/>
      <w:r>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t>格式十</w:t>
      </w:r>
      <w:r>
        <w:rPr>
          <w:rFonts w:hint="eastAsia" w:asciiTheme="minorEastAsia" w:hAnsiTheme="minorEastAsia" w:eastAsiaTheme="minorEastAsia" w:cstheme="minorEastAsia"/>
          <w:b/>
          <w:snapToGrid w:val="0"/>
          <w:color w:val="000000" w:themeColor="text1"/>
          <w:szCs w:val="24"/>
          <w:highlight w:val="none"/>
          <w:lang w:val="en-US" w:eastAsia="zh-CN"/>
          <w14:textFill>
            <w14:solidFill>
              <w14:schemeClr w14:val="tx1"/>
            </w14:solidFill>
          </w14:textFill>
        </w:rPr>
        <w:t>二</w:t>
      </w:r>
      <w:r>
        <w:rPr>
          <w:rFonts w:hint="eastAsia" w:asciiTheme="minorEastAsia" w:hAnsiTheme="minorEastAsia" w:eastAsiaTheme="minorEastAsia" w:cstheme="minorEastAsia"/>
          <w:b/>
          <w:snapToGrid w:val="0"/>
          <w:color w:val="000000" w:themeColor="text1"/>
          <w:szCs w:val="24"/>
          <w:highlight w:val="none"/>
          <w14:textFill>
            <w14:solidFill>
              <w14:schemeClr w14:val="tx1"/>
            </w14:solidFill>
          </w14:textFill>
        </w:rPr>
        <w:t xml:space="preserve"> 项目管理机构组成表</w:t>
      </w:r>
      <w:bookmarkEnd w:id="608"/>
      <w:bookmarkEnd w:id="610"/>
      <w:bookmarkEnd w:id="611"/>
    </w:p>
    <w:p w14:paraId="6AB277B4">
      <w:pPr>
        <w:wordWrap w:val="0"/>
        <w:adjustRightInd w:val="0"/>
        <w:snapToGrid w:val="0"/>
        <w:spacing w:before="260" w:after="260" w:line="440" w:lineRule="exact"/>
        <w:jc w:val="cente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b/>
          <w:snapToGrid w:val="0"/>
          <w:color w:val="000000" w:themeColor="text1"/>
          <w:kern w:val="0"/>
          <w:szCs w:val="24"/>
          <w:highlight w:val="none"/>
          <w14:textFill>
            <w14:solidFill>
              <w14:schemeClr w14:val="tx1"/>
            </w14:solidFill>
          </w14:textFill>
        </w:rPr>
        <w:t>项目管理机构组成表</w:t>
      </w:r>
    </w:p>
    <w:tbl>
      <w:tblPr>
        <w:tblStyle w:val="21"/>
        <w:tblW w:w="895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4"/>
        <w:gridCol w:w="1424"/>
        <w:gridCol w:w="1358"/>
        <w:gridCol w:w="902"/>
        <w:gridCol w:w="819"/>
        <w:gridCol w:w="1541"/>
        <w:gridCol w:w="2169"/>
      </w:tblGrid>
      <w:tr w14:paraId="4266FB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0" w:hRule="atLeast"/>
        </w:trPr>
        <w:tc>
          <w:tcPr>
            <w:tcW w:w="744" w:type="dxa"/>
            <w:tcBorders>
              <w:top w:val="single" w:color="auto" w:sz="6" w:space="0"/>
              <w:left w:val="single" w:color="auto" w:sz="6" w:space="0"/>
              <w:bottom w:val="single" w:color="auto" w:sz="6" w:space="0"/>
              <w:right w:val="single" w:color="auto" w:sz="6" w:space="0"/>
            </w:tcBorders>
            <w:noWrap/>
            <w:vAlign w:val="center"/>
          </w:tcPr>
          <w:p w14:paraId="605DFE1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序号</w:t>
            </w:r>
          </w:p>
        </w:tc>
        <w:tc>
          <w:tcPr>
            <w:tcW w:w="1424" w:type="dxa"/>
            <w:tcBorders>
              <w:top w:val="single" w:color="auto" w:sz="6" w:space="0"/>
              <w:left w:val="single" w:color="auto" w:sz="6" w:space="0"/>
              <w:bottom w:val="single" w:color="auto" w:sz="6" w:space="0"/>
              <w:right w:val="single" w:color="auto" w:sz="6" w:space="0"/>
            </w:tcBorders>
            <w:noWrap/>
            <w:vAlign w:val="center"/>
          </w:tcPr>
          <w:p w14:paraId="1A40264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职务</w:t>
            </w:r>
          </w:p>
        </w:tc>
        <w:tc>
          <w:tcPr>
            <w:tcW w:w="1358" w:type="dxa"/>
            <w:tcBorders>
              <w:top w:val="single" w:color="auto" w:sz="6" w:space="0"/>
              <w:left w:val="single" w:color="auto" w:sz="6" w:space="0"/>
              <w:bottom w:val="single" w:color="auto" w:sz="6" w:space="0"/>
              <w:right w:val="single" w:color="auto" w:sz="6" w:space="0"/>
            </w:tcBorders>
            <w:noWrap/>
            <w:vAlign w:val="center"/>
          </w:tcPr>
          <w:p w14:paraId="008A8A2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姓名</w:t>
            </w:r>
          </w:p>
        </w:tc>
        <w:tc>
          <w:tcPr>
            <w:tcW w:w="902" w:type="dxa"/>
            <w:tcBorders>
              <w:top w:val="single" w:color="auto" w:sz="6" w:space="0"/>
              <w:left w:val="single" w:color="auto" w:sz="6" w:space="0"/>
              <w:bottom w:val="single" w:color="auto" w:sz="6" w:space="0"/>
              <w:right w:val="single" w:color="auto" w:sz="6" w:space="0"/>
            </w:tcBorders>
            <w:noWrap/>
            <w:vAlign w:val="center"/>
          </w:tcPr>
          <w:p w14:paraId="0EA3C27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性别</w:t>
            </w:r>
          </w:p>
        </w:tc>
        <w:tc>
          <w:tcPr>
            <w:tcW w:w="819" w:type="dxa"/>
            <w:tcBorders>
              <w:top w:val="single" w:color="auto" w:sz="6" w:space="0"/>
              <w:left w:val="single" w:color="auto" w:sz="6" w:space="0"/>
              <w:bottom w:val="single" w:color="auto" w:sz="6" w:space="0"/>
              <w:right w:val="single" w:color="auto" w:sz="6" w:space="0"/>
            </w:tcBorders>
            <w:noWrap/>
            <w:vAlign w:val="center"/>
          </w:tcPr>
          <w:p w14:paraId="16E7F36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年龄</w:t>
            </w:r>
          </w:p>
        </w:tc>
        <w:tc>
          <w:tcPr>
            <w:tcW w:w="1541" w:type="dxa"/>
            <w:tcBorders>
              <w:top w:val="single" w:color="auto" w:sz="6" w:space="0"/>
              <w:left w:val="single" w:color="auto" w:sz="6" w:space="0"/>
              <w:bottom w:val="single" w:color="auto" w:sz="6" w:space="0"/>
              <w:right w:val="single" w:color="auto" w:sz="6" w:space="0"/>
            </w:tcBorders>
            <w:noWrap/>
            <w:vAlign w:val="center"/>
          </w:tcPr>
          <w:p w14:paraId="1AAB057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职称</w:t>
            </w:r>
          </w:p>
        </w:tc>
        <w:tc>
          <w:tcPr>
            <w:tcW w:w="2169" w:type="dxa"/>
            <w:tcBorders>
              <w:top w:val="single" w:color="auto" w:sz="6" w:space="0"/>
              <w:left w:val="single" w:color="auto" w:sz="6" w:space="0"/>
              <w:bottom w:val="single" w:color="auto" w:sz="6" w:space="0"/>
              <w:right w:val="single" w:color="auto" w:sz="6" w:space="0"/>
            </w:tcBorders>
            <w:noWrap/>
            <w:vAlign w:val="center"/>
          </w:tcPr>
          <w:p w14:paraId="6E76902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备注</w:t>
            </w:r>
          </w:p>
        </w:tc>
      </w:tr>
      <w:tr w14:paraId="19940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2" w:hRule="exact"/>
        </w:trPr>
        <w:tc>
          <w:tcPr>
            <w:tcW w:w="744" w:type="dxa"/>
            <w:tcBorders>
              <w:top w:val="single" w:color="auto" w:sz="6" w:space="0"/>
              <w:left w:val="single" w:color="auto" w:sz="6" w:space="0"/>
              <w:right w:val="single" w:color="auto" w:sz="6" w:space="0"/>
            </w:tcBorders>
            <w:noWrap/>
            <w:vAlign w:val="center"/>
          </w:tcPr>
          <w:p w14:paraId="256C31E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w:t>
            </w:r>
          </w:p>
        </w:tc>
        <w:tc>
          <w:tcPr>
            <w:tcW w:w="1424" w:type="dxa"/>
            <w:tcBorders>
              <w:top w:val="single" w:color="auto" w:sz="6" w:space="0"/>
              <w:left w:val="single" w:color="auto" w:sz="6" w:space="0"/>
              <w:right w:val="single" w:color="auto" w:sz="6" w:space="0"/>
            </w:tcBorders>
            <w:noWrap/>
            <w:vAlign w:val="center"/>
          </w:tcPr>
          <w:p w14:paraId="5AA3CDF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项目经理</w:t>
            </w:r>
          </w:p>
        </w:tc>
        <w:tc>
          <w:tcPr>
            <w:tcW w:w="1358" w:type="dxa"/>
            <w:tcBorders>
              <w:top w:val="single" w:color="auto" w:sz="6" w:space="0"/>
              <w:left w:val="single" w:color="auto" w:sz="6" w:space="0"/>
              <w:bottom w:val="single" w:color="auto" w:sz="6" w:space="0"/>
              <w:right w:val="single" w:color="auto" w:sz="6" w:space="0"/>
            </w:tcBorders>
            <w:noWrap/>
            <w:vAlign w:val="center"/>
          </w:tcPr>
          <w:p w14:paraId="5529107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3D46A7D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3F7343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30A522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56F953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591D49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59B3CC8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w:t>
            </w:r>
          </w:p>
        </w:tc>
        <w:tc>
          <w:tcPr>
            <w:tcW w:w="1424" w:type="dxa"/>
            <w:tcBorders>
              <w:top w:val="single" w:color="auto" w:sz="6" w:space="0"/>
              <w:left w:val="single" w:color="auto" w:sz="6" w:space="0"/>
              <w:right w:val="single" w:color="auto" w:sz="6" w:space="0"/>
            </w:tcBorders>
            <w:noWrap/>
            <w:vAlign w:val="center"/>
          </w:tcPr>
          <w:p w14:paraId="0A21FE6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项目技术</w:t>
            </w:r>
          </w:p>
          <w:p w14:paraId="093217D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1968084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3CB37C2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4597E1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FD97D6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C8D292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01857D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710297A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w:t>
            </w:r>
          </w:p>
        </w:tc>
        <w:tc>
          <w:tcPr>
            <w:tcW w:w="1424" w:type="dxa"/>
            <w:tcBorders>
              <w:top w:val="single" w:color="auto" w:sz="6" w:space="0"/>
              <w:left w:val="single" w:color="auto" w:sz="6" w:space="0"/>
              <w:right w:val="single" w:color="auto" w:sz="6" w:space="0"/>
            </w:tcBorders>
            <w:noWrap/>
            <w:vAlign w:val="center"/>
          </w:tcPr>
          <w:p w14:paraId="2AC5FBA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项目设计</w:t>
            </w:r>
          </w:p>
          <w:p w14:paraId="3294081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721184F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FC7128D">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49E38B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543D8F2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81A542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956F7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shd w:val="clear" w:color="auto" w:fill="auto"/>
            <w:noWrap/>
            <w:vAlign w:val="center"/>
          </w:tcPr>
          <w:p w14:paraId="086E6A18">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w:t>
            </w:r>
          </w:p>
        </w:tc>
        <w:tc>
          <w:tcPr>
            <w:tcW w:w="1424" w:type="dxa"/>
            <w:tcBorders>
              <w:top w:val="single" w:color="auto" w:sz="6" w:space="0"/>
              <w:left w:val="single" w:color="auto" w:sz="6" w:space="0"/>
              <w:right w:val="single" w:color="auto" w:sz="6" w:space="0"/>
            </w:tcBorders>
            <w:noWrap/>
            <w:vAlign w:val="center"/>
          </w:tcPr>
          <w:p w14:paraId="367AC32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勘察负责人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7861CF4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9BF0EC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528F0F2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00B6FF9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271BE0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5B40E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right w:val="single" w:color="auto" w:sz="6" w:space="0"/>
            </w:tcBorders>
            <w:shd w:val="clear" w:color="auto" w:fill="auto"/>
            <w:noWrap/>
            <w:vAlign w:val="center"/>
          </w:tcPr>
          <w:p w14:paraId="0E90B66B">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w:t>
            </w:r>
          </w:p>
        </w:tc>
        <w:tc>
          <w:tcPr>
            <w:tcW w:w="1424" w:type="dxa"/>
            <w:tcBorders>
              <w:top w:val="single" w:color="auto" w:sz="6" w:space="0"/>
              <w:left w:val="single" w:color="auto" w:sz="6" w:space="0"/>
              <w:bottom w:val="single" w:color="auto" w:sz="6" w:space="0"/>
              <w:right w:val="single" w:color="auto" w:sz="6" w:space="0"/>
            </w:tcBorders>
            <w:noWrap/>
            <w:vAlign w:val="center"/>
          </w:tcPr>
          <w:p w14:paraId="70A1A83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专职安全员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47A6AEF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E0D289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4A77DE2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54A6BD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1BA08220">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70793E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65709FC">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6</w:t>
            </w:r>
          </w:p>
        </w:tc>
        <w:tc>
          <w:tcPr>
            <w:tcW w:w="1424" w:type="dxa"/>
            <w:tcBorders>
              <w:top w:val="single" w:color="auto" w:sz="6" w:space="0"/>
              <w:left w:val="single" w:color="auto" w:sz="6" w:space="0"/>
              <w:bottom w:val="single" w:color="auto" w:sz="6" w:space="0"/>
              <w:right w:val="single" w:color="auto" w:sz="6" w:space="0"/>
            </w:tcBorders>
            <w:noWrap/>
            <w:vAlign w:val="center"/>
          </w:tcPr>
          <w:p w14:paraId="30A1CB3C">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施工员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42AD16D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F5043C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0976571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708130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5D2D9B4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6F5BF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C19DB79">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7</w:t>
            </w:r>
          </w:p>
        </w:tc>
        <w:tc>
          <w:tcPr>
            <w:tcW w:w="1424" w:type="dxa"/>
            <w:tcBorders>
              <w:top w:val="single" w:color="auto" w:sz="6" w:space="0"/>
              <w:left w:val="single" w:color="auto" w:sz="6" w:space="0"/>
              <w:bottom w:val="single" w:color="auto" w:sz="6" w:space="0"/>
              <w:right w:val="single" w:color="auto" w:sz="6" w:space="0"/>
            </w:tcBorders>
            <w:noWrap/>
            <w:vAlign w:val="center"/>
          </w:tcPr>
          <w:p w14:paraId="4E33F5D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质量员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34FA99D6">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7957E63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FE400D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1BB1A0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581F071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091D08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404A19C">
            <w:pPr>
              <w:wordWrap w:val="0"/>
              <w:adjustRightInd w:val="0"/>
              <w:snapToGrid w:val="0"/>
              <w:jc w:val="cente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8</w:t>
            </w:r>
          </w:p>
        </w:tc>
        <w:tc>
          <w:tcPr>
            <w:tcW w:w="1424" w:type="dxa"/>
            <w:tcBorders>
              <w:top w:val="single" w:color="auto" w:sz="6" w:space="0"/>
              <w:left w:val="single" w:color="auto" w:sz="6" w:space="0"/>
              <w:bottom w:val="single" w:color="auto" w:sz="6" w:space="0"/>
              <w:right w:val="single" w:color="auto" w:sz="6" w:space="0"/>
            </w:tcBorders>
            <w:noWrap/>
            <w:vAlign w:val="center"/>
          </w:tcPr>
          <w:p w14:paraId="6A32E8C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材料员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474891E5">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C08C0D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7F2EA53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29BF67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3109CBA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4E4F6A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30E99B9">
            <w:pPr>
              <w:wordWrap w:val="0"/>
              <w:adjustRightInd w:val="0"/>
              <w:snapToGrid w:val="0"/>
              <w:jc w:val="center"/>
              <w:rPr>
                <w:rFonts w:hint="default"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highlight w:val="none"/>
                <w:lang w:val="en-US" w:eastAsia="zh-CN" w:bidi="ar-SA"/>
                <w14:textFill>
                  <w14:solidFill>
                    <w14:schemeClr w14:val="tx1"/>
                  </w14:solidFill>
                </w14:textFill>
              </w:rPr>
              <w:t>9</w:t>
            </w:r>
          </w:p>
        </w:tc>
        <w:tc>
          <w:tcPr>
            <w:tcW w:w="1424" w:type="dxa"/>
            <w:tcBorders>
              <w:top w:val="single" w:color="auto" w:sz="6" w:space="0"/>
              <w:left w:val="single" w:color="auto" w:sz="6" w:space="0"/>
              <w:bottom w:val="single" w:color="auto" w:sz="6" w:space="0"/>
              <w:right w:val="single" w:color="auto" w:sz="6" w:space="0"/>
            </w:tcBorders>
            <w:noWrap/>
            <w:vAlign w:val="center"/>
          </w:tcPr>
          <w:p w14:paraId="3CDC75F9">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资料员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001F7A4A">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1C3B98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06626CAE">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1754093">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2CAE6B7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tr w14:paraId="38F69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6"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3E5DA711">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424" w:type="dxa"/>
            <w:tcBorders>
              <w:top w:val="single" w:color="auto" w:sz="6" w:space="0"/>
              <w:left w:val="single" w:color="auto" w:sz="6" w:space="0"/>
              <w:bottom w:val="single" w:color="auto" w:sz="6" w:space="0"/>
              <w:right w:val="single" w:color="auto" w:sz="6" w:space="0"/>
            </w:tcBorders>
            <w:noWrap/>
            <w:vAlign w:val="center"/>
          </w:tcPr>
          <w:p w14:paraId="5B4D2DB4">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w:t>
            </w:r>
          </w:p>
        </w:tc>
        <w:tc>
          <w:tcPr>
            <w:tcW w:w="1358" w:type="dxa"/>
            <w:tcBorders>
              <w:top w:val="single" w:color="auto" w:sz="6" w:space="0"/>
              <w:left w:val="single" w:color="auto" w:sz="6" w:space="0"/>
              <w:bottom w:val="single" w:color="auto" w:sz="6" w:space="0"/>
              <w:right w:val="single" w:color="auto" w:sz="6" w:space="0"/>
            </w:tcBorders>
            <w:noWrap/>
            <w:vAlign w:val="center"/>
          </w:tcPr>
          <w:p w14:paraId="4CFE553B">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917E9B8">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7E9B9D47">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11A0BCD2">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8EA27DF">
            <w:pPr>
              <w:wordWrap w:val="0"/>
              <w:adjustRightInd w:val="0"/>
              <w:snapToGrid w:val="0"/>
              <w:jc w:val="cente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p>
        </w:tc>
      </w:tr>
      <w:bookmarkEnd w:id="609"/>
    </w:tbl>
    <w:p w14:paraId="24A36270">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bookmarkStart w:id="612" w:name="_Toc8648"/>
      <w:bookmarkStart w:id="613" w:name="_Toc25577"/>
      <w:bookmarkStart w:id="614" w:name="_Toc36804690"/>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说明：</w:t>
      </w:r>
    </w:p>
    <w:p w14:paraId="66447872">
      <w:pPr>
        <w:wordWrap w:val="0"/>
        <w:adjustRightInd w:val="0"/>
        <w:snapToGrid w:val="0"/>
        <w:spacing w:line="400" w:lineRule="exact"/>
        <w:ind w:firstLine="480" w:firstLineChars="200"/>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1．《项目管理机构组成表》后应附表中拟派人员（项目经理、项目技术负责人、项目设计负责人</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、勘察负责人</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除外）以下资料：</w:t>
      </w:r>
    </w:p>
    <w:p w14:paraId="772B27CA">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（1）身份证证彩色扫描件；</w:t>
      </w:r>
    </w:p>
    <w:p w14:paraId="1944BBE8">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（2）职称证或岗位证或培训证</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或执业证书</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彩色扫描件；</w:t>
      </w:r>
    </w:p>
    <w:p w14:paraId="076B6F6A">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（3）专职安全员须提供C类安全生产考核合格证书证彩色扫描件或“广东省建筑施工企业管理人员安全生产考核系统”考核合格信息打印页；</w:t>
      </w:r>
    </w:p>
    <w:p w14:paraId="2CA76E52">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（4）在本单位缴纳社保的证明（</w:t>
      </w:r>
      <w:r>
        <w:rPr>
          <w:rFonts w:hint="eastAsia" w:asciiTheme="minorEastAsia" w:hAnsiTheme="minorEastAsia" w:eastAsiaTheme="minorEastAsia" w:cstheme="minorEastAsia"/>
          <w:snapToGrid w:val="0"/>
          <w:color w:val="000000" w:themeColor="text1"/>
          <w:kern w:val="0"/>
          <w:szCs w:val="24"/>
          <w:highlight w:val="none"/>
          <w:lang w:val="en-US" w:eastAsia="zh-CN"/>
          <w14:textFill>
            <w14:solidFill>
              <w14:schemeClr w14:val="tx1"/>
            </w14:solidFill>
          </w14:textFill>
        </w:rPr>
        <w:t>至少3个月，其中必须中2026年2月</w:t>
      </w: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）彩色扫描件；拟派人员为退休返聘人员无法提供社保证明的，提供退休证和劳动合同彩色扫描件；</w:t>
      </w:r>
    </w:p>
    <w:p w14:paraId="0714650D">
      <w:pPr>
        <w:wordWrap w:val="0"/>
        <w:adjustRightInd w:val="0"/>
        <w:snapToGrid w:val="0"/>
        <w:spacing w:line="400" w:lineRule="exact"/>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（5）“进粤企业和人员诚信信息登记平台”个人信息情况截图。（适用于省外建筑企业）。</w:t>
      </w:r>
    </w:p>
    <w:p w14:paraId="7D66C205">
      <w:pPr>
        <w:wordWrap w:val="0"/>
        <w:adjustRightInd w:val="0"/>
        <w:snapToGrid w:val="0"/>
        <w:spacing w:line="400" w:lineRule="exac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4"/>
          <w:highlight w:val="none"/>
          <w14:textFill>
            <w14:solidFill>
              <w14:schemeClr w14:val="tx1"/>
            </w14:solidFill>
          </w14:textFill>
        </w:rPr>
        <w:t xml:space="preserve">    2．联合体投标的，《项目管理机构组成表》应包括联合体成员单位参与项目管理机构的人员，并提供以上所需资料。</w:t>
      </w:r>
    </w:p>
    <w:p w14:paraId="32BAE323">
      <w:pP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br w:type="page"/>
      </w:r>
    </w:p>
    <w:p w14:paraId="06F08895">
      <w:pPr>
        <w:outlineLvl w:val="9"/>
        <w:rPr>
          <w:rFonts w:hint="eastAsia"/>
          <w:color w:val="000000" w:themeColor="text1"/>
          <w:highlight w:val="none"/>
          <w14:textFill>
            <w14:solidFill>
              <w14:schemeClr w14:val="tx1"/>
            </w14:solidFill>
          </w14:textFill>
        </w:rPr>
      </w:pPr>
    </w:p>
    <w:p w14:paraId="1BC61B8E">
      <w:pPr>
        <w:pStyle w:val="4"/>
        <w:spacing w:before="136"/>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pPr>
      <w:bookmarkStart w:id="615" w:name="_Toc4938"/>
      <w:bookmarkStart w:id="616" w:name="_Toc9412"/>
      <w:bookmarkStart w:id="617" w:name="_Toc193"/>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格式十</w:t>
      </w:r>
      <w:r>
        <w:rPr>
          <w:rFonts w:hint="eastAsia" w:asciiTheme="minorEastAsia" w:hAnsiTheme="minorEastAsia" w:eastAsiaTheme="minorEastAsia" w:cstheme="minorEastAsia"/>
          <w:b/>
          <w:bCs/>
          <w:color w:val="000000" w:themeColor="text1"/>
          <w:szCs w:val="24"/>
          <w:highlight w:val="none"/>
          <w:lang w:val="en-US" w:eastAsia="zh-CN"/>
          <w14:textFill>
            <w14:solidFill>
              <w14:schemeClr w14:val="tx1"/>
            </w14:solidFill>
          </w14:textFill>
        </w:rPr>
        <w:t>三</w:t>
      </w:r>
      <w:r>
        <w:rPr>
          <w:rFonts w:hint="eastAsia" w:asciiTheme="minorEastAsia" w:hAnsiTheme="minorEastAsia" w:eastAsiaTheme="minorEastAsia" w:cstheme="minorEastAsia"/>
          <w:b/>
          <w:bCs/>
          <w:color w:val="000000" w:themeColor="text1"/>
          <w:szCs w:val="24"/>
          <w:highlight w:val="none"/>
          <w14:textFill>
            <w14:solidFill>
              <w14:schemeClr w14:val="tx1"/>
            </w14:solidFill>
          </w14:textFill>
        </w:rPr>
        <w:t xml:space="preserve"> 原件一览表</w:t>
      </w:r>
      <w:bookmarkEnd w:id="615"/>
      <w:bookmarkEnd w:id="616"/>
      <w:bookmarkEnd w:id="617"/>
    </w:p>
    <w:p w14:paraId="483AC83E">
      <w:pPr>
        <w:spacing w:line="336" w:lineRule="auto"/>
        <w:contextualSpacing/>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bl>
      <w:tblPr>
        <w:tblStyle w:val="21"/>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0"/>
        <w:gridCol w:w="1505"/>
        <w:gridCol w:w="623"/>
        <w:gridCol w:w="1369"/>
        <w:gridCol w:w="1623"/>
        <w:gridCol w:w="753"/>
        <w:gridCol w:w="957"/>
        <w:gridCol w:w="1570"/>
      </w:tblGrid>
      <w:tr w14:paraId="133A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9100" w:type="dxa"/>
            <w:gridSpan w:val="8"/>
            <w:noWrap/>
            <w:tcMar>
              <w:left w:w="108" w:type="dxa"/>
              <w:right w:w="108" w:type="dxa"/>
            </w:tcMar>
            <w:vAlign w:val="center"/>
          </w:tcPr>
          <w:p w14:paraId="7A1E61B3">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4"/>
                <w:highlight w:val="none"/>
                <w14:textFill>
                  <w14:solidFill>
                    <w14:schemeClr w14:val="tx1"/>
                  </w14:solidFill>
                </w14:textFill>
              </w:rPr>
              <w:t>原件一览表</w:t>
            </w:r>
          </w:p>
        </w:tc>
      </w:tr>
      <w:tr w14:paraId="11C1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6AA55428">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工程名称</w:t>
            </w:r>
          </w:p>
        </w:tc>
        <w:tc>
          <w:tcPr>
            <w:tcW w:w="6272" w:type="dxa"/>
            <w:gridSpan w:val="5"/>
            <w:noWrap/>
            <w:tcMar>
              <w:left w:w="108" w:type="dxa"/>
              <w:right w:w="108" w:type="dxa"/>
            </w:tcMar>
            <w:vAlign w:val="center"/>
          </w:tcPr>
          <w:p w14:paraId="6B407179">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r>
      <w:tr w14:paraId="6E9E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388CAC08">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投标人名称                （请务必填写单位全称）</w:t>
            </w:r>
          </w:p>
        </w:tc>
        <w:tc>
          <w:tcPr>
            <w:tcW w:w="6272" w:type="dxa"/>
            <w:gridSpan w:val="5"/>
            <w:noWrap/>
            <w:tcMar>
              <w:left w:w="108" w:type="dxa"/>
              <w:right w:w="108" w:type="dxa"/>
            </w:tcMar>
            <w:vAlign w:val="center"/>
          </w:tcPr>
          <w:p w14:paraId="31AA0441">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w:t>
            </w:r>
          </w:p>
        </w:tc>
      </w:tr>
      <w:tr w14:paraId="4D25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2828" w:type="dxa"/>
            <w:gridSpan w:val="3"/>
            <w:noWrap/>
            <w:tcMar>
              <w:left w:w="108" w:type="dxa"/>
              <w:right w:w="108" w:type="dxa"/>
            </w:tcMar>
            <w:vAlign w:val="center"/>
          </w:tcPr>
          <w:p w14:paraId="051B511F">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投标人法定代表人或其</w:t>
            </w:r>
          </w:p>
          <w:p w14:paraId="1B2DB12B">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委托代理人签名</w:t>
            </w:r>
          </w:p>
        </w:tc>
        <w:tc>
          <w:tcPr>
            <w:tcW w:w="2992" w:type="dxa"/>
            <w:gridSpan w:val="2"/>
            <w:noWrap/>
            <w:tcMar>
              <w:left w:w="108" w:type="dxa"/>
              <w:right w:w="108" w:type="dxa"/>
            </w:tcMar>
            <w:vAlign w:val="center"/>
          </w:tcPr>
          <w:p w14:paraId="5DF9AB83">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w:t>
            </w:r>
          </w:p>
        </w:tc>
        <w:tc>
          <w:tcPr>
            <w:tcW w:w="753" w:type="dxa"/>
            <w:noWrap/>
            <w:tcMar>
              <w:left w:w="108" w:type="dxa"/>
              <w:right w:w="108" w:type="dxa"/>
            </w:tcMar>
            <w:vAlign w:val="center"/>
          </w:tcPr>
          <w:p w14:paraId="5064241D">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手机号码</w:t>
            </w:r>
          </w:p>
        </w:tc>
        <w:tc>
          <w:tcPr>
            <w:tcW w:w="2527" w:type="dxa"/>
            <w:gridSpan w:val="2"/>
            <w:noWrap/>
            <w:tcMar>
              <w:left w:w="108" w:type="dxa"/>
              <w:right w:w="108" w:type="dxa"/>
            </w:tcMar>
            <w:vAlign w:val="center"/>
          </w:tcPr>
          <w:p w14:paraId="17F4AE20">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w:t>
            </w:r>
          </w:p>
        </w:tc>
      </w:tr>
      <w:tr w14:paraId="5483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9100" w:type="dxa"/>
            <w:gridSpan w:val="8"/>
            <w:noWrap/>
            <w:tcMar>
              <w:left w:w="108" w:type="dxa"/>
              <w:right w:w="108" w:type="dxa"/>
            </w:tcMar>
            <w:vAlign w:val="center"/>
          </w:tcPr>
          <w:p w14:paraId="24B99115">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递交的证明材料原件如下：</w:t>
            </w:r>
          </w:p>
        </w:tc>
      </w:tr>
      <w:tr w14:paraId="2C9B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577EA55C">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序号</w:t>
            </w:r>
          </w:p>
        </w:tc>
        <w:tc>
          <w:tcPr>
            <w:tcW w:w="5120" w:type="dxa"/>
            <w:gridSpan w:val="4"/>
            <w:noWrap/>
            <w:tcMar>
              <w:left w:w="108" w:type="dxa"/>
              <w:right w:w="108" w:type="dxa"/>
            </w:tcMar>
            <w:vAlign w:val="center"/>
          </w:tcPr>
          <w:p w14:paraId="59AC2125">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证明材料原件名称</w:t>
            </w:r>
          </w:p>
        </w:tc>
        <w:tc>
          <w:tcPr>
            <w:tcW w:w="1710" w:type="dxa"/>
            <w:gridSpan w:val="2"/>
            <w:noWrap/>
            <w:tcMar>
              <w:left w:w="108" w:type="dxa"/>
              <w:right w:w="108" w:type="dxa"/>
            </w:tcMar>
            <w:vAlign w:val="center"/>
          </w:tcPr>
          <w:p w14:paraId="68DB2E0F">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单位</w:t>
            </w:r>
          </w:p>
        </w:tc>
        <w:tc>
          <w:tcPr>
            <w:tcW w:w="1570" w:type="dxa"/>
            <w:noWrap/>
            <w:tcMar>
              <w:left w:w="108" w:type="dxa"/>
              <w:right w:w="108" w:type="dxa"/>
            </w:tcMar>
            <w:vAlign w:val="center"/>
          </w:tcPr>
          <w:p w14:paraId="09C2EA9A">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数量</w:t>
            </w:r>
          </w:p>
        </w:tc>
      </w:tr>
      <w:tr w14:paraId="7B13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6CE9AF06">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w:t>
            </w:r>
          </w:p>
        </w:tc>
        <w:tc>
          <w:tcPr>
            <w:tcW w:w="5120" w:type="dxa"/>
            <w:gridSpan w:val="4"/>
            <w:noWrap/>
            <w:tcMar>
              <w:left w:w="108" w:type="dxa"/>
              <w:right w:w="108" w:type="dxa"/>
            </w:tcMar>
            <w:vAlign w:val="center"/>
          </w:tcPr>
          <w:p w14:paraId="6AA9A8AA">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710" w:type="dxa"/>
            <w:gridSpan w:val="2"/>
            <w:noWrap/>
            <w:tcMar>
              <w:left w:w="108" w:type="dxa"/>
              <w:right w:w="108" w:type="dxa"/>
            </w:tcMar>
            <w:vAlign w:val="center"/>
          </w:tcPr>
          <w:p w14:paraId="551C0982">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570" w:type="dxa"/>
            <w:noWrap/>
            <w:tcMar>
              <w:left w:w="108" w:type="dxa"/>
              <w:right w:w="108" w:type="dxa"/>
            </w:tcMar>
            <w:vAlign w:val="center"/>
          </w:tcPr>
          <w:p w14:paraId="6592B393">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w:t>
            </w:r>
          </w:p>
        </w:tc>
      </w:tr>
      <w:tr w14:paraId="5A23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3C983A57">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w:t>
            </w:r>
          </w:p>
        </w:tc>
        <w:tc>
          <w:tcPr>
            <w:tcW w:w="5120" w:type="dxa"/>
            <w:gridSpan w:val="4"/>
            <w:noWrap/>
            <w:tcMar>
              <w:left w:w="108" w:type="dxa"/>
              <w:right w:w="108" w:type="dxa"/>
            </w:tcMar>
            <w:vAlign w:val="center"/>
          </w:tcPr>
          <w:p w14:paraId="3F676136">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710" w:type="dxa"/>
            <w:gridSpan w:val="2"/>
            <w:noWrap/>
            <w:tcMar>
              <w:left w:w="108" w:type="dxa"/>
              <w:right w:w="108" w:type="dxa"/>
            </w:tcMar>
            <w:vAlign w:val="center"/>
          </w:tcPr>
          <w:p w14:paraId="6D6CEDA0">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570" w:type="dxa"/>
            <w:noWrap/>
            <w:tcMar>
              <w:left w:w="108" w:type="dxa"/>
              <w:right w:w="108" w:type="dxa"/>
            </w:tcMar>
            <w:vAlign w:val="center"/>
          </w:tcPr>
          <w:p w14:paraId="2DD7533B">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r>
      <w:tr w14:paraId="1D9C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1DAC6AE3">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w:t>
            </w:r>
          </w:p>
        </w:tc>
        <w:tc>
          <w:tcPr>
            <w:tcW w:w="5120" w:type="dxa"/>
            <w:gridSpan w:val="4"/>
            <w:noWrap/>
            <w:tcMar>
              <w:left w:w="108" w:type="dxa"/>
              <w:right w:w="108" w:type="dxa"/>
            </w:tcMar>
            <w:vAlign w:val="center"/>
          </w:tcPr>
          <w:p w14:paraId="44D0A20E">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710" w:type="dxa"/>
            <w:gridSpan w:val="2"/>
            <w:noWrap/>
            <w:tcMar>
              <w:left w:w="108" w:type="dxa"/>
              <w:right w:w="108" w:type="dxa"/>
            </w:tcMar>
            <w:vAlign w:val="center"/>
          </w:tcPr>
          <w:p w14:paraId="3488AB50">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570" w:type="dxa"/>
            <w:noWrap/>
            <w:tcMar>
              <w:left w:w="108" w:type="dxa"/>
              <w:right w:w="108" w:type="dxa"/>
            </w:tcMar>
            <w:vAlign w:val="center"/>
          </w:tcPr>
          <w:p w14:paraId="7C087D9E">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r>
      <w:tr w14:paraId="2CAE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5" w:hRule="atLeast"/>
        </w:trPr>
        <w:tc>
          <w:tcPr>
            <w:tcW w:w="700" w:type="dxa"/>
            <w:noWrap/>
            <w:tcMar>
              <w:left w:w="108" w:type="dxa"/>
              <w:right w:w="108" w:type="dxa"/>
            </w:tcMar>
            <w:vAlign w:val="center"/>
          </w:tcPr>
          <w:p w14:paraId="64F799F4">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p>
        </w:tc>
        <w:tc>
          <w:tcPr>
            <w:tcW w:w="5120" w:type="dxa"/>
            <w:gridSpan w:val="4"/>
            <w:noWrap/>
            <w:tcMar>
              <w:left w:w="108" w:type="dxa"/>
              <w:right w:w="108" w:type="dxa"/>
            </w:tcMar>
            <w:vAlign w:val="center"/>
          </w:tcPr>
          <w:p w14:paraId="1659CA85">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710" w:type="dxa"/>
            <w:gridSpan w:val="2"/>
            <w:noWrap/>
            <w:tcMar>
              <w:left w:w="108" w:type="dxa"/>
              <w:right w:w="108" w:type="dxa"/>
            </w:tcMar>
            <w:vAlign w:val="center"/>
          </w:tcPr>
          <w:p w14:paraId="3DA24B9B">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570" w:type="dxa"/>
            <w:noWrap/>
            <w:tcMar>
              <w:left w:w="108" w:type="dxa"/>
              <w:right w:w="108" w:type="dxa"/>
            </w:tcMar>
            <w:vAlign w:val="center"/>
          </w:tcPr>
          <w:p w14:paraId="155705CC">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w:t>
            </w:r>
          </w:p>
        </w:tc>
      </w:tr>
      <w:tr w14:paraId="3F24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28" w:hRule="atLeast"/>
        </w:trPr>
        <w:tc>
          <w:tcPr>
            <w:tcW w:w="700" w:type="dxa"/>
            <w:noWrap/>
            <w:tcMar>
              <w:left w:w="108" w:type="dxa"/>
              <w:right w:w="108" w:type="dxa"/>
            </w:tcMar>
            <w:vAlign w:val="center"/>
          </w:tcPr>
          <w:p w14:paraId="08DE73B5">
            <w:pPr>
              <w:ind w:left="8" w:hanging="94"/>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注意：</w:t>
            </w:r>
          </w:p>
        </w:tc>
        <w:tc>
          <w:tcPr>
            <w:tcW w:w="8400" w:type="dxa"/>
            <w:gridSpan w:val="7"/>
            <w:noWrap/>
            <w:tcMar>
              <w:left w:w="108" w:type="dxa"/>
              <w:right w:w="108" w:type="dxa"/>
            </w:tcMar>
            <w:vAlign w:val="center"/>
          </w:tcPr>
          <w:p w14:paraId="39011553">
            <w:pPr>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713E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5" w:hRule="atLeast"/>
        </w:trPr>
        <w:tc>
          <w:tcPr>
            <w:tcW w:w="2205" w:type="dxa"/>
            <w:gridSpan w:val="2"/>
            <w:noWrap/>
            <w:tcMar>
              <w:left w:w="108" w:type="dxa"/>
              <w:right w:w="108" w:type="dxa"/>
            </w:tcMar>
            <w:vAlign w:val="center"/>
          </w:tcPr>
          <w:p w14:paraId="03248E81">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接收原件经办人（招标代理）：</w:t>
            </w:r>
          </w:p>
        </w:tc>
        <w:tc>
          <w:tcPr>
            <w:tcW w:w="1992" w:type="dxa"/>
            <w:gridSpan w:val="2"/>
            <w:noWrap/>
            <w:tcMar>
              <w:left w:w="108" w:type="dxa"/>
              <w:right w:w="108" w:type="dxa"/>
            </w:tcMar>
            <w:vAlign w:val="center"/>
          </w:tcPr>
          <w:p w14:paraId="5BCE5A61">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623" w:type="dxa"/>
            <w:noWrap/>
            <w:tcMar>
              <w:left w:w="108" w:type="dxa"/>
              <w:right w:w="108" w:type="dxa"/>
            </w:tcMar>
            <w:vAlign w:val="center"/>
          </w:tcPr>
          <w:p w14:paraId="43254EA9">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接收时间：</w:t>
            </w:r>
          </w:p>
        </w:tc>
        <w:tc>
          <w:tcPr>
            <w:tcW w:w="3280" w:type="dxa"/>
            <w:gridSpan w:val="3"/>
            <w:noWrap/>
            <w:tcMar>
              <w:left w:w="108" w:type="dxa"/>
              <w:right w:w="108" w:type="dxa"/>
            </w:tcMar>
            <w:vAlign w:val="center"/>
          </w:tcPr>
          <w:p w14:paraId="6922A9E2">
            <w:pPr>
              <w:ind w:firstLine="480" w:firstLineChars="20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   月   日   时  分</w:t>
            </w:r>
          </w:p>
        </w:tc>
      </w:tr>
      <w:tr w14:paraId="44B1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89" w:hRule="atLeast"/>
        </w:trPr>
        <w:tc>
          <w:tcPr>
            <w:tcW w:w="2205" w:type="dxa"/>
            <w:gridSpan w:val="2"/>
            <w:noWrap/>
            <w:tcMar>
              <w:left w:w="108" w:type="dxa"/>
              <w:right w:w="108" w:type="dxa"/>
            </w:tcMar>
            <w:vAlign w:val="center"/>
          </w:tcPr>
          <w:p w14:paraId="1772F5DD">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退还原件接收人（投标人）：</w:t>
            </w:r>
          </w:p>
        </w:tc>
        <w:tc>
          <w:tcPr>
            <w:tcW w:w="1992" w:type="dxa"/>
            <w:gridSpan w:val="2"/>
            <w:noWrap/>
            <w:tcMar>
              <w:left w:w="108" w:type="dxa"/>
              <w:right w:w="108" w:type="dxa"/>
            </w:tcMar>
            <w:vAlign w:val="center"/>
          </w:tcPr>
          <w:p w14:paraId="74892C54">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tc>
        <w:tc>
          <w:tcPr>
            <w:tcW w:w="1623" w:type="dxa"/>
            <w:noWrap/>
            <w:tcMar>
              <w:left w:w="108" w:type="dxa"/>
              <w:right w:w="108" w:type="dxa"/>
            </w:tcMar>
            <w:vAlign w:val="center"/>
          </w:tcPr>
          <w:p w14:paraId="3627CE04">
            <w:pPr>
              <w:jc w:val="center"/>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退还时间：</w:t>
            </w:r>
          </w:p>
        </w:tc>
        <w:tc>
          <w:tcPr>
            <w:tcW w:w="3280" w:type="dxa"/>
            <w:gridSpan w:val="3"/>
            <w:noWrap/>
            <w:tcMar>
              <w:left w:w="108" w:type="dxa"/>
              <w:right w:w="108" w:type="dxa"/>
            </w:tcMar>
            <w:vAlign w:val="center"/>
          </w:tcPr>
          <w:p w14:paraId="425E27C0">
            <w:pPr>
              <w:ind w:firstLine="480" w:firstLineChars="200"/>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   月   日   时  分</w:t>
            </w:r>
          </w:p>
        </w:tc>
      </w:tr>
      <w:bookmarkEnd w:id="612"/>
      <w:bookmarkEnd w:id="613"/>
      <w:bookmarkEnd w:id="614"/>
    </w:tbl>
    <w:p w14:paraId="261C5855">
      <w:pPr>
        <w:pStyle w:val="80"/>
        <w:snapToGrid w:val="0"/>
        <w:spacing w:line="440" w:lineRule="exact"/>
        <w:ind w:left="0" w:leftChars="0" w:firstLine="0" w:firstLineChars="0"/>
        <w:outlineLvl w:val="9"/>
        <w:rPr>
          <w:rFonts w:hint="eastAsia" w:ascii="Times New Roman" w:hAnsi="宋体" w:eastAsia="宋体" w:cs="Times New Roman"/>
          <w:b/>
          <w:bCs/>
          <w:snapToGrid w:val="0"/>
          <w:color w:val="000000" w:themeColor="text1"/>
          <w:kern w:val="2"/>
          <w:sz w:val="21"/>
          <w:szCs w:val="21"/>
          <w:highlight w:val="none"/>
          <w:lang w:eastAsia="zh-CN"/>
          <w14:textFill>
            <w14:solidFill>
              <w14:schemeClr w14:val="tx1"/>
            </w14:solidFill>
          </w14:textFill>
        </w:rPr>
      </w:pPr>
      <w:bookmarkStart w:id="618" w:name="_Toc26911"/>
      <w:bookmarkStart w:id="619" w:name="_Toc26133"/>
      <w:bookmarkStart w:id="620" w:name="_Toc8121"/>
      <w:bookmarkStart w:id="621" w:name="_Toc8821"/>
      <w:bookmarkStart w:id="622" w:name="_Toc26622"/>
      <w:bookmarkStart w:id="623" w:name="_Toc22541"/>
      <w:bookmarkStart w:id="624" w:name="_Toc6918"/>
      <w:bookmarkStart w:id="625" w:name="_Toc9816"/>
      <w:bookmarkStart w:id="626" w:name="_Toc26638"/>
      <w:bookmarkStart w:id="627" w:name="_Toc23446"/>
    </w:p>
    <w:p w14:paraId="4C702146">
      <w:pPr>
        <w:pStyle w:val="80"/>
        <w:snapToGrid w:val="0"/>
        <w:spacing w:line="440" w:lineRule="exact"/>
        <w:ind w:left="0" w:leftChars="0" w:firstLine="0" w:firstLineChars="0"/>
        <w:outlineLvl w:val="9"/>
        <w:rPr>
          <w:rFonts w:hint="eastAsia" w:ascii="Times New Roman" w:hAnsi="宋体" w:eastAsia="宋体" w:cs="Times New Roman"/>
          <w:b/>
          <w:bCs/>
          <w:snapToGrid w:val="0"/>
          <w:color w:val="000000" w:themeColor="text1"/>
          <w:kern w:val="2"/>
          <w:sz w:val="21"/>
          <w:szCs w:val="21"/>
          <w:highlight w:val="none"/>
          <w:lang w:eastAsia="zh-CN"/>
          <w14:textFill>
            <w14:solidFill>
              <w14:schemeClr w14:val="tx1"/>
            </w14:solidFill>
          </w14:textFill>
        </w:rPr>
      </w:pPr>
    </w:p>
    <w:p w14:paraId="4B71295E">
      <w:pPr>
        <w:pStyle w:val="80"/>
        <w:snapToGrid w:val="0"/>
        <w:spacing w:line="440" w:lineRule="exact"/>
        <w:ind w:left="0" w:leftChars="0" w:firstLine="0" w:firstLineChars="0"/>
        <w:outlineLvl w:val="1"/>
        <w:rPr>
          <w:rFonts w:hint="eastAsia" w:ascii="Times New Roman" w:hAnsi="宋体" w:eastAsia="宋体" w:cs="Times New Roman"/>
          <w:b/>
          <w:bCs/>
          <w:color w:val="000000" w:themeColor="text1"/>
          <w:sz w:val="21"/>
          <w:szCs w:val="21"/>
          <w:highlight w:val="none"/>
          <w:lang w:val="en-US" w:eastAsia="zh-CN"/>
          <w14:textFill>
            <w14:solidFill>
              <w14:schemeClr w14:val="tx1"/>
            </w14:solidFill>
          </w14:textFill>
        </w:rPr>
      </w:pPr>
      <w:bookmarkStart w:id="628" w:name="_Toc29747"/>
      <w:r>
        <w:rPr>
          <w:rFonts w:hint="eastAsia" w:ascii="Times New Roman" w:hAnsi="宋体" w:eastAsia="宋体" w:cs="Times New Roman"/>
          <w:b/>
          <w:bCs/>
          <w:snapToGrid w:val="0"/>
          <w:color w:val="000000" w:themeColor="text1"/>
          <w:kern w:val="2"/>
          <w:sz w:val="21"/>
          <w:szCs w:val="21"/>
          <w:highlight w:val="none"/>
          <w:lang w:eastAsia="zh-CN"/>
          <w14:textFill>
            <w14:solidFill>
              <w14:schemeClr w14:val="tx1"/>
            </w14:solidFill>
          </w14:textFill>
        </w:rPr>
        <w:t>格式十</w:t>
      </w:r>
      <w:r>
        <w:rPr>
          <w:rFonts w:hint="eastAsia" w:ascii="Times New Roman" w:hAnsi="宋体" w:cs="Times New Roman"/>
          <w:b/>
          <w:bCs/>
          <w:snapToGrid w:val="0"/>
          <w:color w:val="000000" w:themeColor="text1"/>
          <w:kern w:val="2"/>
          <w:sz w:val="21"/>
          <w:szCs w:val="21"/>
          <w:highlight w:val="none"/>
          <w:lang w:val="en-US" w:eastAsia="zh-CN"/>
          <w14:textFill>
            <w14:solidFill>
              <w14:schemeClr w14:val="tx1"/>
            </w14:solidFill>
          </w14:textFill>
        </w:rPr>
        <w:t>四</w:t>
      </w:r>
      <w:r>
        <w:rPr>
          <w:rFonts w:hint="eastAsia" w:ascii="Times New Roman" w:hAnsi="宋体" w:eastAsia="宋体" w:cs="Times New Roman"/>
          <w:b/>
          <w:bCs/>
          <w:snapToGrid w:val="0"/>
          <w:color w:val="000000" w:themeColor="text1"/>
          <w:kern w:val="2"/>
          <w:sz w:val="21"/>
          <w:szCs w:val="21"/>
          <w:highlight w:val="none"/>
          <w:lang w:val="en-US" w:eastAsia="zh-CN"/>
          <w14:textFill>
            <w14:solidFill>
              <w14:schemeClr w14:val="tx1"/>
            </w14:solidFill>
          </w14:textFill>
        </w:rPr>
        <w:t xml:space="preserve"> 定标因素评审资料</w:t>
      </w:r>
      <w:bookmarkEnd w:id="618"/>
      <w:bookmarkEnd w:id="619"/>
      <w:bookmarkEnd w:id="628"/>
    </w:p>
    <w:p w14:paraId="4AACD548">
      <w:pPr>
        <w:widowControl/>
        <w:kinsoku/>
        <w:autoSpaceDE/>
        <w:autoSpaceDN/>
        <w:adjustRightInd/>
        <w:snapToGrid/>
        <w:spacing w:line="500" w:lineRule="exact"/>
        <w:jc w:val="center"/>
        <w:textAlignment w:val="baseline"/>
        <w:rPr>
          <w:rFonts w:hint="eastAsia" w:ascii="宋体" w:hAnsi="宋体" w:eastAsia="宋体" w:cs="宋体"/>
          <w:b/>
          <w:bCs/>
          <w:snapToGrid/>
          <w:color w:val="000000" w:themeColor="text1"/>
          <w:kern w:val="2"/>
          <w:sz w:val="30"/>
          <w:szCs w:val="30"/>
          <w:highlight w:val="none"/>
          <w:lang w:eastAsia="zh-CN"/>
          <w14:textFill>
            <w14:solidFill>
              <w14:schemeClr w14:val="tx1"/>
            </w14:solidFill>
          </w14:textFill>
        </w:rPr>
      </w:pPr>
      <w:r>
        <w:rPr>
          <w:rFonts w:hint="eastAsia" w:ascii="宋体" w:hAnsi="宋体" w:eastAsia="宋体" w:cs="宋体"/>
          <w:b/>
          <w:bCs/>
          <w:snapToGrid/>
          <w:color w:val="000000" w:themeColor="text1"/>
          <w:kern w:val="2"/>
          <w:sz w:val="24"/>
          <w:szCs w:val="24"/>
          <w:highlight w:val="none"/>
          <w:lang w:eastAsia="zh-CN"/>
          <w14:textFill>
            <w14:solidFill>
              <w14:schemeClr w14:val="tx1"/>
            </w14:solidFill>
          </w14:textFill>
        </w:rPr>
        <w:t>定标因素评审资料</w:t>
      </w:r>
    </w:p>
    <w:p w14:paraId="78C747A0">
      <w:pPr>
        <w:widowControl/>
        <w:kinsoku/>
        <w:autoSpaceDE/>
        <w:autoSpaceDN/>
        <w:adjustRightInd/>
        <w:snapToGrid/>
        <w:spacing w:line="360" w:lineRule="auto"/>
        <w:jc w:val="left"/>
        <w:textAlignment w:val="baseline"/>
        <w:rPr>
          <w:rFonts w:hint="eastAsia" w:ascii="宋体" w:hAnsi="宋体" w:eastAsia="宋体" w:cs="宋体"/>
          <w:snapToGrid/>
          <w:color w:val="000000" w:themeColor="text1"/>
          <w:kern w:val="2"/>
          <w:sz w:val="24"/>
          <w:szCs w:val="24"/>
          <w:highlight w:val="none"/>
          <w:lang w:eastAsia="zh-CN"/>
          <w14:textFill>
            <w14:solidFill>
              <w14:schemeClr w14:val="tx1"/>
            </w14:solidFill>
          </w14:textFill>
        </w:rPr>
      </w:pPr>
    </w:p>
    <w:p w14:paraId="2BEC8406">
      <w:pPr>
        <w:rPr>
          <w:rFonts w:hint="eastAsia" w:asciiTheme="minorEastAsia" w:hAnsiTheme="minorEastAsia" w:eastAsiaTheme="minorEastAsia" w:cstheme="minorEastAsia"/>
          <w:b/>
          <w:color w:val="000000" w:themeColor="text1"/>
          <w:kern w:val="44"/>
          <w:szCs w:val="30"/>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投标人根据“第一章 第五节 定标规定及细则”载明的定标因素，提交评审资料。</w:t>
      </w:r>
    </w:p>
    <w:p w14:paraId="55C07FD1">
      <w:pPr>
        <w:rPr>
          <w:rFonts w:hint="eastAsia" w:asciiTheme="minorEastAsia" w:hAnsiTheme="minorEastAsia" w:eastAsiaTheme="minorEastAsia" w:cstheme="minorEastAsia"/>
          <w:b/>
          <w:color w:val="000000" w:themeColor="text1"/>
          <w:kern w:val="44"/>
          <w:szCs w:val="30"/>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44"/>
          <w:szCs w:val="30"/>
          <w:highlight w:val="none"/>
          <w14:textFill>
            <w14:solidFill>
              <w14:schemeClr w14:val="tx1"/>
            </w14:solidFill>
          </w14:textFill>
        </w:rPr>
        <w:br w:type="page"/>
      </w:r>
    </w:p>
    <w:p w14:paraId="2082FE14">
      <w:pPr>
        <w:pStyle w:val="3"/>
        <w:jc w:val="center"/>
        <w:rPr>
          <w:rFonts w:hint="eastAsia" w:asciiTheme="minorEastAsia" w:hAnsiTheme="minorEastAsia" w:eastAsiaTheme="minorEastAsia" w:cstheme="minorEastAsia"/>
          <w:b/>
          <w:color w:val="000000" w:themeColor="text1"/>
          <w:kern w:val="44"/>
          <w:szCs w:val="30"/>
          <w:highlight w:val="none"/>
          <w14:textFill>
            <w14:solidFill>
              <w14:schemeClr w14:val="tx1"/>
            </w14:solidFill>
          </w14:textFill>
        </w:rPr>
      </w:pPr>
      <w:bookmarkStart w:id="629" w:name="_Toc13013"/>
      <w:bookmarkStart w:id="630" w:name="_Toc9470"/>
      <w:r>
        <w:rPr>
          <w:rFonts w:hint="eastAsia" w:asciiTheme="minorEastAsia" w:hAnsiTheme="minorEastAsia" w:eastAsiaTheme="minorEastAsia" w:cstheme="minorEastAsia"/>
          <w:b/>
          <w:color w:val="000000" w:themeColor="text1"/>
          <w:kern w:val="44"/>
          <w:szCs w:val="30"/>
          <w:highlight w:val="none"/>
          <w14:textFill>
            <w14:solidFill>
              <w14:schemeClr w14:val="tx1"/>
            </w14:solidFill>
          </w14:textFill>
        </w:rPr>
        <w:t>第</w:t>
      </w:r>
      <w:r>
        <w:rPr>
          <w:rFonts w:hint="eastAsia" w:asciiTheme="minorEastAsia" w:hAnsiTheme="minorEastAsia" w:eastAsiaTheme="minorEastAsia" w:cstheme="minorEastAsia"/>
          <w:b/>
          <w:color w:val="000000" w:themeColor="text1"/>
          <w:kern w:val="44"/>
          <w:szCs w:val="30"/>
          <w:highlight w:val="none"/>
          <w:lang w:val="en-US" w:eastAsia="zh-CN"/>
          <w14:textFill>
            <w14:solidFill>
              <w14:schemeClr w14:val="tx1"/>
            </w14:solidFill>
          </w14:textFill>
        </w:rPr>
        <w:t>七</w:t>
      </w:r>
      <w:r>
        <w:rPr>
          <w:rFonts w:hint="eastAsia" w:asciiTheme="minorEastAsia" w:hAnsiTheme="minorEastAsia" w:eastAsiaTheme="minorEastAsia" w:cstheme="minorEastAsia"/>
          <w:b/>
          <w:color w:val="000000" w:themeColor="text1"/>
          <w:kern w:val="44"/>
          <w:szCs w:val="30"/>
          <w:highlight w:val="none"/>
          <w14:textFill>
            <w14:solidFill>
              <w14:schemeClr w14:val="tx1"/>
            </w14:solidFill>
          </w14:textFill>
        </w:rPr>
        <w:t>章  廉政合同、履约保函、支付保函</w:t>
      </w:r>
      <w:bookmarkEnd w:id="620"/>
      <w:bookmarkEnd w:id="621"/>
      <w:bookmarkEnd w:id="622"/>
      <w:bookmarkEnd w:id="623"/>
      <w:bookmarkEnd w:id="624"/>
      <w:bookmarkEnd w:id="625"/>
      <w:bookmarkEnd w:id="626"/>
      <w:bookmarkEnd w:id="627"/>
      <w:bookmarkEnd w:id="629"/>
      <w:bookmarkEnd w:id="630"/>
    </w:p>
    <w:p w14:paraId="172855D5">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192C8A41">
      <w:pPr>
        <w:pStyle w:val="5"/>
        <w:ind w:left="4511" w:leftChars="174" w:hanging="4093" w:hangingChars="1274"/>
        <w:jc w:val="cente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pPr>
      <w:bookmarkStart w:id="631" w:name="_Toc29713"/>
      <w:bookmarkStart w:id="632" w:name="_Toc16029"/>
      <w:bookmarkStart w:id="633" w:name="_Toc30503"/>
      <w:bookmarkStart w:id="634" w:name="_Toc5845"/>
      <w:bookmarkStart w:id="635" w:name="_Toc20232"/>
      <w:bookmarkStart w:id="636" w:name="_Toc23486"/>
      <w:bookmarkStart w:id="637" w:name="_Toc10193"/>
      <w:bookmarkStart w:id="638" w:name="_Toc10603"/>
      <w:bookmarkStart w:id="639" w:name="_Toc14151"/>
      <w:bookmarkStart w:id="640" w:name="_Toc5870"/>
      <w:bookmarkStart w:id="641" w:name="_Toc32046"/>
      <w:bookmarkStart w:id="642" w:name="_Toc2994"/>
      <w: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t>廉政合同</w:t>
      </w:r>
      <w:bookmarkEnd w:id="631"/>
      <w:bookmarkEnd w:id="632"/>
      <w:bookmarkEnd w:id="633"/>
      <w:bookmarkEnd w:id="634"/>
      <w:bookmarkEnd w:id="635"/>
      <w:bookmarkEnd w:id="636"/>
      <w:bookmarkEnd w:id="637"/>
      <w:bookmarkEnd w:id="638"/>
      <w:bookmarkEnd w:id="639"/>
      <w:bookmarkEnd w:id="640"/>
      <w:bookmarkEnd w:id="641"/>
      <w:bookmarkEnd w:id="642"/>
    </w:p>
    <w:p w14:paraId="4CEB01C0">
      <w:pPr>
        <w:tabs>
          <w:tab w:val="left" w:pos="9100"/>
        </w:tabs>
        <w:autoSpaceDE w:val="0"/>
        <w:autoSpaceDN w:val="0"/>
        <w:adjustRightInd w:val="0"/>
        <w:spacing w:line="460" w:lineRule="atLeast"/>
        <w:ind w:left="101" w:right="101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招标人：（全称）</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ab/>
      </w:r>
    </w:p>
    <w:p w14:paraId="767DC3F8">
      <w:pPr>
        <w:tabs>
          <w:tab w:val="left" w:pos="9100"/>
        </w:tabs>
        <w:autoSpaceDE w:val="0"/>
        <w:autoSpaceDN w:val="0"/>
        <w:adjustRightInd w:val="0"/>
        <w:spacing w:line="460" w:lineRule="atLeast"/>
        <w:ind w:left="101" w:right="101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中标人：（全称）</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ab/>
      </w:r>
    </w:p>
    <w:p w14:paraId="110241E6">
      <w:pPr>
        <w:autoSpaceDE w:val="0"/>
        <w:autoSpaceDN w:val="0"/>
        <w:adjustRightInd w:val="0"/>
        <w:spacing w:before="6" w:line="150" w:lineRule="exact"/>
        <w:jc w:val="left"/>
        <w:rPr>
          <w:rFonts w:hint="eastAsia" w:asciiTheme="minorEastAsia" w:hAnsiTheme="minorEastAsia" w:eastAsiaTheme="minorEastAsia" w:cstheme="minorEastAsia"/>
          <w:color w:val="000000" w:themeColor="text1"/>
          <w:kern w:val="0"/>
          <w:szCs w:val="15"/>
          <w:highlight w:val="none"/>
          <w14:textFill>
            <w14:solidFill>
              <w14:schemeClr w14:val="tx1"/>
            </w14:solidFill>
          </w14:textFill>
        </w:rPr>
      </w:pPr>
    </w:p>
    <w:p w14:paraId="30964C20">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1F3807F3">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44F84AE7">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position w:val="-3"/>
          <w:highlight w:val="none"/>
          <w14:textFill>
            <w14:solidFill>
              <w14:schemeClr w14:val="tx1"/>
            </w14:solidFill>
          </w14:textFill>
        </w:rPr>
        <w:t>根据国家、省有关廉政建设的规定，为做好合同工程的廉政建设，保证工程质量与施工安</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全，提高建设资金的有效使用和投资效益，合同双方当事人就加强合同工程的廉政建设，订立本合同。</w:t>
      </w:r>
    </w:p>
    <w:p w14:paraId="3524FAB7">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1</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双方权利和义务</w:t>
      </w:r>
    </w:p>
    <w:p w14:paraId="545CBDDF">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1.1</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严格遵守国家、省有关法律法规的规定。</w:t>
      </w:r>
    </w:p>
    <w:p w14:paraId="7DF0856F">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1.2</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严格执行合同工程一切合同文件，自觉按合同办事。</w:t>
      </w:r>
    </w:p>
    <w:p w14:paraId="7DF08E7D">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1.3</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合同双方当事人的业务活动应坚持公平</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公开</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公正和诚信的原</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则</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（法律认定的商业 秘密和合同文件另有规定除外</w:t>
      </w:r>
      <w:r>
        <w:rPr>
          <w:rFonts w:hint="eastAsia" w:asciiTheme="minorEastAsia" w:hAnsiTheme="minorEastAsia" w:eastAsiaTheme="minorEastAsia" w:cstheme="minorEastAsia"/>
          <w:color w:val="000000" w:themeColor="text1"/>
          <w:spacing w:val="-12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，不得损害国家和集体利益，不得违反工程建设管理规章制度。</w:t>
      </w:r>
    </w:p>
    <w:p w14:paraId="1BBA8BB4">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1.4</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建立健全廉政制度</w:t>
      </w:r>
      <w:r>
        <w:rPr>
          <w:rFonts w:hint="eastAsia" w:asciiTheme="minorEastAsia" w:hAnsiTheme="minorEastAsia" w:eastAsiaTheme="minorEastAsia" w:cstheme="minorEastAsia"/>
          <w:color w:val="000000" w:themeColor="text1"/>
          <w:spacing w:val="-1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开展廉政教育</w:t>
      </w:r>
      <w:r>
        <w:rPr>
          <w:rFonts w:hint="eastAsia" w:asciiTheme="minorEastAsia" w:hAnsiTheme="minorEastAsia" w:eastAsiaTheme="minorEastAsia" w:cstheme="minorEastAsia"/>
          <w:color w:val="000000" w:themeColor="text1"/>
          <w:spacing w:val="-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设立廉政告示牌</w:t>
      </w:r>
      <w:r>
        <w:rPr>
          <w:rFonts w:hint="eastAsia" w:asciiTheme="minorEastAsia" w:hAnsiTheme="minorEastAsia" w:eastAsiaTheme="minorEastAsia" w:cstheme="minorEastAsia"/>
          <w:color w:val="000000" w:themeColor="text1"/>
          <w:spacing w:val="-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公布举报电话</w:t>
      </w:r>
      <w:r>
        <w:rPr>
          <w:rFonts w:hint="eastAsia" w:asciiTheme="minorEastAsia" w:hAnsiTheme="minorEastAsia" w:eastAsiaTheme="minorEastAsia" w:cstheme="minorEastAsia"/>
          <w:color w:val="000000" w:themeColor="text1"/>
          <w:spacing w:val="-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监督并认真查 处违法违纪行为。</w:t>
      </w:r>
    </w:p>
    <w:p w14:paraId="394BCC7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1.5</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发现对方在业务活动中有违反廉政建设规定的行为，应及时给予提醒和纠正。</w:t>
      </w:r>
    </w:p>
    <w:p w14:paraId="3A3CCFA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1.6</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发现对方严重违反合同的行为</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有向其上级部门举报</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建议给予处理并要求告知处理 结果的权利。没有上级部门的，可按本合同第二部分《通用条款》第87 条规定处理。</w:t>
      </w:r>
    </w:p>
    <w:p w14:paraId="7D2BCF75">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2</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招标人义务</w:t>
      </w:r>
    </w:p>
    <w:p w14:paraId="250A1280">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2.1</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招标人及其工作人员不得索取或接受中标人的礼金</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有价证券和贵重物品</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不得在承 包人报销任何应由招标人或其工作人员个人支付的费用。</w:t>
      </w:r>
    </w:p>
    <w:p w14:paraId="224220B2">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2.2</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招标人及其工作人员不得参加中标人安排的宴</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请</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（工作餐除外</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和娱乐活动</w:t>
      </w:r>
      <w:r>
        <w:rPr>
          <w:rFonts w:hint="eastAsia" w:asciiTheme="minorEastAsia" w:hAnsiTheme="minorEastAsia" w:eastAsiaTheme="minorEastAsia" w:cstheme="minorEastAsia"/>
          <w:color w:val="000000" w:themeColor="text1"/>
          <w:spacing w:val="-12"/>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不得接受中标人提供的通讯、交通工具和高档办公用品等物品。</w:t>
      </w:r>
    </w:p>
    <w:p w14:paraId="5F6DD461">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position w:val="-2"/>
          <w:highlight w:val="none"/>
          <w14:textFill>
            <w14:solidFill>
              <w14:schemeClr w14:val="tx1"/>
            </w14:solidFill>
          </w14:textFill>
        </w:rPr>
        <w:t>2.3</w:t>
      </w:r>
      <w:r>
        <w:rPr>
          <w:rFonts w:hint="eastAsia" w:asciiTheme="minorEastAsia" w:hAnsiTheme="minorEastAsia" w:eastAsiaTheme="minorEastAsia" w:cstheme="minorEastAsia"/>
          <w:color w:val="000000" w:themeColor="text1"/>
          <w:kern w:val="0"/>
          <w:position w:val="-2"/>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position w:val="-2"/>
          <w:highlight w:val="none"/>
          <w14:textFill>
            <w14:solidFill>
              <w14:schemeClr w14:val="tx1"/>
            </w14:solidFill>
          </w14:textFill>
        </w:rPr>
        <w:t>招标人及其工作人员不得要求或者接受中标人为其住房装修</w:t>
      </w:r>
      <w:r>
        <w:rPr>
          <w:rFonts w:hint="eastAsia" w:asciiTheme="minorEastAsia" w:hAnsiTheme="minorEastAsia" w:eastAsiaTheme="minorEastAsia" w:cstheme="minorEastAsia"/>
          <w:color w:val="000000" w:themeColor="text1"/>
          <w:spacing w:val="-18"/>
          <w:kern w:val="0"/>
          <w:position w:val="-2"/>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position w:val="-2"/>
          <w:highlight w:val="none"/>
          <w14:textFill>
            <w14:solidFill>
              <w14:schemeClr w14:val="tx1"/>
            </w14:solidFill>
          </w14:textFill>
        </w:rPr>
        <w:t>婚丧嫁娶活动</w:t>
      </w:r>
      <w:r>
        <w:rPr>
          <w:rFonts w:hint="eastAsia" w:asciiTheme="minorEastAsia" w:hAnsiTheme="minorEastAsia" w:eastAsiaTheme="minorEastAsia" w:cstheme="minorEastAsia"/>
          <w:color w:val="000000" w:themeColor="text1"/>
          <w:spacing w:val="-18"/>
          <w:kern w:val="0"/>
          <w:position w:val="-2"/>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position w:val="-2"/>
          <w:highlight w:val="none"/>
          <w14:textFill>
            <w14:solidFill>
              <w14:schemeClr w14:val="tx1"/>
            </w14:solidFill>
          </w14:textFill>
        </w:rPr>
        <w:t>配偶子</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女工作安排以及出国出境、旅游等提供方便。</w:t>
      </w:r>
    </w:p>
    <w:p w14:paraId="346DF012">
      <w:pPr>
        <w:autoSpaceDE w:val="0"/>
        <w:autoSpaceDN w:val="0"/>
        <w:adjustRightInd w:val="0"/>
        <w:spacing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2.4 </w:t>
      </w:r>
      <w:r>
        <w:rPr>
          <w:rFonts w:hint="eastAsia" w:asciiTheme="minorEastAsia" w:hAnsiTheme="minorEastAsia" w:eastAsiaTheme="minorEastAsia" w:cstheme="minorEastAsia"/>
          <w:color w:val="000000" w:themeColor="text1"/>
          <w:spacing w:val="2"/>
          <w:kern w:val="0"/>
          <w:highlight w:val="none"/>
          <w14:textFill>
            <w14:solidFill>
              <w14:schemeClr w14:val="tx1"/>
            </w14:solidFill>
          </w14:textFill>
        </w:rPr>
        <w:t>招标人及其工作人员不得以任何理由向中标人推荐</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分</w:t>
      </w:r>
      <w:r>
        <w:rPr>
          <w:rFonts w:hint="eastAsia" w:asciiTheme="minorEastAsia" w:hAnsiTheme="minorEastAsia" w:eastAsiaTheme="minorEastAsia" w:cstheme="minorEastAsia"/>
          <w:color w:val="000000" w:themeColor="text1"/>
          <w:spacing w:val="2"/>
          <w:kern w:val="0"/>
          <w:highlight w:val="none"/>
          <w14:textFill>
            <w14:solidFill>
              <w14:schemeClr w14:val="tx1"/>
            </w14:solidFill>
          </w14:textFill>
        </w:rPr>
        <w:t xml:space="preserve">包人、推销材料和工程设备，不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得要求中标人购买合同以外的材料和工程设备。</w:t>
      </w:r>
    </w:p>
    <w:p w14:paraId="14AA02E8">
      <w:pPr>
        <w:autoSpaceDE w:val="0"/>
        <w:autoSpaceDN w:val="0"/>
        <w:adjustRightInd w:val="0"/>
        <w:spacing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2.5</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招标人及其工作人员要秉公办事</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不准营私舞弊</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不准利用职权私自为合同工程安排 施工队伍，也不得从事与合同工程有关的各种有偿中介活动。</w:t>
      </w:r>
    </w:p>
    <w:p w14:paraId="3B719603">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2.6 </w:t>
      </w:r>
      <w:r>
        <w:rPr>
          <w:rFonts w:hint="eastAsia" w:asciiTheme="minorEastAsia" w:hAnsiTheme="minorEastAsia" w:eastAsiaTheme="minorEastAsia" w:cstheme="minorEastAsia"/>
          <w:color w:val="000000" w:themeColor="text1"/>
          <w:spacing w:val="2"/>
          <w:kern w:val="0"/>
          <w:highlight w:val="none"/>
          <w14:textFill>
            <w14:solidFill>
              <w14:schemeClr w14:val="tx1"/>
            </w14:solidFill>
          </w14:textFill>
        </w:rPr>
        <w:t>招标人及其工作人员（含其配偶、子女）不得从事</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与</w:t>
      </w:r>
      <w:r>
        <w:rPr>
          <w:rFonts w:hint="eastAsia" w:asciiTheme="minorEastAsia" w:hAnsiTheme="minorEastAsia" w:eastAsiaTheme="minorEastAsia" w:cstheme="minorEastAsia"/>
          <w:color w:val="000000" w:themeColor="text1"/>
          <w:spacing w:val="2"/>
          <w:kern w:val="0"/>
          <w:highlight w:val="none"/>
          <w14:textFill>
            <w14:solidFill>
              <w14:schemeClr w14:val="tx1"/>
            </w14:solidFill>
          </w14:textFill>
        </w:rPr>
        <w:t xml:space="preserve">合同工程有关的材料和工程设备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供应、工程分包、劳务等经济活动。</w:t>
      </w:r>
    </w:p>
    <w:p w14:paraId="4D9BB120">
      <w:pPr>
        <w:autoSpaceDE w:val="0"/>
        <w:autoSpaceDN w:val="0"/>
        <w:adjustRightInd w:val="0"/>
        <w:spacing w:before="72" w:line="360" w:lineRule="auto"/>
        <w:ind w:right="185" w:firstLine="482" w:firstLineChars="200"/>
        <w:jc w:val="left"/>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3</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中标人义务</w:t>
      </w:r>
    </w:p>
    <w:p w14:paraId="394B952F">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3.1</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中标人不得以任何理由向招标人及其工作人员行贿或馈赠礼金</w:t>
      </w:r>
      <w:r>
        <w:rPr>
          <w:rFonts w:hint="eastAsia" w:asciiTheme="minorEastAsia" w:hAnsiTheme="minorEastAsia" w:eastAsiaTheme="minorEastAsia" w:cstheme="minorEastAsia"/>
          <w:color w:val="000000" w:themeColor="text1"/>
          <w:spacing w:val="-7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有价证券</w:t>
      </w:r>
      <w:r>
        <w:rPr>
          <w:rFonts w:hint="eastAsia" w:asciiTheme="minorEastAsia" w:hAnsiTheme="minorEastAsia" w:eastAsiaTheme="minorEastAsia" w:cstheme="minorEastAsia"/>
          <w:color w:val="000000" w:themeColor="text1"/>
          <w:spacing w:val="-7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贵重礼品。</w:t>
      </w:r>
    </w:p>
    <w:p w14:paraId="63B51EC7">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3.2</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spacing w:val="5"/>
          <w:kern w:val="0"/>
          <w:highlight w:val="none"/>
          <w14:textFill>
            <w14:solidFill>
              <w14:schemeClr w14:val="tx1"/>
            </w14:solidFill>
          </w14:textFill>
        </w:rPr>
        <w:t>中标人不得以任何名义为招标人及其</w:t>
      </w:r>
      <w:r>
        <w:rPr>
          <w:rFonts w:hint="eastAsia" w:asciiTheme="minorEastAsia" w:hAnsiTheme="minorEastAsia" w:eastAsiaTheme="minorEastAsia" w:cstheme="minorEastAsia"/>
          <w:color w:val="000000" w:themeColor="text1"/>
          <w:spacing w:val="4"/>
          <w:kern w:val="0"/>
          <w:highlight w:val="none"/>
          <w14:textFill>
            <w14:solidFill>
              <w14:schemeClr w14:val="tx1"/>
            </w14:solidFill>
          </w14:textFill>
        </w:rPr>
        <w:t>工</w:t>
      </w:r>
      <w:r>
        <w:rPr>
          <w:rFonts w:hint="eastAsia" w:asciiTheme="minorEastAsia" w:hAnsiTheme="minorEastAsia" w:eastAsiaTheme="minorEastAsia" w:cstheme="minorEastAsia"/>
          <w:color w:val="000000" w:themeColor="text1"/>
          <w:spacing w:val="6"/>
          <w:kern w:val="0"/>
          <w:highlight w:val="none"/>
          <w14:textFill>
            <w14:solidFill>
              <w14:schemeClr w14:val="tx1"/>
            </w14:solidFill>
          </w14:textFill>
        </w:rPr>
        <w:t xml:space="preserve">作人员报销应由招标人或其工作人员个人支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付的任何费用。</w:t>
      </w:r>
    </w:p>
    <w:p w14:paraId="644D8D3B">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3.3</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中标人不得以任何理由安排招标人及其工作人员参加宴</w:t>
      </w:r>
      <w:r>
        <w:rPr>
          <w:rFonts w:hint="eastAsia" w:asciiTheme="minorEastAsia" w:hAnsiTheme="minorEastAsia" w:eastAsiaTheme="minorEastAsia" w:cstheme="minorEastAsia"/>
          <w:color w:val="000000" w:themeColor="text1"/>
          <w:spacing w:val="-78"/>
          <w:kern w:val="0"/>
          <w:highlight w:val="none"/>
          <w14:textFill>
            <w14:solidFill>
              <w14:schemeClr w14:val="tx1"/>
            </w14:solidFill>
          </w14:textFill>
        </w:rPr>
        <w:t>请</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（工作餐除外</w:t>
      </w:r>
      <w:r>
        <w:rPr>
          <w:rFonts w:hint="eastAsia" w:asciiTheme="minorEastAsia" w:hAnsiTheme="minorEastAsia" w:eastAsiaTheme="minorEastAsia" w:cstheme="minorEastAsia"/>
          <w:color w:val="000000" w:themeColor="text1"/>
          <w:spacing w:val="-7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及娱乐活动。</w:t>
      </w:r>
    </w:p>
    <w:p w14:paraId="27DD60F2">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3.4</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中标人不得为招标人和个人购置或提供通讯、交通工具和高档办公用品等物品。</w:t>
      </w:r>
    </w:p>
    <w:p w14:paraId="57149C64">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3.5</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中标人不得为招标人及其工作人员的住房装修</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婚丧嫁娶活动</w:t>
      </w:r>
      <w:r>
        <w:rPr>
          <w:rFonts w:hint="eastAsia" w:asciiTheme="minorEastAsia" w:hAnsiTheme="minorEastAsia" w:eastAsiaTheme="minorEastAsia" w:cstheme="minorEastAsia"/>
          <w:color w:val="000000" w:themeColor="text1"/>
          <w:spacing w:val="-18"/>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配偶子女工作安排以 及出国出境、旅游等提供方便。</w:t>
      </w:r>
    </w:p>
    <w:p w14:paraId="0EC4B34F">
      <w:pPr>
        <w:autoSpaceDE w:val="0"/>
        <w:autoSpaceDN w:val="0"/>
        <w:adjustRightInd w:val="0"/>
        <w:spacing w:before="72" w:line="360" w:lineRule="auto"/>
        <w:ind w:right="185" w:firstLine="482" w:firstLineChars="200"/>
        <w:jc w:val="left"/>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4</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违约责任</w:t>
      </w:r>
    </w:p>
    <w:p w14:paraId="7B8FD472">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4.1</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招标人及其工作人员违反本合同第1 条和第2 条规定</w:t>
      </w:r>
      <w:r>
        <w:rPr>
          <w:rFonts w:hint="eastAsia" w:asciiTheme="minorEastAsia" w:hAnsiTheme="minorEastAsia" w:eastAsiaTheme="minorEastAsia" w:cstheme="minorEastAsia"/>
          <w:color w:val="000000" w:themeColor="text1"/>
          <w:spacing w:val="-36"/>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应按照廉政建设的有关规定给 予处分；涉嫌犯罪的，移交司法机关追究刑事责任；给中标人造成损失的，应予赔偿。</w:t>
      </w:r>
    </w:p>
    <w:p w14:paraId="34408EEB">
      <w:pPr>
        <w:autoSpaceDE w:val="0"/>
        <w:autoSpaceDN w:val="0"/>
        <w:adjustRightInd w:val="0"/>
        <w:spacing w:before="72" w:line="360" w:lineRule="auto"/>
        <w:ind w:right="185"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4.2</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中标人及其工作人员违反本合同第1 条和第3 条规定</w:t>
      </w:r>
      <w:r>
        <w:rPr>
          <w:rFonts w:hint="eastAsia" w:asciiTheme="minorEastAsia" w:hAnsiTheme="minorEastAsia" w:eastAsiaTheme="minorEastAsia" w:cstheme="minorEastAsia"/>
          <w:color w:val="000000" w:themeColor="text1"/>
          <w:spacing w:val="-36"/>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应按照廉政建设的有关规定给 予处分</w:t>
      </w:r>
      <w:r>
        <w:rPr>
          <w:rFonts w:hint="eastAsia" w:asciiTheme="minorEastAsia" w:hAnsiTheme="minorEastAsia" w:eastAsiaTheme="minorEastAsia" w:cstheme="minorEastAsia"/>
          <w:color w:val="000000" w:themeColor="text1"/>
          <w:spacing w:val="-24"/>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情节严重的</w:t>
      </w:r>
      <w:r>
        <w:rPr>
          <w:rFonts w:hint="eastAsia" w:asciiTheme="minorEastAsia" w:hAnsiTheme="minorEastAsia" w:eastAsiaTheme="minorEastAsia" w:cstheme="minorEastAsia"/>
          <w:color w:val="000000" w:themeColor="text1"/>
          <w:spacing w:val="-24"/>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给予中标人1～3 年内不得进入工程建设市场的处罚</w:t>
      </w:r>
      <w:r>
        <w:rPr>
          <w:rFonts w:hint="eastAsia" w:asciiTheme="minorEastAsia" w:hAnsiTheme="minorEastAsia" w:eastAsiaTheme="minorEastAsia" w:cstheme="minorEastAsia"/>
          <w:color w:val="000000" w:themeColor="text1"/>
          <w:spacing w:val="-24"/>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涉嫌犯罪的</w:t>
      </w:r>
      <w:r>
        <w:rPr>
          <w:rFonts w:hint="eastAsia" w:asciiTheme="minorEastAsia" w:hAnsiTheme="minorEastAsia" w:eastAsiaTheme="minorEastAsia" w:cstheme="minorEastAsia"/>
          <w:color w:val="000000" w:themeColor="text1"/>
          <w:spacing w:val="-24"/>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移交 司法机关追究刑事责任；给招标人造成损失的，应予赔偿；</w:t>
      </w:r>
    </w:p>
    <w:p w14:paraId="731F24BE">
      <w:pPr>
        <w:autoSpaceDE w:val="0"/>
        <w:autoSpaceDN w:val="0"/>
        <w:adjustRightInd w:val="0"/>
        <w:spacing w:before="16" w:line="360" w:lineRule="auto"/>
        <w:jc w:val="left"/>
        <w:rPr>
          <w:rFonts w:hint="eastAsia" w:asciiTheme="minorEastAsia" w:hAnsiTheme="minorEastAsia" w:eastAsiaTheme="minorEastAsia" w:cstheme="minorEastAsia"/>
          <w:color w:val="000000" w:themeColor="text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 xml:space="preserve">    5</w:t>
      </w:r>
      <w:r>
        <w:rPr>
          <w:rFonts w:hint="eastAsia" w:asciiTheme="minorEastAsia" w:hAnsiTheme="minorEastAsia" w:eastAsiaTheme="minorEastAsia" w:cstheme="minorEastAsia"/>
          <w:b/>
          <w:bCs/>
          <w:color w:val="000000" w:themeColor="text1"/>
          <w:kern w:val="0"/>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双方约定</w:t>
      </w:r>
    </w:p>
    <w:p w14:paraId="655B6D52">
      <w:pPr>
        <w:autoSpaceDE w:val="0"/>
        <w:autoSpaceDN w:val="0"/>
        <w:adjustRightInd w:val="0"/>
        <w:spacing w:line="360" w:lineRule="auto"/>
        <w:ind w:right="184" w:firstLine="484"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本合同由合同双方当事人或其上</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级</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部门负责监督执行，并由合</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同</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 xml:space="preserve">双方当事人或其上级部门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相互约请对本合同执行情况进行检查。</w:t>
      </w:r>
    </w:p>
    <w:p w14:paraId="08A9DD8D">
      <w:pPr>
        <w:autoSpaceDE w:val="0"/>
        <w:autoSpaceDN w:val="0"/>
        <w:adjustRightInd w:val="0"/>
        <w:spacing w:line="360" w:lineRule="auto"/>
        <w:ind w:right="184" w:firstLine="482" w:firstLineChars="200"/>
        <w:jc w:val="left"/>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 xml:space="preserve">6 </w:t>
      </w:r>
      <w:r>
        <w:rPr>
          <w:rFonts w:hint="eastAsia" w:asciiTheme="minorEastAsia" w:hAnsiTheme="minorEastAsia" w:eastAsiaTheme="minorEastAsia" w:cstheme="minorEastAsia"/>
          <w:b/>
          <w:bCs/>
          <w:color w:val="000000" w:themeColor="text1"/>
          <w:kern w:val="0"/>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合同法律效力</w:t>
      </w:r>
    </w:p>
    <w:p w14:paraId="2A7B8DB8">
      <w:pPr>
        <w:autoSpaceDE w:val="0"/>
        <w:autoSpaceDN w:val="0"/>
        <w:adjustRightInd w:val="0"/>
        <w:spacing w:line="360" w:lineRule="auto"/>
        <w:ind w:right="184"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本合同作为</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Cs w:val="28"/>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（工程名称） 工程施工合同的附件，与施工合同具有同等的法律效力。</w:t>
      </w:r>
    </w:p>
    <w:p w14:paraId="2BAC4CB3">
      <w:pPr>
        <w:autoSpaceDE w:val="0"/>
        <w:autoSpaceDN w:val="0"/>
        <w:adjustRightInd w:val="0"/>
        <w:spacing w:line="360" w:lineRule="auto"/>
        <w:ind w:right="184" w:firstLine="482" w:firstLineChars="200"/>
        <w:jc w:val="left"/>
        <w:rPr>
          <w:rFonts w:hint="eastAsia" w:asciiTheme="minorEastAsia" w:hAnsiTheme="minorEastAsia" w:eastAsiaTheme="minorEastAsia" w:cstheme="minorEastAsia"/>
          <w:color w:val="000000" w:themeColor="text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7</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合同生效</w:t>
      </w:r>
    </w:p>
    <w:p w14:paraId="134C56EE">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本合同自合同双方当事人签署之日起生效，至合同工程竣工验收合格之日后失效。</w:t>
      </w:r>
    </w:p>
    <w:p w14:paraId="1A78F3FF">
      <w:pPr>
        <w:autoSpaceDE w:val="0"/>
        <w:autoSpaceDN w:val="0"/>
        <w:adjustRightInd w:val="0"/>
        <w:spacing w:line="360" w:lineRule="auto"/>
        <w:ind w:firstLine="482" w:firstLineChars="200"/>
        <w:jc w:val="left"/>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8</w:t>
      </w:r>
      <w:r>
        <w:rPr>
          <w:rFonts w:hint="eastAsia" w:asciiTheme="minorEastAsia" w:hAnsiTheme="minorEastAsia" w:eastAsiaTheme="minorEastAsia" w:cstheme="minorEastAsia"/>
          <w:b/>
          <w:bCs/>
          <w:color w:val="000000" w:themeColor="text1"/>
          <w:kern w:val="0"/>
          <w:szCs w:val="28"/>
          <w:highlight w:val="none"/>
          <w14:textFill>
            <w14:solidFill>
              <w14:schemeClr w14:val="tx1"/>
            </w14:solidFill>
          </w14:textFill>
        </w:rPr>
        <w:tab/>
      </w:r>
      <w:r>
        <w:rPr>
          <w:rFonts w:hint="eastAsia" w:asciiTheme="minorEastAsia" w:hAnsiTheme="minorEastAsia" w:eastAsiaTheme="minorEastAsia" w:cstheme="minorEastAsia"/>
          <w:b/>
          <w:bCs/>
          <w:color w:val="000000" w:themeColor="text1"/>
          <w:spacing w:val="1"/>
          <w:kern w:val="0"/>
          <w:szCs w:val="28"/>
          <w:highlight w:val="none"/>
          <w14:textFill>
            <w14:solidFill>
              <w14:schemeClr w14:val="tx1"/>
            </w14:solidFill>
          </w14:textFill>
        </w:rPr>
        <w:t>合同份数</w:t>
      </w:r>
    </w:p>
    <w:p w14:paraId="3A8DD19D">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本合同一</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式</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份，合同双方当事人各</w:t>
      </w:r>
      <w:r>
        <w:rPr>
          <w:rFonts w:hint="eastAsia" w:asciiTheme="minorEastAsia" w:hAnsiTheme="minorEastAsia" w:eastAsiaTheme="minorEastAsia" w:cstheme="minorEastAsia"/>
          <w:color w:val="000000" w:themeColor="text1"/>
          <w:spacing w:val="2"/>
          <w:kern w:val="0"/>
          <w:highlight w:val="none"/>
          <w14:textFill>
            <w14:solidFill>
              <w14:schemeClr w14:val="tx1"/>
            </w14:solidFill>
          </w14:textFill>
        </w:rPr>
        <w:t>执</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1"/>
          <w:kern w:val="0"/>
          <w:highlight w:val="none"/>
          <w14:textFill>
            <w14:solidFill>
              <w14:schemeClr w14:val="tx1"/>
            </w14:solidFill>
          </w14:textFill>
        </w:rPr>
        <w:t>份。有上级部门的，合同双方当事人应各送</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交其上级部门一份。</w:t>
      </w:r>
    </w:p>
    <w:p w14:paraId="0C0C2F81">
      <w:pPr>
        <w:autoSpaceDE w:val="0"/>
        <w:autoSpaceDN w:val="0"/>
        <w:adjustRightInd w:val="0"/>
        <w:spacing w:before="3" w:line="130" w:lineRule="exact"/>
        <w:jc w:val="left"/>
        <w:rPr>
          <w:rFonts w:hint="eastAsia" w:asciiTheme="minorEastAsia" w:hAnsiTheme="minorEastAsia" w:eastAsiaTheme="minorEastAsia" w:cstheme="minorEastAsia"/>
          <w:color w:val="000000" w:themeColor="text1"/>
          <w:kern w:val="0"/>
          <w:szCs w:val="13"/>
          <w:highlight w:val="none"/>
          <w14:textFill>
            <w14:solidFill>
              <w14:schemeClr w14:val="tx1"/>
            </w14:solidFill>
          </w14:textFill>
        </w:rPr>
      </w:pPr>
    </w:p>
    <w:p w14:paraId="5C8AC97B">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322891EE">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2BCE59F3">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062C1492">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6303B017">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04BE5EA4">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2B51DA5E">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0A1B5A90">
      <w:pPr>
        <w:autoSpaceDE w:val="0"/>
        <w:autoSpaceDN w:val="0"/>
        <w:adjustRightInd w:val="0"/>
        <w:spacing w:line="200" w:lineRule="exact"/>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0DFF45EC">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发 包 人</w:t>
      </w:r>
      <w:r>
        <w:rPr>
          <w:rFonts w:hint="eastAsia" w:asciiTheme="minorEastAsia" w:hAnsiTheme="minorEastAsia" w:eastAsiaTheme="minorEastAsia" w:cstheme="minorEastAsia"/>
          <w:color w:val="000000" w:themeColor="text1"/>
          <w:spacing w:val="-12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（公章）</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承 包 人 </w:t>
      </w:r>
      <w:r>
        <w:rPr>
          <w:rFonts w:hint="eastAsia" w:asciiTheme="minorEastAsia" w:hAnsiTheme="minorEastAsia" w:eastAsiaTheme="minorEastAsia" w:cstheme="minorEastAsia"/>
          <w:color w:val="000000" w:themeColor="text1"/>
          <w:spacing w:val="-12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（公章） </w:t>
      </w:r>
    </w:p>
    <w:p w14:paraId="019529E9">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法定代表人</w:t>
      </w:r>
      <w:r>
        <w:rPr>
          <w:rFonts w:hint="eastAsia" w:asciiTheme="minorEastAsia" w:hAnsiTheme="minorEastAsia" w:eastAsiaTheme="minorEastAsia" w:cstheme="minorEastAsia"/>
          <w:color w:val="000000" w:themeColor="text1"/>
          <w:spacing w:val="-12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（签字）</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法定代表人</w:t>
      </w:r>
      <w:r>
        <w:rPr>
          <w:rFonts w:hint="eastAsia" w:asciiTheme="minorEastAsia" w:hAnsiTheme="minorEastAsia" w:eastAsiaTheme="minorEastAsia" w:cstheme="minorEastAsia"/>
          <w:color w:val="000000" w:themeColor="text1"/>
          <w:spacing w:val="-120"/>
          <w:kern w:val="0"/>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（签字） </w:t>
      </w:r>
    </w:p>
    <w:p w14:paraId="0BA17DB5">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联系电话：</w:t>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u w:val="single"/>
          <w14:textFill>
            <w14:solidFill>
              <w14:schemeClr w14:val="tx1"/>
            </w14:solidFill>
          </w14:textFill>
        </w:rPr>
        <w:tab/>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联系电话：</w:t>
      </w:r>
    </w:p>
    <w:p w14:paraId="15F9B04F">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上级部门：（公章）                     上级部门：（公章）</w:t>
      </w:r>
    </w:p>
    <w:p w14:paraId="044AF42C">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7A1987DD">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p>
    <w:p w14:paraId="19C15ACC">
      <w:pPr>
        <w:autoSpaceDE w:val="0"/>
        <w:autoSpaceDN w:val="0"/>
        <w:adjustRightInd w:val="0"/>
        <w:spacing w:line="400" w:lineRule="exact"/>
        <w:ind w:firstLine="480" w:firstLineChars="200"/>
        <w:jc w:val="left"/>
        <w:rPr>
          <w:rFonts w:hint="eastAsia" w:asciiTheme="minorEastAsia" w:hAnsiTheme="minorEastAsia" w:eastAsiaTheme="minorEastAsia" w:cstheme="minorEastAsia"/>
          <w:color w:val="000000" w:themeColor="text1"/>
          <w:kern w:val="0"/>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 xml:space="preserve">          年   月    日                                年   月   日</w:t>
      </w:r>
    </w:p>
    <w:p w14:paraId="461225E5">
      <w:pPr>
        <w:spacing w:line="360" w:lineRule="auto"/>
        <w:rPr>
          <w:rFonts w:hint="eastAsia" w:asciiTheme="minorEastAsia" w:hAnsiTheme="minorEastAsia" w:eastAsiaTheme="minorEastAsia" w:cstheme="minorEastAsia"/>
          <w:b/>
          <w:bCs/>
          <w:color w:val="000000" w:themeColor="text1"/>
          <w:sz w:val="32"/>
          <w:szCs w:val="32"/>
          <w:highlight w:val="none"/>
          <w14:textFill>
            <w14:solidFill>
              <w14:schemeClr w14:val="tx1"/>
            </w14:solidFill>
          </w14:textFill>
        </w:rPr>
      </w:pPr>
    </w:p>
    <w:p w14:paraId="4480BB62">
      <w:pPr>
        <w:pStyle w:val="5"/>
        <w:ind w:left="4511" w:leftChars="174" w:hanging="4093" w:hangingChars="1274"/>
        <w:jc w:val="cente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pPr>
      <w:bookmarkStart w:id="643" w:name="_Toc28513"/>
      <w:bookmarkStart w:id="644" w:name="_Toc18530"/>
      <w:bookmarkStart w:id="645" w:name="_Toc20715"/>
      <w:bookmarkStart w:id="646" w:name="_Toc126"/>
      <w:bookmarkStart w:id="647" w:name="_Toc29017"/>
      <w:bookmarkStart w:id="648" w:name="_Toc6897"/>
      <w:bookmarkStart w:id="649" w:name="_Toc24859"/>
      <w:bookmarkStart w:id="650" w:name="_Toc11559"/>
      <w: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br w:type="page"/>
      </w:r>
      <w:bookmarkStart w:id="651" w:name="_Toc10245"/>
      <w:bookmarkStart w:id="652" w:name="_Toc19618"/>
      <w:bookmarkStart w:id="653" w:name="_Toc1875"/>
      <w:bookmarkStart w:id="654" w:name="_Toc30796"/>
      <w: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t>履约保函</w:t>
      </w:r>
      <w:bookmarkEnd w:id="643"/>
      <w:bookmarkEnd w:id="644"/>
      <w:bookmarkEnd w:id="645"/>
      <w:bookmarkEnd w:id="646"/>
      <w:bookmarkEnd w:id="647"/>
      <w:bookmarkEnd w:id="648"/>
      <w:bookmarkEnd w:id="649"/>
      <w:bookmarkEnd w:id="650"/>
      <w:bookmarkEnd w:id="651"/>
      <w:bookmarkEnd w:id="652"/>
      <w:bookmarkEnd w:id="653"/>
      <w:bookmarkEnd w:id="654"/>
    </w:p>
    <w:p w14:paraId="3B9F6898">
      <w:pPr>
        <w:spacing w:line="360" w:lineRule="auto"/>
        <w:jc w:val="center"/>
        <w:rPr>
          <w:rFonts w:hint="eastAsia" w:asciiTheme="minorEastAsia" w:hAnsiTheme="minorEastAsia" w:eastAsiaTheme="minorEastAsia" w:cstheme="minorEastAsia"/>
          <w:b/>
          <w:bCs/>
          <w:color w:val="000000" w:themeColor="text1"/>
          <w:sz w:val="32"/>
          <w:szCs w:val="32"/>
          <w:highlight w:val="none"/>
          <w14:textFill>
            <w14:solidFill>
              <w14:schemeClr w14:val="tx1"/>
            </w14:solidFill>
          </w14:textFill>
        </w:rPr>
      </w:pPr>
    </w:p>
    <w:p w14:paraId="221D34C8">
      <w:pPr>
        <w:wordWrap w:val="0"/>
        <w:spacing w:line="360" w:lineRule="auto"/>
        <w:jc w:val="righ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编号：           </w:t>
      </w:r>
    </w:p>
    <w:p w14:paraId="1DEC7C4F">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申请人：</w:t>
      </w:r>
    </w:p>
    <w:p w14:paraId="6D23A14C">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739ED372">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受益人：</w:t>
      </w:r>
    </w:p>
    <w:p w14:paraId="1240D116">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2374388F">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开立人：</w:t>
      </w:r>
    </w:p>
    <w:p w14:paraId="43292334">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78C9AAC9">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1900612E">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（受益人名称）： </w:t>
      </w:r>
    </w:p>
    <w:p w14:paraId="7A1B804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鉴于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（以下简称“受益人”）与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（以下简称“申请人”）于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日就</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工程（以下简称“本工程”）施工和有关事项协商一致共同签订</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以下简称“基础合同”），我方（即“开立人”）根据基础合同了解到申请人为基础合同项下之中标人，受益人为基础合同项下之招标人，基于申请人的请求，我方同意就申请人履行与贵方签订的基础合同项下的义务，向贵方提供不可撤销、不可转让的见索即付独立保函（以下简称“本保函”）。 </w:t>
      </w:r>
    </w:p>
    <w:p w14:paraId="0539FD0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一、本保函担保范围：中标人未按照基础合同的约定履行义务，应当向贵方承担的违约责任和赔偿因此造成的损失、利息、律师费、诉讼费用等实现债权的费用。</w:t>
      </w:r>
    </w:p>
    <w:p w14:paraId="59B1FBF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二、本保函担保金额最高不超过人民币（大写）</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元（¥</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w:t>
      </w:r>
    </w:p>
    <w:p w14:paraId="670D9D6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三、本保函有效期自开立之日起至基础合同约定的缺陷责任期后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日止，最迟不超过</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日。 </w:t>
      </w:r>
    </w:p>
    <w:p w14:paraId="5CD8E593">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四、我方承诺，在收到受益人发来的书面付款通知后的</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日内无条件支付，前述书面付款通知即为付款要求之单据，且应满足以下要求：</w:t>
      </w:r>
    </w:p>
    <w:p w14:paraId="3068B7B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（1）付款通知到达的日期在本保函的有效期内；</w:t>
      </w:r>
    </w:p>
    <w:p w14:paraId="123CE61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（2）载明要求支付的金额；</w:t>
      </w:r>
    </w:p>
    <w:p w14:paraId="1430F2D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（3）载明申请人违反合同义务的条款和内容；</w:t>
      </w:r>
    </w:p>
    <w:p w14:paraId="28A18F3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（4）声明不存在合同文件约定或我国法律规定免除申请人或开立人支付责任的情形；</w:t>
      </w:r>
    </w:p>
    <w:p w14:paraId="7909BCE6">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（5）付款通知应在本保函有效期内到达的地址是：</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p>
    <w:p w14:paraId="4A12453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受益人发出的书面付款通知应由其为鉴明受益人法定代表人（负责人）或授权代理人签字并加盖公章。</w:t>
      </w:r>
    </w:p>
    <w:p w14:paraId="27CF41E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五、本保函项下的权利不得转让，不得设定担保。贵方未经我方书面同意转 让本保函或其项下任何权利，对我方不发生法律效力。 </w:t>
      </w:r>
    </w:p>
    <w:p w14:paraId="0732B519">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六、与本保函有关的基础合同不成立、不生效、无效、被撤销、被解除，不影响本保函的独立有效。 </w:t>
      </w:r>
    </w:p>
    <w:p w14:paraId="071B8B5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七、贵方应在本保函到期后的七日内将本保函正本退回我方注销，但是不论贵方是否按此要求将本保函正本退回我方，我方在本保函项下的义务和责任均在保函有效期到期后自动消灭。 </w:t>
      </w:r>
    </w:p>
    <w:p w14:paraId="29A0E54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八、本保函适用的法律为中华人民共和国法律，争议裁判管辖地为中华人民共和国</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w:t>
      </w:r>
    </w:p>
    <w:p w14:paraId="481E583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九、本保函自我方法定代表人或授权代表签字并加盖公章之日起生效。 </w:t>
      </w:r>
    </w:p>
    <w:p w14:paraId="4A733548">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开 立 人：                              （公章） </w:t>
      </w:r>
    </w:p>
    <w:p w14:paraId="045BD6A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法定代表人（或授权代表）：               （签字） </w:t>
      </w:r>
    </w:p>
    <w:p w14:paraId="29DFEFD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地    址：                                       </w:t>
      </w:r>
    </w:p>
    <w:p w14:paraId="21D4725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邮政编码：                 </w:t>
      </w:r>
    </w:p>
    <w:p w14:paraId="6A252FB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电    话：                 </w:t>
      </w:r>
    </w:p>
    <w:p w14:paraId="4C1423B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传    真：                 </w:t>
      </w:r>
    </w:p>
    <w:p w14:paraId="58AA204F">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开立时间：      年      月    </w:t>
      </w:r>
    </w:p>
    <w:p w14:paraId="2C43A4FD">
      <w:pPr>
        <w:spacing w:line="374" w:lineRule="auto"/>
        <w:ind w:left="698" w:right="524"/>
        <w:jc w:val="left"/>
        <w:rPr>
          <w:rFonts w:hint="eastAsia" w:asciiTheme="minorEastAsia" w:hAnsiTheme="minorEastAsia" w:eastAsiaTheme="minorEastAsia" w:cstheme="minorEastAsia"/>
          <w:strike/>
          <w:color w:val="000000" w:themeColor="text1"/>
          <w:szCs w:val="24"/>
          <w:highlight w:val="none"/>
          <w14:textFill>
            <w14:solidFill>
              <w14:schemeClr w14:val="tx1"/>
            </w14:solidFill>
          </w14:textFill>
        </w:rPr>
      </w:pPr>
    </w:p>
    <w:p w14:paraId="36EA27E2">
      <w:pPr>
        <w:spacing w:line="374" w:lineRule="auto"/>
        <w:ind w:left="698" w:right="524"/>
        <w:jc w:val="left"/>
        <w:rPr>
          <w:rFonts w:hint="eastAsia" w:asciiTheme="minorEastAsia" w:hAnsiTheme="minorEastAsia" w:eastAsiaTheme="minorEastAsia" w:cstheme="minorEastAsia"/>
          <w:strike/>
          <w:color w:val="000000" w:themeColor="text1"/>
          <w:szCs w:val="24"/>
          <w:highlight w:val="none"/>
          <w14:textFill>
            <w14:solidFill>
              <w14:schemeClr w14:val="tx1"/>
            </w14:solidFill>
          </w14:textFill>
        </w:rPr>
        <w:sectPr>
          <w:headerReference r:id="rId8" w:type="default"/>
          <w:footerReference r:id="rId9" w:type="default"/>
          <w:pgSz w:w="11907" w:h="16840"/>
          <w:pgMar w:top="1247" w:right="1474" w:bottom="1247" w:left="1361" w:header="680" w:footer="680" w:gutter="0"/>
          <w:pgNumType w:fmt="decimal"/>
          <w:cols w:space="720" w:num="1"/>
        </w:sectPr>
      </w:pPr>
    </w:p>
    <w:p w14:paraId="1A83B68F">
      <w:pPr>
        <w:pStyle w:val="5"/>
        <w:jc w:val="center"/>
        <w:rPr>
          <w:rFonts w:hint="eastAsia" w:asciiTheme="minorEastAsia" w:hAnsiTheme="minorEastAsia" w:eastAsiaTheme="minorEastAsia" w:cstheme="minorEastAsia"/>
          <w:bCs/>
          <w:color w:val="000000" w:themeColor="text1"/>
          <w:szCs w:val="32"/>
          <w:highlight w:val="none"/>
          <w14:textFill>
            <w14:solidFill>
              <w14:schemeClr w14:val="tx1"/>
            </w14:solidFill>
          </w14:textFill>
        </w:rPr>
      </w:pPr>
      <w:bookmarkStart w:id="655" w:name="_Toc6524"/>
      <w:bookmarkStart w:id="656" w:name="_Toc18000"/>
      <w:bookmarkStart w:id="657" w:name="_Toc14563"/>
      <w:bookmarkStart w:id="658" w:name="_Toc1606"/>
      <w:bookmarkStart w:id="659" w:name="_Toc27131"/>
      <w:bookmarkStart w:id="660" w:name="_Toc1401"/>
      <w:bookmarkStart w:id="661" w:name="_Toc12376"/>
      <w:bookmarkStart w:id="662" w:name="_Toc3493"/>
      <w:bookmarkStart w:id="663" w:name="_Toc9772"/>
      <w:bookmarkStart w:id="664" w:name="_Toc7920"/>
      <w:bookmarkStart w:id="665" w:name="_Toc6868"/>
      <w:bookmarkStart w:id="666" w:name="_Toc14689"/>
      <w:bookmarkStart w:id="667" w:name="_Toc25691"/>
      <w:r>
        <w:rPr>
          <w:rFonts w:hint="eastAsia" w:asciiTheme="minorEastAsia" w:hAnsiTheme="minorEastAsia" w:eastAsiaTheme="minorEastAsia" w:cstheme="minorEastAsia"/>
          <w:bCs/>
          <w:color w:val="000000" w:themeColor="text1"/>
          <w:sz w:val="32"/>
          <w:szCs w:val="32"/>
          <w:highlight w:val="none"/>
          <w14:textFill>
            <w14:solidFill>
              <w14:schemeClr w14:val="tx1"/>
            </w14:solidFill>
          </w14:textFill>
        </w:rPr>
        <w:t>支付保函</w:t>
      </w:r>
      <w:bookmarkEnd w:id="655"/>
      <w:bookmarkEnd w:id="656"/>
      <w:bookmarkEnd w:id="657"/>
      <w:bookmarkEnd w:id="658"/>
      <w:bookmarkEnd w:id="659"/>
      <w:bookmarkEnd w:id="660"/>
      <w:bookmarkEnd w:id="661"/>
      <w:bookmarkEnd w:id="662"/>
      <w:bookmarkEnd w:id="663"/>
      <w:bookmarkEnd w:id="664"/>
      <w:bookmarkEnd w:id="665"/>
      <w:bookmarkEnd w:id="666"/>
      <w:bookmarkEnd w:id="667"/>
    </w:p>
    <w:p w14:paraId="607F1C3F">
      <w:pPr>
        <w:wordWrap w:val="0"/>
        <w:spacing w:line="360" w:lineRule="auto"/>
        <w:jc w:val="righ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编号：           </w:t>
      </w:r>
    </w:p>
    <w:p w14:paraId="1D883AF7">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申请人：</w:t>
      </w:r>
    </w:p>
    <w:p w14:paraId="3571A6A2">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09A12571">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受益人：</w:t>
      </w:r>
    </w:p>
    <w:p w14:paraId="32252B3F">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0E362290">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开立人：</w:t>
      </w:r>
    </w:p>
    <w:p w14:paraId="1DE9EC30">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地址：</w:t>
      </w:r>
    </w:p>
    <w:p w14:paraId="395CEEE5">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1530C631">
      <w:pPr>
        <w:spacing w:line="360" w:lineRule="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bookmarkStart w:id="668" w:name="_Hlk40355074"/>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（受益人名称）： </w:t>
      </w:r>
    </w:p>
    <w:bookmarkEnd w:id="668"/>
    <w:p w14:paraId="605C041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鉴于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（以下简称“受益人”）与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（以下简称“申请人”）于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日就</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工程（以下简称“本工程”）施工和有关事项协商一致共同签订</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以下简称“基础合同”），我方（即“开立人”）根据基础合同了解到申请人为基础合同项下之招标人，受益人为基础合同项下之中标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14:paraId="5074AB72">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一、本保函担保范围：申请人未履行基础合同约定的工程款支付义务，应当向贵方承担的违约责任和赔偿因此造成的损失、利息、律师费、诉讼费用等实现债权的费用。</w:t>
      </w:r>
    </w:p>
    <w:p w14:paraId="267D714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二、本保函担保金额最高不超过人民币（大写）</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元（¥</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w:t>
      </w:r>
    </w:p>
    <w:p w14:paraId="66B3D93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三、本保函有效期自开立之日起至基础合同约定的除工程质量保修金以外的全部工程结算款项支付之日后</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日止，最迟不超过</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日。 </w:t>
      </w:r>
    </w:p>
    <w:p w14:paraId="68ACDA2C">
      <w:pPr>
        <w:spacing w:line="360" w:lineRule="auto"/>
        <w:ind w:firstLine="48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四、我方承诺，在收到受益人发来的书面付款通知后的</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日内无条件支付，前述书面付款通知即为付款要求之单据，且应满足以下要求：</w:t>
      </w:r>
    </w:p>
    <w:p w14:paraId="36E9387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（1）付款通知到达的日期在本保函的有效期内；</w:t>
      </w:r>
    </w:p>
    <w:p w14:paraId="16604FC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（2）载明要求支付的金额；</w:t>
      </w:r>
    </w:p>
    <w:p w14:paraId="185C230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（3）载明申请人违反合同义务的条款和内容；</w:t>
      </w:r>
    </w:p>
    <w:p w14:paraId="6E90FF64">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（4）声明不存在合同文件约定或我国法律规定免除申请人或开立人支付责任的情形；</w:t>
      </w:r>
    </w:p>
    <w:p w14:paraId="0B42AB5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（5）付款通知应在本保函有效期内到达的地址是：</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p>
    <w:p w14:paraId="1D58AEF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受益人发出的书面付款通知应由其为鉴明受益人法定代表人（负责人）或授权代理人签字并加盖公章。</w:t>
      </w:r>
    </w:p>
    <w:p w14:paraId="2B69039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五、本保函项下的权利不得转让，不得设定担保。贵方未经我方书面同意转 让本保函或其项下任何权利，对我方不发生法律效力。 </w:t>
      </w:r>
    </w:p>
    <w:p w14:paraId="03F6F6B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六、与本保函有关的基础合同不成立、不生效、无效、被撤销、被解除，不影响本保函的独立有效。 </w:t>
      </w:r>
    </w:p>
    <w:p w14:paraId="708B2913">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七、贵方应在本保函到期后的七日内将本保函正本退回我方注销，但是不论贵方是否按此要求将本保函正本退回我方，我方在本保函项下的义务和责任均在保函有效期到期后自动消灭。 </w:t>
      </w:r>
    </w:p>
    <w:p w14:paraId="1BB365EC">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八、本保函适用的法律为中华人民共和国法律，争议裁判管辖地为中华人民共和国</w:t>
      </w:r>
      <w:r>
        <w:rPr>
          <w:rFonts w:hint="eastAsia" w:asciiTheme="minorEastAsia" w:hAnsiTheme="minorEastAsia" w:eastAsiaTheme="minorEastAsia" w:cstheme="minorEastAsia"/>
          <w:color w:val="000000" w:themeColor="text1"/>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w:t>
      </w:r>
    </w:p>
    <w:p w14:paraId="342C2E4D">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九、本保函自我方法定代表人</w:t>
      </w:r>
      <w:bookmarkStart w:id="669" w:name="_Hlk58487855"/>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或授权代表</w:t>
      </w:r>
      <w:bookmarkEnd w:id="669"/>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签字并加盖公章之日起生效。 </w:t>
      </w:r>
    </w:p>
    <w:p w14:paraId="669B9000">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6FCFA16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3DDD303E">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开 立 人：                              （公章） </w:t>
      </w:r>
    </w:p>
    <w:p w14:paraId="3E911487">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法定代表人（或授权代表）：               （签字） </w:t>
      </w:r>
    </w:p>
    <w:p w14:paraId="708DD72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地    址：                                       </w:t>
      </w:r>
    </w:p>
    <w:p w14:paraId="0308D6B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邮政编码：                 </w:t>
      </w:r>
    </w:p>
    <w:p w14:paraId="59CD7EE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电    话：                 </w:t>
      </w:r>
    </w:p>
    <w:p w14:paraId="73F9AA0A">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传    真：                 </w:t>
      </w:r>
    </w:p>
    <w:p w14:paraId="4C1BA48D">
      <w:pPr>
        <w:spacing w:line="360" w:lineRule="auto"/>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开立时间：      年      月        日</w:t>
      </w:r>
    </w:p>
    <w:p w14:paraId="2A47D1DD">
      <w:pPr>
        <w:spacing w:line="374" w:lineRule="auto"/>
        <w:ind w:left="698" w:right="524"/>
        <w:jc w:val="left"/>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p>
    <w:p w14:paraId="15FBFA56">
      <w:pPr>
        <w:pStyle w:val="32"/>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7C8AF6FC">
      <w:pPr>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5F5A5F2E">
      <w:pPr>
        <w:pStyle w:val="32"/>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54C9F0E0">
      <w:pPr>
        <w:spacing w:line="374" w:lineRule="auto"/>
        <w:ind w:left="698" w:right="524"/>
        <w:jc w:val="left"/>
        <w:rPr>
          <w:rFonts w:hint="eastAsia" w:asciiTheme="minorEastAsia" w:hAnsiTheme="minorEastAsia" w:eastAsiaTheme="minorEastAsia" w:cstheme="minorEastAsia"/>
          <w:strike/>
          <w:color w:val="000000" w:themeColor="text1"/>
          <w:szCs w:val="24"/>
          <w:highlight w:val="none"/>
          <w14:textFill>
            <w14:solidFill>
              <w14:schemeClr w14:val="tx1"/>
            </w14:solidFill>
          </w14:textFill>
        </w:rPr>
      </w:pPr>
    </w:p>
    <w:p w14:paraId="33E7C08A">
      <w:pPr>
        <w:rPr>
          <w:rFonts w:hint="eastAsia" w:asciiTheme="minorEastAsia" w:hAnsiTheme="minorEastAsia" w:eastAsiaTheme="minorEastAsia" w:cstheme="minorEastAsia"/>
          <w:color w:val="000000" w:themeColor="text1"/>
          <w:highlight w:val="none"/>
          <w14:textFill>
            <w14:solidFill>
              <w14:schemeClr w14:val="tx1"/>
            </w14:solidFill>
          </w14:textFill>
        </w:rPr>
        <w:sectPr>
          <w:pgSz w:w="11907" w:h="16840"/>
          <w:pgMar w:top="1247" w:right="1474" w:bottom="1247" w:left="1361" w:header="680" w:footer="680" w:gutter="0"/>
          <w:pgNumType w:fmt="decimal"/>
          <w:cols w:space="720" w:num="1"/>
        </w:sectPr>
      </w:pPr>
    </w:p>
    <w:p w14:paraId="30942E89">
      <w:pPr>
        <w:pStyle w:val="62"/>
        <w:spacing w:line="440" w:lineRule="exact"/>
        <w:ind w:firstLine="0" w:firstLineChars="0"/>
        <w:rPr>
          <w:rFonts w:hint="eastAsia" w:asciiTheme="minorEastAsia" w:hAnsiTheme="minorEastAsia" w:eastAsiaTheme="minorEastAsia" w:cstheme="minorEastAsia"/>
          <w:color w:val="000000" w:themeColor="text1"/>
          <w:szCs w:val="32"/>
          <w:highlight w:val="none"/>
          <w14:textFill>
            <w14:solidFill>
              <w14:schemeClr w14:val="tx1"/>
            </w14:solidFill>
          </w14:textFill>
        </w:rPr>
      </w:pPr>
    </w:p>
    <w:p w14:paraId="7205DE45">
      <w:pPr>
        <w:pStyle w:val="3"/>
        <w:jc w:val="cente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pPr>
      <w:bookmarkStart w:id="670" w:name="_Toc466640622"/>
      <w:bookmarkStart w:id="671" w:name="_Toc16901"/>
      <w:bookmarkStart w:id="672" w:name="_Toc420"/>
      <w:bookmarkStart w:id="673" w:name="_Toc26594"/>
      <w:bookmarkStart w:id="674" w:name="_Toc30822"/>
      <w:bookmarkStart w:id="675" w:name="_Toc3894"/>
      <w:bookmarkStart w:id="676" w:name="_Toc13641"/>
      <w:bookmarkStart w:id="677" w:name="_Toc19434"/>
      <w:bookmarkStart w:id="678" w:name="_Toc3242"/>
      <w:bookmarkStart w:id="679" w:name="_Toc9802"/>
      <w:bookmarkStart w:id="680" w:name="_Toc1879"/>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第</w:t>
      </w:r>
      <w:r>
        <w:rPr>
          <w:rFonts w:hint="eastAsia" w:asciiTheme="minorEastAsia" w:hAnsiTheme="minorEastAsia" w:eastAsiaTheme="minorEastAsia" w:cstheme="minorEastAsia"/>
          <w:b/>
          <w:color w:val="000000" w:themeColor="text1"/>
          <w:kern w:val="44"/>
          <w:sz w:val="36"/>
          <w:szCs w:val="36"/>
          <w:highlight w:val="none"/>
          <w:lang w:val="en-US" w:eastAsia="zh-CN"/>
          <w14:textFill>
            <w14:solidFill>
              <w14:schemeClr w14:val="tx1"/>
            </w14:solidFill>
          </w14:textFill>
        </w:rPr>
        <w:t>八</w:t>
      </w:r>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 xml:space="preserve">章  </w:t>
      </w:r>
      <w:bookmarkEnd w:id="519"/>
      <w:bookmarkEnd w:id="520"/>
      <w:bookmarkEnd w:id="521"/>
      <w:bookmarkEnd w:id="522"/>
      <w:bookmarkEnd w:id="670"/>
      <w:r>
        <w:rPr>
          <w:rFonts w:hint="eastAsia" w:asciiTheme="minorEastAsia" w:hAnsiTheme="minorEastAsia" w:eastAsiaTheme="minorEastAsia" w:cstheme="minorEastAsia"/>
          <w:b/>
          <w:color w:val="000000" w:themeColor="text1"/>
          <w:kern w:val="44"/>
          <w:sz w:val="36"/>
          <w:szCs w:val="36"/>
          <w:highlight w:val="none"/>
          <w14:textFill>
            <w14:solidFill>
              <w14:schemeClr w14:val="tx1"/>
            </w14:solidFill>
          </w14:textFill>
        </w:rPr>
        <w:t>建设工程合同</w:t>
      </w:r>
      <w:bookmarkEnd w:id="671"/>
      <w:bookmarkEnd w:id="672"/>
      <w:bookmarkEnd w:id="673"/>
      <w:bookmarkEnd w:id="674"/>
      <w:bookmarkEnd w:id="675"/>
      <w:bookmarkEnd w:id="676"/>
      <w:bookmarkEnd w:id="677"/>
      <w:bookmarkEnd w:id="678"/>
      <w:bookmarkEnd w:id="679"/>
      <w:bookmarkEnd w:id="680"/>
    </w:p>
    <w:p w14:paraId="2B1FD30E">
      <w:pPr>
        <w:rPr>
          <w:rFonts w:hint="eastAsia" w:asciiTheme="minorEastAsia" w:hAnsiTheme="minorEastAsia" w:eastAsiaTheme="minorEastAsia" w:cstheme="minorEastAsia"/>
          <w:color w:val="000000" w:themeColor="text1"/>
          <w:highlight w:val="none"/>
          <w14:textFill>
            <w14:solidFill>
              <w14:schemeClr w14:val="tx1"/>
            </w14:solidFill>
          </w14:textFill>
        </w:rPr>
      </w:pPr>
    </w:p>
    <w:bookmarkEnd w:id="523"/>
    <w:bookmarkEnd w:id="524"/>
    <w:p w14:paraId="429AE631">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 略。总承包合同参照住房城乡建设部、国家工商行政管理总局制定的《建设项目工程总承包合同（示范文本）》GF-2020-0216。</w:t>
      </w:r>
    </w:p>
    <w:p w14:paraId="33E07525">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施工合同按广东省建设厅《广东省建设工程标准施工合同》范本（2009）执行。</w:t>
      </w:r>
    </w:p>
    <w:p w14:paraId="36D352AB">
      <w:pPr>
        <w:spacing w:line="360" w:lineRule="auto"/>
        <w:ind w:firstLine="480" w:firstLineChars="200"/>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 xml:space="preserve">设计合同按住房城乡建设部、国家工商行政管理总局制定《建设工程设计合同示范文本（市政公用工程）》（GF-2015-0209）、《建设工程设计合同示范文本（专业建设工程）》（GF-2015-0210）执行。 </w:t>
      </w:r>
    </w:p>
    <w:p w14:paraId="4779F3EE">
      <w:pPr>
        <w:spacing w:line="360" w:lineRule="auto"/>
        <w:ind w:firstLine="480" w:firstLineChars="200"/>
        <w:rPr>
          <w:rFonts w:hint="default" w:asciiTheme="minorEastAsia" w:hAnsiTheme="minorEastAsia" w:eastAsiaTheme="minorEastAsia" w:cstheme="minorEastAsia"/>
          <w:color w:val="000000" w:themeColor="text1"/>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勘察合同按</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住房城乡建设部、国家工商行政管理总局制定建设工程勘察合同(示范文本)(GF-2016-0203)</w:t>
      </w:r>
      <w:r>
        <w:rPr>
          <w:rFonts w:hint="eastAsia" w:asciiTheme="minorEastAsia" w:hAnsiTheme="minorEastAsia" w:eastAsiaTheme="minorEastAsia" w:cstheme="minorEastAsia"/>
          <w:color w:val="000000" w:themeColor="text1"/>
          <w:szCs w:val="24"/>
          <w:highlight w:val="none"/>
          <w:lang w:val="en-US" w:eastAsia="zh-CN"/>
          <w14:textFill>
            <w14:solidFill>
              <w14:schemeClr w14:val="tx1"/>
            </w14:solidFill>
          </w14:textFill>
        </w:rPr>
        <w:t>执行。</w:t>
      </w:r>
    </w:p>
    <w:p w14:paraId="388C85E6">
      <w:pPr>
        <w:spacing w:line="420" w:lineRule="atLeast"/>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6D486A02">
      <w:pPr>
        <w:spacing w:line="420" w:lineRule="atLeast"/>
        <w:ind w:firstLine="480" w:firstLineChars="200"/>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4361883B">
      <w:pPr>
        <w:rPr>
          <w:rFonts w:hint="eastAsia" w:asciiTheme="minorEastAsia" w:hAnsiTheme="minorEastAsia" w:eastAsiaTheme="minorEastAsia" w:cstheme="minorEastAsia"/>
          <w:color w:val="000000" w:themeColor="text1"/>
          <w:highlight w:val="none"/>
          <w14:textFill>
            <w14:solidFill>
              <w14:schemeClr w14:val="tx1"/>
            </w14:solidFill>
          </w14:textFill>
        </w:rPr>
      </w:pPr>
    </w:p>
    <w:sectPr>
      <w:endnotePr>
        <w:numFmt w:val="decimal"/>
      </w:endnotePr>
      <w:pgSz w:w="11907" w:h="16840"/>
      <w:pgMar w:top="1134" w:right="1134" w:bottom="1021" w:left="1418" w:header="567" w:footer="510" w:gutter="0"/>
      <w:pgNumType w:fmt="decimal"/>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F91F8">
    <w:pPr>
      <w:pStyle w:val="71"/>
      <w:tabs>
        <w:tab w:val="left" w:pos="4803"/>
        <w:tab w:val="clear" w:pos="4153"/>
      </w:tabs>
    </w:pPr>
    <w:r>
      <w:rPr>
        <w:rFonts w:hint="eastAsia"/>
      </w:rPr>
      <w:tab/>
    </w:r>
  </w:p>
  <w:p w14:paraId="4AFCE7F2">
    <w:pPr>
      <w:pStyle w:val="7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7DE61">
    <w:pPr>
      <w:pStyle w:val="71"/>
      <w:tabs>
        <w:tab w:val="left" w:pos="4803"/>
        <w:tab w:val="clear" w:pos="4153"/>
      </w:tabs>
    </w:pPr>
    <w:r>
      <w:rPr>
        <w:rFonts w:hint="eastAsia"/>
      </w:rPr>
      <w:tab/>
    </w:r>
  </w:p>
  <w:p w14:paraId="686904C8">
    <w:pPr>
      <w:pStyle w:val="7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F47BF">
    <w:pPr>
      <w:pStyle w:val="71"/>
      <w:tabs>
        <w:tab w:val="left" w:pos="4803"/>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2B98E">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B2B98E">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FFD58">
    <w:pPr>
      <w:pStyle w:val="71"/>
      <w:tabs>
        <w:tab w:val="left" w:pos="4803"/>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3017EA">
                          <w:pPr>
                            <w:pStyle w:val="13"/>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E3017EA">
                    <w:pPr>
                      <w:pStyle w:val="13"/>
                    </w:pPr>
                    <w:r>
                      <w:fldChar w:fldCharType="begin"/>
                    </w:r>
                    <w:r>
                      <w:instrText xml:space="preserve"> PAGE  \* MERGEFORMAT </w:instrText>
                    </w:r>
                    <w:r>
                      <w:fldChar w:fldCharType="separate"/>
                    </w:r>
                    <w:r>
                      <w:t>88</w:t>
                    </w:r>
                    <w:r>
                      <w:fldChar w:fldCharType="end"/>
                    </w:r>
                  </w:p>
                </w:txbxContent>
              </v:textbox>
            </v:shape>
          </w:pict>
        </mc:Fallback>
      </mc:AlternateContent>
    </w:r>
    <w:r>
      <w:rPr>
        <w:rFonts w:hint="eastAsia"/>
      </w:rPr>
      <w:tab/>
    </w:r>
  </w:p>
  <w:p w14:paraId="73FD3302">
    <w:pPr>
      <w:pStyle w:val="7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7BD87">
    <w:pPr>
      <w:pStyle w:val="13"/>
      <w:jc w:val="center"/>
      <w:rPr>
        <w:rFonts w:hint="default"/>
        <w:szCs w:val="24"/>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F52543">
                          <w:pPr>
                            <w:pStyle w:val="13"/>
                          </w:pPr>
                          <w:r>
                            <w:fldChar w:fldCharType="begin"/>
                          </w:r>
                          <w:r>
                            <w:instrText xml:space="preserve"> PAGE  \* MERGEFORMAT </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0F52543">
                    <w:pPr>
                      <w:pStyle w:val="13"/>
                    </w:pPr>
                    <w:r>
                      <w:fldChar w:fldCharType="begin"/>
                    </w:r>
                    <w:r>
                      <w:instrText xml:space="preserve"> PAGE  \* MERGEFORMAT </w:instrText>
                    </w:r>
                    <w:r>
                      <w:fldChar w:fldCharType="separate"/>
                    </w:r>
                    <w:r>
                      <w:t>101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1C487">
    <w:pPr>
      <w:jc w:val="center"/>
      <w:rPr>
        <w:rFonts w:hint="default"/>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4B371">
    <w:pPr>
      <w:pStyle w:val="14"/>
      <w:pBdr>
        <w:bottom w:val="none" w:color="auto" w:sz="0" w:space="0"/>
      </w:pBdr>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52DEF9"/>
    <w:multiLevelType w:val="singleLevel"/>
    <w:tmpl w:val="8152DEF9"/>
    <w:lvl w:ilvl="0" w:tentative="0">
      <w:start w:val="1"/>
      <w:numFmt w:val="decimal"/>
      <w:suff w:val="nothing"/>
      <w:lvlText w:val="（%1）"/>
      <w:lvlJc w:val="left"/>
    </w:lvl>
  </w:abstractNum>
  <w:abstractNum w:abstractNumId="1">
    <w:nsid w:val="8AD50FB6"/>
    <w:multiLevelType w:val="singleLevel"/>
    <w:tmpl w:val="8AD50FB6"/>
    <w:lvl w:ilvl="0" w:tentative="0">
      <w:start w:val="1"/>
      <w:numFmt w:val="decimal"/>
      <w:lvlText w:val="%1."/>
      <w:lvlJc w:val="left"/>
      <w:pPr>
        <w:tabs>
          <w:tab w:val="left" w:pos="312"/>
        </w:tabs>
      </w:pPr>
    </w:lvl>
  </w:abstractNum>
  <w:abstractNum w:abstractNumId="2">
    <w:nsid w:val="9A22DE3C"/>
    <w:multiLevelType w:val="singleLevel"/>
    <w:tmpl w:val="9A22DE3C"/>
    <w:lvl w:ilvl="0" w:tentative="0">
      <w:start w:val="5"/>
      <w:numFmt w:val="decimal"/>
      <w:suff w:val="space"/>
      <w:lvlText w:val="%1."/>
      <w:lvlJc w:val="left"/>
    </w:lvl>
  </w:abstractNum>
  <w:abstractNum w:abstractNumId="3">
    <w:nsid w:val="C099E3A4"/>
    <w:multiLevelType w:val="singleLevel"/>
    <w:tmpl w:val="C099E3A4"/>
    <w:lvl w:ilvl="0" w:tentative="0">
      <w:start w:val="1"/>
      <w:numFmt w:val="chineseCounting"/>
      <w:suff w:val="nothing"/>
      <w:lvlText w:val="第%1、"/>
      <w:lvlJc w:val="left"/>
      <w:rPr>
        <w:rFonts w:hint="eastAsia"/>
      </w:rPr>
    </w:lvl>
  </w:abstractNum>
  <w:abstractNum w:abstractNumId="4">
    <w:nsid w:val="CFABDD9F"/>
    <w:multiLevelType w:val="singleLevel"/>
    <w:tmpl w:val="CFABDD9F"/>
    <w:lvl w:ilvl="0" w:tentative="0">
      <w:start w:val="1"/>
      <w:numFmt w:val="decimal"/>
      <w:suff w:val="nothing"/>
      <w:lvlText w:val="（%1）"/>
      <w:lvlJc w:val="left"/>
    </w:lvl>
  </w:abstractNum>
  <w:abstractNum w:abstractNumId="5">
    <w:nsid w:val="00000009"/>
    <w:multiLevelType w:val="multilevel"/>
    <w:tmpl w:val="00000009"/>
    <w:lvl w:ilvl="0" w:tentative="0">
      <w:start w:val="1"/>
      <w:numFmt w:val="bullet"/>
      <w:lvlText w:val=""/>
      <w:lvlJc w:val="left"/>
      <w:pPr>
        <w:tabs>
          <w:tab w:val="left" w:pos="420"/>
        </w:tabs>
        <w:ind w:left="420" w:hanging="420"/>
      </w:pPr>
      <w:rPr>
        <w:rFonts w:hint="default" w:ascii="Wingdings" w:hAnsi="Wingdings"/>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
    <w:nsid w:val="0A80F6BA"/>
    <w:multiLevelType w:val="singleLevel"/>
    <w:tmpl w:val="0A80F6BA"/>
    <w:lvl w:ilvl="0" w:tentative="0">
      <w:start w:val="1"/>
      <w:numFmt w:val="decimal"/>
      <w:lvlText w:val="%1."/>
      <w:lvlJc w:val="left"/>
      <w:pPr>
        <w:tabs>
          <w:tab w:val="left" w:pos="312"/>
        </w:tabs>
      </w:pPr>
    </w:lvl>
  </w:abstractNum>
  <w:num w:numId="1">
    <w:abstractNumId w:val="5"/>
  </w:num>
  <w:num w:numId="2">
    <w:abstractNumId w:val="4"/>
  </w:num>
  <w:num w:numId="3">
    <w:abstractNumId w:val="6"/>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jNTZhM2Y3Y2VjMzYxMDhmOTE1NzQzN2U4NjM5NzEifQ=="/>
    <w:docVar w:name="KSO_WPS_MARK_KEY" w:val="2b56eff9-4bef-4219-8874-9567fb1cde91"/>
  </w:docVars>
  <w:rsids>
    <w:rsidRoot w:val="4C5944B1"/>
    <w:rsid w:val="000B7698"/>
    <w:rsid w:val="000F7646"/>
    <w:rsid w:val="0011760F"/>
    <w:rsid w:val="001E0850"/>
    <w:rsid w:val="00281ECB"/>
    <w:rsid w:val="002F176F"/>
    <w:rsid w:val="003A1942"/>
    <w:rsid w:val="003B643A"/>
    <w:rsid w:val="003E2709"/>
    <w:rsid w:val="004218C1"/>
    <w:rsid w:val="004F7FD5"/>
    <w:rsid w:val="0055689E"/>
    <w:rsid w:val="005E6BB8"/>
    <w:rsid w:val="0064163D"/>
    <w:rsid w:val="007C3F91"/>
    <w:rsid w:val="008C4168"/>
    <w:rsid w:val="008E0C60"/>
    <w:rsid w:val="00901845"/>
    <w:rsid w:val="00936991"/>
    <w:rsid w:val="00943625"/>
    <w:rsid w:val="00954357"/>
    <w:rsid w:val="00954A54"/>
    <w:rsid w:val="00A255A4"/>
    <w:rsid w:val="00A322B9"/>
    <w:rsid w:val="00A80EA7"/>
    <w:rsid w:val="00AD7338"/>
    <w:rsid w:val="00AF685C"/>
    <w:rsid w:val="00B16179"/>
    <w:rsid w:val="00B37196"/>
    <w:rsid w:val="00C04E0C"/>
    <w:rsid w:val="00CB07F4"/>
    <w:rsid w:val="00CB3361"/>
    <w:rsid w:val="00CD4D5B"/>
    <w:rsid w:val="00D561CD"/>
    <w:rsid w:val="00DA5A23"/>
    <w:rsid w:val="00E76514"/>
    <w:rsid w:val="00ED4B12"/>
    <w:rsid w:val="00F95669"/>
    <w:rsid w:val="011F7384"/>
    <w:rsid w:val="01262D7E"/>
    <w:rsid w:val="01284AF4"/>
    <w:rsid w:val="012C10F1"/>
    <w:rsid w:val="016A5229"/>
    <w:rsid w:val="016B77E9"/>
    <w:rsid w:val="0189664D"/>
    <w:rsid w:val="01A93FA3"/>
    <w:rsid w:val="01C53654"/>
    <w:rsid w:val="01E704A0"/>
    <w:rsid w:val="01F123E4"/>
    <w:rsid w:val="023B4C37"/>
    <w:rsid w:val="02427F54"/>
    <w:rsid w:val="025C1016"/>
    <w:rsid w:val="02665093"/>
    <w:rsid w:val="02673FAD"/>
    <w:rsid w:val="027F7030"/>
    <w:rsid w:val="029933CC"/>
    <w:rsid w:val="02B53517"/>
    <w:rsid w:val="02D70973"/>
    <w:rsid w:val="02D84414"/>
    <w:rsid w:val="030E146A"/>
    <w:rsid w:val="031E276F"/>
    <w:rsid w:val="033923C2"/>
    <w:rsid w:val="0348159A"/>
    <w:rsid w:val="03541A8A"/>
    <w:rsid w:val="035C0E64"/>
    <w:rsid w:val="035E0DBD"/>
    <w:rsid w:val="03681C3C"/>
    <w:rsid w:val="03724869"/>
    <w:rsid w:val="0385459C"/>
    <w:rsid w:val="039D18E6"/>
    <w:rsid w:val="03A42CC1"/>
    <w:rsid w:val="03C50E3C"/>
    <w:rsid w:val="03CC5D27"/>
    <w:rsid w:val="03F46BE4"/>
    <w:rsid w:val="03FB660C"/>
    <w:rsid w:val="04185410"/>
    <w:rsid w:val="041A1188"/>
    <w:rsid w:val="04253689"/>
    <w:rsid w:val="042E69E2"/>
    <w:rsid w:val="04360B53"/>
    <w:rsid w:val="045442D0"/>
    <w:rsid w:val="04965C00"/>
    <w:rsid w:val="049727D9"/>
    <w:rsid w:val="04B3453A"/>
    <w:rsid w:val="04E05B36"/>
    <w:rsid w:val="04EA57F9"/>
    <w:rsid w:val="0551139F"/>
    <w:rsid w:val="05735E79"/>
    <w:rsid w:val="05940AC6"/>
    <w:rsid w:val="05C14046"/>
    <w:rsid w:val="05FD666C"/>
    <w:rsid w:val="06204F50"/>
    <w:rsid w:val="06310B6D"/>
    <w:rsid w:val="06505A75"/>
    <w:rsid w:val="06510766"/>
    <w:rsid w:val="06656ADB"/>
    <w:rsid w:val="06750BD0"/>
    <w:rsid w:val="068308FE"/>
    <w:rsid w:val="068A58D2"/>
    <w:rsid w:val="0694486B"/>
    <w:rsid w:val="06A92350"/>
    <w:rsid w:val="06AB60C8"/>
    <w:rsid w:val="06DD74B2"/>
    <w:rsid w:val="06EA0C6C"/>
    <w:rsid w:val="06F105E8"/>
    <w:rsid w:val="06F37A6F"/>
    <w:rsid w:val="06FF1426"/>
    <w:rsid w:val="07302A71"/>
    <w:rsid w:val="0741366C"/>
    <w:rsid w:val="074849DB"/>
    <w:rsid w:val="075527EB"/>
    <w:rsid w:val="077C17D7"/>
    <w:rsid w:val="07A10088"/>
    <w:rsid w:val="07A76DE7"/>
    <w:rsid w:val="07AF3996"/>
    <w:rsid w:val="07C40809"/>
    <w:rsid w:val="07F8328D"/>
    <w:rsid w:val="081128A2"/>
    <w:rsid w:val="081E0766"/>
    <w:rsid w:val="08397E54"/>
    <w:rsid w:val="083E11BD"/>
    <w:rsid w:val="085F1D8A"/>
    <w:rsid w:val="08915791"/>
    <w:rsid w:val="08BC2A1A"/>
    <w:rsid w:val="08C47915"/>
    <w:rsid w:val="08E104C7"/>
    <w:rsid w:val="09016473"/>
    <w:rsid w:val="092335A5"/>
    <w:rsid w:val="092752BD"/>
    <w:rsid w:val="092F06B7"/>
    <w:rsid w:val="09B554AF"/>
    <w:rsid w:val="09C86F91"/>
    <w:rsid w:val="09E65669"/>
    <w:rsid w:val="09EB1836"/>
    <w:rsid w:val="0A560A40"/>
    <w:rsid w:val="0A873975"/>
    <w:rsid w:val="0A9E2D09"/>
    <w:rsid w:val="0AA03A6A"/>
    <w:rsid w:val="0AA16904"/>
    <w:rsid w:val="0AA95014"/>
    <w:rsid w:val="0AB36DB1"/>
    <w:rsid w:val="0AB66FEF"/>
    <w:rsid w:val="0AD7112E"/>
    <w:rsid w:val="0AFD4502"/>
    <w:rsid w:val="0B633415"/>
    <w:rsid w:val="0B971310"/>
    <w:rsid w:val="0B995220"/>
    <w:rsid w:val="0BDA37C7"/>
    <w:rsid w:val="0C144E4E"/>
    <w:rsid w:val="0C183B2E"/>
    <w:rsid w:val="0C3C08C2"/>
    <w:rsid w:val="0C5C7E64"/>
    <w:rsid w:val="0C6A568B"/>
    <w:rsid w:val="0C711B61"/>
    <w:rsid w:val="0C7358DA"/>
    <w:rsid w:val="0C74196B"/>
    <w:rsid w:val="0C7D5BCC"/>
    <w:rsid w:val="0C8F023A"/>
    <w:rsid w:val="0CBC1B52"/>
    <w:rsid w:val="0CBC40CB"/>
    <w:rsid w:val="0CC53C5B"/>
    <w:rsid w:val="0CC7352F"/>
    <w:rsid w:val="0CCA1272"/>
    <w:rsid w:val="0CDD0FA5"/>
    <w:rsid w:val="0CF40FAA"/>
    <w:rsid w:val="0D0310AE"/>
    <w:rsid w:val="0D1B00F8"/>
    <w:rsid w:val="0D295D83"/>
    <w:rsid w:val="0D2B56E9"/>
    <w:rsid w:val="0D31309F"/>
    <w:rsid w:val="0D4A769B"/>
    <w:rsid w:val="0D5374B9"/>
    <w:rsid w:val="0D724D63"/>
    <w:rsid w:val="0D841421"/>
    <w:rsid w:val="0D8D045B"/>
    <w:rsid w:val="0D9642F0"/>
    <w:rsid w:val="0DA63A8D"/>
    <w:rsid w:val="0DB937C0"/>
    <w:rsid w:val="0DBB25A8"/>
    <w:rsid w:val="0DC53787"/>
    <w:rsid w:val="0DCB0DFD"/>
    <w:rsid w:val="0DDA28D6"/>
    <w:rsid w:val="0DDE4FD5"/>
    <w:rsid w:val="0DE6650F"/>
    <w:rsid w:val="0DF73507"/>
    <w:rsid w:val="0DFA207C"/>
    <w:rsid w:val="0DFB1411"/>
    <w:rsid w:val="0E370B89"/>
    <w:rsid w:val="0E554708"/>
    <w:rsid w:val="0E554C7C"/>
    <w:rsid w:val="0E6B438E"/>
    <w:rsid w:val="0EAD0264"/>
    <w:rsid w:val="0EB6785F"/>
    <w:rsid w:val="0EE20AF5"/>
    <w:rsid w:val="0EF56BB3"/>
    <w:rsid w:val="0F0A0D37"/>
    <w:rsid w:val="0F4E10F7"/>
    <w:rsid w:val="0F640D2F"/>
    <w:rsid w:val="0F6A64B9"/>
    <w:rsid w:val="0F930041"/>
    <w:rsid w:val="0FA062BA"/>
    <w:rsid w:val="0FB24E29"/>
    <w:rsid w:val="0FC41FA8"/>
    <w:rsid w:val="0FE90846"/>
    <w:rsid w:val="0FF7412C"/>
    <w:rsid w:val="10044A9B"/>
    <w:rsid w:val="10093E5F"/>
    <w:rsid w:val="1017239B"/>
    <w:rsid w:val="101C0036"/>
    <w:rsid w:val="10264A11"/>
    <w:rsid w:val="104A6951"/>
    <w:rsid w:val="10667503"/>
    <w:rsid w:val="10725EA8"/>
    <w:rsid w:val="10BD6F35"/>
    <w:rsid w:val="10C04E65"/>
    <w:rsid w:val="10CD6B01"/>
    <w:rsid w:val="10D95F27"/>
    <w:rsid w:val="10DE52EC"/>
    <w:rsid w:val="10E34150"/>
    <w:rsid w:val="11302AA6"/>
    <w:rsid w:val="11405FA6"/>
    <w:rsid w:val="114535BD"/>
    <w:rsid w:val="11584D75"/>
    <w:rsid w:val="11845E93"/>
    <w:rsid w:val="11A2456B"/>
    <w:rsid w:val="11C664AC"/>
    <w:rsid w:val="11DB4B38"/>
    <w:rsid w:val="11FB5CD3"/>
    <w:rsid w:val="123E21E9"/>
    <w:rsid w:val="124A1FF0"/>
    <w:rsid w:val="12752B42"/>
    <w:rsid w:val="12A06CFD"/>
    <w:rsid w:val="12BB3B36"/>
    <w:rsid w:val="12E806A4"/>
    <w:rsid w:val="12E92C69"/>
    <w:rsid w:val="130D1EB8"/>
    <w:rsid w:val="13156E63"/>
    <w:rsid w:val="131F5532"/>
    <w:rsid w:val="13201FDC"/>
    <w:rsid w:val="133D62EE"/>
    <w:rsid w:val="133E3F74"/>
    <w:rsid w:val="13426006"/>
    <w:rsid w:val="13734957"/>
    <w:rsid w:val="137D0DEC"/>
    <w:rsid w:val="138E124B"/>
    <w:rsid w:val="13B512A1"/>
    <w:rsid w:val="13BB2F94"/>
    <w:rsid w:val="13C0517C"/>
    <w:rsid w:val="14072DAB"/>
    <w:rsid w:val="143C0CA7"/>
    <w:rsid w:val="14430A9C"/>
    <w:rsid w:val="146E4B4E"/>
    <w:rsid w:val="149763D6"/>
    <w:rsid w:val="14A76C92"/>
    <w:rsid w:val="14BB4DC8"/>
    <w:rsid w:val="14E1675A"/>
    <w:rsid w:val="15022121"/>
    <w:rsid w:val="1525173B"/>
    <w:rsid w:val="153951E6"/>
    <w:rsid w:val="15995C85"/>
    <w:rsid w:val="159F14ED"/>
    <w:rsid w:val="15A718D7"/>
    <w:rsid w:val="15BC4477"/>
    <w:rsid w:val="15BD4608"/>
    <w:rsid w:val="15D85784"/>
    <w:rsid w:val="15FD7FC2"/>
    <w:rsid w:val="160E6248"/>
    <w:rsid w:val="161F586A"/>
    <w:rsid w:val="16201F02"/>
    <w:rsid w:val="16414353"/>
    <w:rsid w:val="164E4741"/>
    <w:rsid w:val="165A5414"/>
    <w:rsid w:val="167E07F7"/>
    <w:rsid w:val="16C60CFC"/>
    <w:rsid w:val="16E178E4"/>
    <w:rsid w:val="16F5338F"/>
    <w:rsid w:val="175E7186"/>
    <w:rsid w:val="176108A4"/>
    <w:rsid w:val="177B1AE6"/>
    <w:rsid w:val="17A10E21"/>
    <w:rsid w:val="17AF3CDA"/>
    <w:rsid w:val="17B73663"/>
    <w:rsid w:val="17FF3E14"/>
    <w:rsid w:val="18426433"/>
    <w:rsid w:val="18770500"/>
    <w:rsid w:val="18860743"/>
    <w:rsid w:val="18AE7C99"/>
    <w:rsid w:val="18CA2C3F"/>
    <w:rsid w:val="18DF42F7"/>
    <w:rsid w:val="18F546F2"/>
    <w:rsid w:val="19212219"/>
    <w:rsid w:val="192B12EA"/>
    <w:rsid w:val="19363AFA"/>
    <w:rsid w:val="19684BA0"/>
    <w:rsid w:val="19861EDA"/>
    <w:rsid w:val="198B3B37"/>
    <w:rsid w:val="19B600B0"/>
    <w:rsid w:val="19CB4621"/>
    <w:rsid w:val="19D92807"/>
    <w:rsid w:val="19F37903"/>
    <w:rsid w:val="1A04743A"/>
    <w:rsid w:val="1A241393"/>
    <w:rsid w:val="1A3B37AF"/>
    <w:rsid w:val="1A43439E"/>
    <w:rsid w:val="1A495ECC"/>
    <w:rsid w:val="1A4A1047"/>
    <w:rsid w:val="1A534654"/>
    <w:rsid w:val="1A602AAD"/>
    <w:rsid w:val="1A7D7923"/>
    <w:rsid w:val="1A8506D5"/>
    <w:rsid w:val="1A937147"/>
    <w:rsid w:val="1AA650CC"/>
    <w:rsid w:val="1AC63078"/>
    <w:rsid w:val="1ACF42A1"/>
    <w:rsid w:val="1ADE4866"/>
    <w:rsid w:val="1AF94774"/>
    <w:rsid w:val="1AF97567"/>
    <w:rsid w:val="1B1742F2"/>
    <w:rsid w:val="1B2E4C6C"/>
    <w:rsid w:val="1B527002"/>
    <w:rsid w:val="1B5974A9"/>
    <w:rsid w:val="1B666609"/>
    <w:rsid w:val="1B690B70"/>
    <w:rsid w:val="1B701236"/>
    <w:rsid w:val="1B754A9E"/>
    <w:rsid w:val="1B8076CB"/>
    <w:rsid w:val="1B8A59D6"/>
    <w:rsid w:val="1BAF4AA0"/>
    <w:rsid w:val="1BBB4BA7"/>
    <w:rsid w:val="1BC03F6C"/>
    <w:rsid w:val="1BC05D1A"/>
    <w:rsid w:val="1BC11A92"/>
    <w:rsid w:val="1BC21D75"/>
    <w:rsid w:val="1BC62A56"/>
    <w:rsid w:val="1BDE0896"/>
    <w:rsid w:val="1BF80445"/>
    <w:rsid w:val="1C01417E"/>
    <w:rsid w:val="1C0C71B1"/>
    <w:rsid w:val="1C381D54"/>
    <w:rsid w:val="1C4C1CA3"/>
    <w:rsid w:val="1C4C3F1D"/>
    <w:rsid w:val="1C6061C5"/>
    <w:rsid w:val="1C6918C2"/>
    <w:rsid w:val="1C8F1025"/>
    <w:rsid w:val="1CC23714"/>
    <w:rsid w:val="1CC61A56"/>
    <w:rsid w:val="1CDD25B2"/>
    <w:rsid w:val="1CDD28FB"/>
    <w:rsid w:val="1CDE71ED"/>
    <w:rsid w:val="1CF57C45"/>
    <w:rsid w:val="1CFD30F1"/>
    <w:rsid w:val="1D392B2F"/>
    <w:rsid w:val="1D3C1D18"/>
    <w:rsid w:val="1D3F2962"/>
    <w:rsid w:val="1D531643"/>
    <w:rsid w:val="1D586BE4"/>
    <w:rsid w:val="1D750002"/>
    <w:rsid w:val="1D7B63DC"/>
    <w:rsid w:val="1DB4365C"/>
    <w:rsid w:val="1DB7314C"/>
    <w:rsid w:val="1DC85359"/>
    <w:rsid w:val="1DE504BC"/>
    <w:rsid w:val="1DE5415D"/>
    <w:rsid w:val="1DEB51E9"/>
    <w:rsid w:val="1E1467F1"/>
    <w:rsid w:val="1E1E766F"/>
    <w:rsid w:val="1E480248"/>
    <w:rsid w:val="1E5310C7"/>
    <w:rsid w:val="1E5B7F7C"/>
    <w:rsid w:val="1E787E3F"/>
    <w:rsid w:val="1E896032"/>
    <w:rsid w:val="1E94348E"/>
    <w:rsid w:val="1EA41352"/>
    <w:rsid w:val="1EC73863"/>
    <w:rsid w:val="1ED02718"/>
    <w:rsid w:val="1ED146E2"/>
    <w:rsid w:val="1EE14055"/>
    <w:rsid w:val="1F0B09EA"/>
    <w:rsid w:val="1F26208B"/>
    <w:rsid w:val="1F27633C"/>
    <w:rsid w:val="1F444EB4"/>
    <w:rsid w:val="1F4A53F6"/>
    <w:rsid w:val="1F505606"/>
    <w:rsid w:val="1F7F413E"/>
    <w:rsid w:val="1F9951FF"/>
    <w:rsid w:val="1FBD45F2"/>
    <w:rsid w:val="20012DA5"/>
    <w:rsid w:val="20315438"/>
    <w:rsid w:val="203C5B8B"/>
    <w:rsid w:val="206C46C2"/>
    <w:rsid w:val="20941E5C"/>
    <w:rsid w:val="20B144DF"/>
    <w:rsid w:val="20E92247"/>
    <w:rsid w:val="20E92EC4"/>
    <w:rsid w:val="20EF49EE"/>
    <w:rsid w:val="20F63F8C"/>
    <w:rsid w:val="211046C7"/>
    <w:rsid w:val="211D59BC"/>
    <w:rsid w:val="21284B64"/>
    <w:rsid w:val="213212B7"/>
    <w:rsid w:val="21541387"/>
    <w:rsid w:val="2159417C"/>
    <w:rsid w:val="217952E8"/>
    <w:rsid w:val="21933ED0"/>
    <w:rsid w:val="21B24356"/>
    <w:rsid w:val="21EB7868"/>
    <w:rsid w:val="21FE134A"/>
    <w:rsid w:val="222A65E3"/>
    <w:rsid w:val="2252621C"/>
    <w:rsid w:val="225278E7"/>
    <w:rsid w:val="225A40A6"/>
    <w:rsid w:val="225A5C6B"/>
    <w:rsid w:val="225B51D9"/>
    <w:rsid w:val="22A02616"/>
    <w:rsid w:val="22A26860"/>
    <w:rsid w:val="22AC263C"/>
    <w:rsid w:val="22B11907"/>
    <w:rsid w:val="22DC6741"/>
    <w:rsid w:val="22E42C35"/>
    <w:rsid w:val="22F32E79"/>
    <w:rsid w:val="2305495A"/>
    <w:rsid w:val="230C5CE8"/>
    <w:rsid w:val="23253E95"/>
    <w:rsid w:val="235F6EB5"/>
    <w:rsid w:val="23741495"/>
    <w:rsid w:val="23A2739A"/>
    <w:rsid w:val="23B56380"/>
    <w:rsid w:val="23BE3486"/>
    <w:rsid w:val="23D63FF3"/>
    <w:rsid w:val="23DF51AB"/>
    <w:rsid w:val="23E4734C"/>
    <w:rsid w:val="242F6132"/>
    <w:rsid w:val="24491954"/>
    <w:rsid w:val="24523BCF"/>
    <w:rsid w:val="24704055"/>
    <w:rsid w:val="247E2C16"/>
    <w:rsid w:val="24802EEC"/>
    <w:rsid w:val="249F316A"/>
    <w:rsid w:val="24D80578"/>
    <w:rsid w:val="24EE1B49"/>
    <w:rsid w:val="25076767"/>
    <w:rsid w:val="25153BB3"/>
    <w:rsid w:val="251C4037"/>
    <w:rsid w:val="25395DBC"/>
    <w:rsid w:val="253B5A69"/>
    <w:rsid w:val="254C0545"/>
    <w:rsid w:val="255A71DF"/>
    <w:rsid w:val="25711DDF"/>
    <w:rsid w:val="2578303A"/>
    <w:rsid w:val="257D5076"/>
    <w:rsid w:val="25972C96"/>
    <w:rsid w:val="25A01B67"/>
    <w:rsid w:val="25BF256F"/>
    <w:rsid w:val="25C1100C"/>
    <w:rsid w:val="25D16D75"/>
    <w:rsid w:val="25D36F91"/>
    <w:rsid w:val="25E8104B"/>
    <w:rsid w:val="260E1D77"/>
    <w:rsid w:val="263341B4"/>
    <w:rsid w:val="266F2816"/>
    <w:rsid w:val="2683119F"/>
    <w:rsid w:val="268F110A"/>
    <w:rsid w:val="26A821CC"/>
    <w:rsid w:val="26C0203C"/>
    <w:rsid w:val="26D92385"/>
    <w:rsid w:val="271D6716"/>
    <w:rsid w:val="27247B73"/>
    <w:rsid w:val="272F01F7"/>
    <w:rsid w:val="27435A51"/>
    <w:rsid w:val="274572A5"/>
    <w:rsid w:val="274577C6"/>
    <w:rsid w:val="27462BA9"/>
    <w:rsid w:val="275131CB"/>
    <w:rsid w:val="276445C9"/>
    <w:rsid w:val="277F4CDB"/>
    <w:rsid w:val="278C73F8"/>
    <w:rsid w:val="27AC35F6"/>
    <w:rsid w:val="27C6290A"/>
    <w:rsid w:val="27EB411E"/>
    <w:rsid w:val="28310773"/>
    <w:rsid w:val="28335AC5"/>
    <w:rsid w:val="283B4DC5"/>
    <w:rsid w:val="28461C9C"/>
    <w:rsid w:val="285F2D5E"/>
    <w:rsid w:val="287157B0"/>
    <w:rsid w:val="28877790"/>
    <w:rsid w:val="28910741"/>
    <w:rsid w:val="28A95D87"/>
    <w:rsid w:val="28C411E9"/>
    <w:rsid w:val="28FD4CC9"/>
    <w:rsid w:val="29061A4D"/>
    <w:rsid w:val="29345F99"/>
    <w:rsid w:val="296D0CD1"/>
    <w:rsid w:val="297D16EE"/>
    <w:rsid w:val="298736A5"/>
    <w:rsid w:val="298F4F7D"/>
    <w:rsid w:val="29A529F3"/>
    <w:rsid w:val="29A70519"/>
    <w:rsid w:val="29BE374E"/>
    <w:rsid w:val="29D86AEC"/>
    <w:rsid w:val="2A0F2112"/>
    <w:rsid w:val="2A4144C9"/>
    <w:rsid w:val="2A475858"/>
    <w:rsid w:val="2A6B3832"/>
    <w:rsid w:val="2A793900"/>
    <w:rsid w:val="2A7E571E"/>
    <w:rsid w:val="2A7F1496"/>
    <w:rsid w:val="2A881CEC"/>
    <w:rsid w:val="2A994305"/>
    <w:rsid w:val="2AA85E3B"/>
    <w:rsid w:val="2AAA4765"/>
    <w:rsid w:val="2AB80DCB"/>
    <w:rsid w:val="2AB90504"/>
    <w:rsid w:val="2AEA4B61"/>
    <w:rsid w:val="2B12230A"/>
    <w:rsid w:val="2B157704"/>
    <w:rsid w:val="2B167CAC"/>
    <w:rsid w:val="2B385F92"/>
    <w:rsid w:val="2B4C6B5C"/>
    <w:rsid w:val="2B777082"/>
    <w:rsid w:val="2B8C7C7C"/>
    <w:rsid w:val="2B9B3F1D"/>
    <w:rsid w:val="2BA456FE"/>
    <w:rsid w:val="2BE511E3"/>
    <w:rsid w:val="2BEF49DC"/>
    <w:rsid w:val="2C1005F7"/>
    <w:rsid w:val="2C1B0D4A"/>
    <w:rsid w:val="2C1F6A8C"/>
    <w:rsid w:val="2C302A48"/>
    <w:rsid w:val="2C5D5807"/>
    <w:rsid w:val="2C733DC5"/>
    <w:rsid w:val="2C861EB2"/>
    <w:rsid w:val="2CA60F5C"/>
    <w:rsid w:val="2CAA4940"/>
    <w:rsid w:val="2CBF3E97"/>
    <w:rsid w:val="2CCB6C14"/>
    <w:rsid w:val="2CD57184"/>
    <w:rsid w:val="2CE466AC"/>
    <w:rsid w:val="2CE53DF2"/>
    <w:rsid w:val="2D113AB0"/>
    <w:rsid w:val="2D145EC5"/>
    <w:rsid w:val="2D1C4D7A"/>
    <w:rsid w:val="2D56396E"/>
    <w:rsid w:val="2D652012"/>
    <w:rsid w:val="2D6A1F89"/>
    <w:rsid w:val="2DFA155F"/>
    <w:rsid w:val="2E222864"/>
    <w:rsid w:val="2E3F3416"/>
    <w:rsid w:val="2E3F6DC0"/>
    <w:rsid w:val="2E424CB4"/>
    <w:rsid w:val="2E5A3DAC"/>
    <w:rsid w:val="2E6C1D31"/>
    <w:rsid w:val="2E814630"/>
    <w:rsid w:val="2EA21263"/>
    <w:rsid w:val="2F0C7FE5"/>
    <w:rsid w:val="2F2909A6"/>
    <w:rsid w:val="2F34284F"/>
    <w:rsid w:val="2F4862FA"/>
    <w:rsid w:val="2F754C15"/>
    <w:rsid w:val="2F77098D"/>
    <w:rsid w:val="2F7E7F6E"/>
    <w:rsid w:val="2F7F0633"/>
    <w:rsid w:val="2F8530AA"/>
    <w:rsid w:val="2FBC2844"/>
    <w:rsid w:val="2FC11140"/>
    <w:rsid w:val="2FC35981"/>
    <w:rsid w:val="2FC8743B"/>
    <w:rsid w:val="2FC90D1F"/>
    <w:rsid w:val="2FEC3129"/>
    <w:rsid w:val="2FF94AD0"/>
    <w:rsid w:val="300E12F2"/>
    <w:rsid w:val="303625F7"/>
    <w:rsid w:val="30667F5E"/>
    <w:rsid w:val="30890978"/>
    <w:rsid w:val="30A15A78"/>
    <w:rsid w:val="30C85944"/>
    <w:rsid w:val="30CD7274"/>
    <w:rsid w:val="30CE282F"/>
    <w:rsid w:val="313A6116"/>
    <w:rsid w:val="313C1E8F"/>
    <w:rsid w:val="31492E92"/>
    <w:rsid w:val="3150593A"/>
    <w:rsid w:val="31557F29"/>
    <w:rsid w:val="315947EF"/>
    <w:rsid w:val="317B7E20"/>
    <w:rsid w:val="31B76EA9"/>
    <w:rsid w:val="31C91C1F"/>
    <w:rsid w:val="31CA56EC"/>
    <w:rsid w:val="31E85B72"/>
    <w:rsid w:val="31E9733B"/>
    <w:rsid w:val="31FB42D0"/>
    <w:rsid w:val="321369F5"/>
    <w:rsid w:val="322C0025"/>
    <w:rsid w:val="32696CB3"/>
    <w:rsid w:val="326B7E18"/>
    <w:rsid w:val="32830F54"/>
    <w:rsid w:val="3286265A"/>
    <w:rsid w:val="32891103"/>
    <w:rsid w:val="328A4FFE"/>
    <w:rsid w:val="32922DB2"/>
    <w:rsid w:val="329A44C1"/>
    <w:rsid w:val="32B653FC"/>
    <w:rsid w:val="32DE4292"/>
    <w:rsid w:val="32EB37B8"/>
    <w:rsid w:val="32EC5E34"/>
    <w:rsid w:val="330A2D02"/>
    <w:rsid w:val="331D7A9E"/>
    <w:rsid w:val="33382D02"/>
    <w:rsid w:val="333C2526"/>
    <w:rsid w:val="3340239C"/>
    <w:rsid w:val="33594898"/>
    <w:rsid w:val="3374304C"/>
    <w:rsid w:val="33784CD4"/>
    <w:rsid w:val="33802506"/>
    <w:rsid w:val="339800E3"/>
    <w:rsid w:val="33A67A93"/>
    <w:rsid w:val="33B71CA0"/>
    <w:rsid w:val="33C87A09"/>
    <w:rsid w:val="33CD3272"/>
    <w:rsid w:val="33E800AC"/>
    <w:rsid w:val="33F87B2A"/>
    <w:rsid w:val="33FB1B8D"/>
    <w:rsid w:val="34014CC9"/>
    <w:rsid w:val="34057BB2"/>
    <w:rsid w:val="34256C0A"/>
    <w:rsid w:val="343432F1"/>
    <w:rsid w:val="343C4C08"/>
    <w:rsid w:val="34441BD5"/>
    <w:rsid w:val="34630135"/>
    <w:rsid w:val="346317C9"/>
    <w:rsid w:val="34924516"/>
    <w:rsid w:val="34A55F9D"/>
    <w:rsid w:val="34A5706F"/>
    <w:rsid w:val="34AB28E5"/>
    <w:rsid w:val="34B14EA3"/>
    <w:rsid w:val="34C33404"/>
    <w:rsid w:val="34F1756F"/>
    <w:rsid w:val="34FA62E8"/>
    <w:rsid w:val="35325511"/>
    <w:rsid w:val="35696FCA"/>
    <w:rsid w:val="35C12962"/>
    <w:rsid w:val="35C4206C"/>
    <w:rsid w:val="35C44201"/>
    <w:rsid w:val="360F7B72"/>
    <w:rsid w:val="36176A26"/>
    <w:rsid w:val="36343134"/>
    <w:rsid w:val="365437D6"/>
    <w:rsid w:val="3670318E"/>
    <w:rsid w:val="3687718E"/>
    <w:rsid w:val="36AA789A"/>
    <w:rsid w:val="36BF209F"/>
    <w:rsid w:val="36D13957"/>
    <w:rsid w:val="36D466C5"/>
    <w:rsid w:val="36F11025"/>
    <w:rsid w:val="36F80606"/>
    <w:rsid w:val="36FA44D9"/>
    <w:rsid w:val="37021CB5"/>
    <w:rsid w:val="37436ACA"/>
    <w:rsid w:val="37691503"/>
    <w:rsid w:val="377C4D93"/>
    <w:rsid w:val="37AF33BA"/>
    <w:rsid w:val="37D70CAE"/>
    <w:rsid w:val="37DD0002"/>
    <w:rsid w:val="37ED2BA2"/>
    <w:rsid w:val="37FC5ED4"/>
    <w:rsid w:val="381E5756"/>
    <w:rsid w:val="382F17A6"/>
    <w:rsid w:val="384358B1"/>
    <w:rsid w:val="384F24A7"/>
    <w:rsid w:val="386859FD"/>
    <w:rsid w:val="389D5682"/>
    <w:rsid w:val="38B44A00"/>
    <w:rsid w:val="38CD6618"/>
    <w:rsid w:val="390E5CB1"/>
    <w:rsid w:val="390F7E89"/>
    <w:rsid w:val="39177E14"/>
    <w:rsid w:val="39232DB5"/>
    <w:rsid w:val="392C4597"/>
    <w:rsid w:val="3937182F"/>
    <w:rsid w:val="39495F16"/>
    <w:rsid w:val="394C636C"/>
    <w:rsid w:val="39527644"/>
    <w:rsid w:val="39537D75"/>
    <w:rsid w:val="39657AA9"/>
    <w:rsid w:val="397321C6"/>
    <w:rsid w:val="39AE77D7"/>
    <w:rsid w:val="39B747A8"/>
    <w:rsid w:val="39F8091D"/>
    <w:rsid w:val="39FC0877"/>
    <w:rsid w:val="3A0745CE"/>
    <w:rsid w:val="3A0A0D7C"/>
    <w:rsid w:val="3A21319F"/>
    <w:rsid w:val="3A223F8F"/>
    <w:rsid w:val="3A350062"/>
    <w:rsid w:val="3A3F654C"/>
    <w:rsid w:val="3A43428E"/>
    <w:rsid w:val="3A535DC2"/>
    <w:rsid w:val="3A6313BE"/>
    <w:rsid w:val="3A7206CF"/>
    <w:rsid w:val="3AAF722D"/>
    <w:rsid w:val="3AD6600A"/>
    <w:rsid w:val="3AD959D6"/>
    <w:rsid w:val="3B2154F6"/>
    <w:rsid w:val="3B286FE0"/>
    <w:rsid w:val="3B3E2DB3"/>
    <w:rsid w:val="3B5F6BA9"/>
    <w:rsid w:val="3B6C4510"/>
    <w:rsid w:val="3BB970C6"/>
    <w:rsid w:val="3C1E33AE"/>
    <w:rsid w:val="3C2327E1"/>
    <w:rsid w:val="3C3001B4"/>
    <w:rsid w:val="3C681D8A"/>
    <w:rsid w:val="3C836701"/>
    <w:rsid w:val="3C9325AD"/>
    <w:rsid w:val="3CA07C16"/>
    <w:rsid w:val="3CA52FDE"/>
    <w:rsid w:val="3CB00658"/>
    <w:rsid w:val="3CB21639"/>
    <w:rsid w:val="3CC22946"/>
    <w:rsid w:val="3CD01F3B"/>
    <w:rsid w:val="3CD7328C"/>
    <w:rsid w:val="3CE753A4"/>
    <w:rsid w:val="3CEC5ACA"/>
    <w:rsid w:val="3CF96E86"/>
    <w:rsid w:val="3D073A6C"/>
    <w:rsid w:val="3D204801"/>
    <w:rsid w:val="3D22018A"/>
    <w:rsid w:val="3D287F80"/>
    <w:rsid w:val="3D361E88"/>
    <w:rsid w:val="3D3A3C3D"/>
    <w:rsid w:val="3D4C4431"/>
    <w:rsid w:val="3D502D9B"/>
    <w:rsid w:val="3D56589C"/>
    <w:rsid w:val="3D697A37"/>
    <w:rsid w:val="3D6F0EF6"/>
    <w:rsid w:val="3D864BBD"/>
    <w:rsid w:val="3D9646D4"/>
    <w:rsid w:val="3DC95243"/>
    <w:rsid w:val="3DD358A6"/>
    <w:rsid w:val="3DE07FF0"/>
    <w:rsid w:val="3E06185A"/>
    <w:rsid w:val="3E0D42F0"/>
    <w:rsid w:val="3E3363C7"/>
    <w:rsid w:val="3E976956"/>
    <w:rsid w:val="3EB43064"/>
    <w:rsid w:val="3EB70DA6"/>
    <w:rsid w:val="3EC31D79"/>
    <w:rsid w:val="3ECC2B23"/>
    <w:rsid w:val="3EE826DD"/>
    <w:rsid w:val="3F010273"/>
    <w:rsid w:val="3F0538C0"/>
    <w:rsid w:val="3F073ADC"/>
    <w:rsid w:val="3F1E7077"/>
    <w:rsid w:val="3F390778"/>
    <w:rsid w:val="3F540BEA"/>
    <w:rsid w:val="3F8238AC"/>
    <w:rsid w:val="3FA62879"/>
    <w:rsid w:val="3FB5786C"/>
    <w:rsid w:val="3FB672B0"/>
    <w:rsid w:val="3FBD6091"/>
    <w:rsid w:val="3FD12AA3"/>
    <w:rsid w:val="3FD6525C"/>
    <w:rsid w:val="3FE306FB"/>
    <w:rsid w:val="3FEA0D08"/>
    <w:rsid w:val="3FEB51AC"/>
    <w:rsid w:val="3FEC021E"/>
    <w:rsid w:val="400242A3"/>
    <w:rsid w:val="4004001B"/>
    <w:rsid w:val="400B3176"/>
    <w:rsid w:val="401122A5"/>
    <w:rsid w:val="40112738"/>
    <w:rsid w:val="401C5365"/>
    <w:rsid w:val="401F4E55"/>
    <w:rsid w:val="404C551E"/>
    <w:rsid w:val="40582115"/>
    <w:rsid w:val="40827192"/>
    <w:rsid w:val="409273D5"/>
    <w:rsid w:val="4099576A"/>
    <w:rsid w:val="40D73166"/>
    <w:rsid w:val="40EF4827"/>
    <w:rsid w:val="40F55BB6"/>
    <w:rsid w:val="410B1343"/>
    <w:rsid w:val="411A73CB"/>
    <w:rsid w:val="411C1395"/>
    <w:rsid w:val="414032D5"/>
    <w:rsid w:val="414E5376"/>
    <w:rsid w:val="41566655"/>
    <w:rsid w:val="41626E05"/>
    <w:rsid w:val="417C4D58"/>
    <w:rsid w:val="417F6B65"/>
    <w:rsid w:val="4185518C"/>
    <w:rsid w:val="4196079D"/>
    <w:rsid w:val="419D0246"/>
    <w:rsid w:val="41C757A4"/>
    <w:rsid w:val="41DC5CC2"/>
    <w:rsid w:val="41DD28D2"/>
    <w:rsid w:val="41E2438C"/>
    <w:rsid w:val="41E33C60"/>
    <w:rsid w:val="42114C71"/>
    <w:rsid w:val="42150157"/>
    <w:rsid w:val="421C10AE"/>
    <w:rsid w:val="42581B17"/>
    <w:rsid w:val="425D3A13"/>
    <w:rsid w:val="427173AC"/>
    <w:rsid w:val="42756FAE"/>
    <w:rsid w:val="42862F6A"/>
    <w:rsid w:val="42912938"/>
    <w:rsid w:val="42917E1D"/>
    <w:rsid w:val="429E3AD6"/>
    <w:rsid w:val="42AF735B"/>
    <w:rsid w:val="42B44D10"/>
    <w:rsid w:val="42BA41B0"/>
    <w:rsid w:val="42C13FA2"/>
    <w:rsid w:val="42C62EC3"/>
    <w:rsid w:val="42DE3E28"/>
    <w:rsid w:val="42E14644"/>
    <w:rsid w:val="43065E58"/>
    <w:rsid w:val="430C15CB"/>
    <w:rsid w:val="430C699F"/>
    <w:rsid w:val="43126D06"/>
    <w:rsid w:val="43143CD2"/>
    <w:rsid w:val="433C187A"/>
    <w:rsid w:val="435D2698"/>
    <w:rsid w:val="43600C36"/>
    <w:rsid w:val="437943F5"/>
    <w:rsid w:val="439E2535"/>
    <w:rsid w:val="43A80694"/>
    <w:rsid w:val="43B6162D"/>
    <w:rsid w:val="43C26223"/>
    <w:rsid w:val="43CA3044"/>
    <w:rsid w:val="43DF5FA7"/>
    <w:rsid w:val="43E53CC0"/>
    <w:rsid w:val="43F403A7"/>
    <w:rsid w:val="440525B4"/>
    <w:rsid w:val="44056110"/>
    <w:rsid w:val="44220A07"/>
    <w:rsid w:val="442944F4"/>
    <w:rsid w:val="442C7B41"/>
    <w:rsid w:val="44433C32"/>
    <w:rsid w:val="445F5FF9"/>
    <w:rsid w:val="44620AC5"/>
    <w:rsid w:val="448674E8"/>
    <w:rsid w:val="448F2126"/>
    <w:rsid w:val="44A578BE"/>
    <w:rsid w:val="44AD5AB7"/>
    <w:rsid w:val="44BA339E"/>
    <w:rsid w:val="44E64193"/>
    <w:rsid w:val="44F93EC7"/>
    <w:rsid w:val="44FA73AF"/>
    <w:rsid w:val="4508410A"/>
    <w:rsid w:val="45280308"/>
    <w:rsid w:val="4577128F"/>
    <w:rsid w:val="45967968"/>
    <w:rsid w:val="45AC718B"/>
    <w:rsid w:val="45D93CF8"/>
    <w:rsid w:val="45E61DF3"/>
    <w:rsid w:val="46144D30"/>
    <w:rsid w:val="46155B08"/>
    <w:rsid w:val="462211FB"/>
    <w:rsid w:val="46537607"/>
    <w:rsid w:val="46733805"/>
    <w:rsid w:val="46893028"/>
    <w:rsid w:val="4694586B"/>
    <w:rsid w:val="469F284C"/>
    <w:rsid w:val="46A02C50"/>
    <w:rsid w:val="46A674BD"/>
    <w:rsid w:val="46B458C0"/>
    <w:rsid w:val="46C40504"/>
    <w:rsid w:val="46DA1501"/>
    <w:rsid w:val="46E77832"/>
    <w:rsid w:val="46E82384"/>
    <w:rsid w:val="46EA736D"/>
    <w:rsid w:val="46F801AE"/>
    <w:rsid w:val="4703102D"/>
    <w:rsid w:val="472879B0"/>
    <w:rsid w:val="474D04FA"/>
    <w:rsid w:val="47592105"/>
    <w:rsid w:val="47617388"/>
    <w:rsid w:val="47777520"/>
    <w:rsid w:val="4796702E"/>
    <w:rsid w:val="47C56BFB"/>
    <w:rsid w:val="484418FD"/>
    <w:rsid w:val="484C255F"/>
    <w:rsid w:val="485B6C46"/>
    <w:rsid w:val="48657A71"/>
    <w:rsid w:val="487429ED"/>
    <w:rsid w:val="487E3BD5"/>
    <w:rsid w:val="487F2935"/>
    <w:rsid w:val="48C37705"/>
    <w:rsid w:val="48CB3DCC"/>
    <w:rsid w:val="48D11064"/>
    <w:rsid w:val="48D6451F"/>
    <w:rsid w:val="48F34DB8"/>
    <w:rsid w:val="48F77A6B"/>
    <w:rsid w:val="48FA020D"/>
    <w:rsid w:val="490620D6"/>
    <w:rsid w:val="49350787"/>
    <w:rsid w:val="493E5947"/>
    <w:rsid w:val="496438D9"/>
    <w:rsid w:val="49697141"/>
    <w:rsid w:val="497004D0"/>
    <w:rsid w:val="49A53A73"/>
    <w:rsid w:val="49B22896"/>
    <w:rsid w:val="49BA59AE"/>
    <w:rsid w:val="49BD4ED7"/>
    <w:rsid w:val="49FA4868"/>
    <w:rsid w:val="4A080708"/>
    <w:rsid w:val="4A17094B"/>
    <w:rsid w:val="4A4F6337"/>
    <w:rsid w:val="4A91694F"/>
    <w:rsid w:val="4AE023EC"/>
    <w:rsid w:val="4B0235C9"/>
    <w:rsid w:val="4B0A1480"/>
    <w:rsid w:val="4B110148"/>
    <w:rsid w:val="4B3D2633"/>
    <w:rsid w:val="4B4C0AC8"/>
    <w:rsid w:val="4B524331"/>
    <w:rsid w:val="4B636AF4"/>
    <w:rsid w:val="4B8743DD"/>
    <w:rsid w:val="4B8E34A2"/>
    <w:rsid w:val="4B9F6E4A"/>
    <w:rsid w:val="4BC55F37"/>
    <w:rsid w:val="4BEA157E"/>
    <w:rsid w:val="4C1E4213"/>
    <w:rsid w:val="4C237A7B"/>
    <w:rsid w:val="4C5944B1"/>
    <w:rsid w:val="4C6F3A23"/>
    <w:rsid w:val="4C8F5C62"/>
    <w:rsid w:val="4C91592D"/>
    <w:rsid w:val="4C9B3AB5"/>
    <w:rsid w:val="4CA77A88"/>
    <w:rsid w:val="4CF133A3"/>
    <w:rsid w:val="4D0168EA"/>
    <w:rsid w:val="4D027EED"/>
    <w:rsid w:val="4D330192"/>
    <w:rsid w:val="4D355CB8"/>
    <w:rsid w:val="4D4001B9"/>
    <w:rsid w:val="4D4B557E"/>
    <w:rsid w:val="4D4C7640"/>
    <w:rsid w:val="4D690DDD"/>
    <w:rsid w:val="4D6E32E7"/>
    <w:rsid w:val="4D7F6F33"/>
    <w:rsid w:val="4D8C33FE"/>
    <w:rsid w:val="4DB320D6"/>
    <w:rsid w:val="4DB76130"/>
    <w:rsid w:val="4DB90697"/>
    <w:rsid w:val="4DC2559E"/>
    <w:rsid w:val="4DD67651"/>
    <w:rsid w:val="4DD958BA"/>
    <w:rsid w:val="4DEB108B"/>
    <w:rsid w:val="4DEB3918"/>
    <w:rsid w:val="4DEF4911"/>
    <w:rsid w:val="4E027A0A"/>
    <w:rsid w:val="4E192EE4"/>
    <w:rsid w:val="4E267A1C"/>
    <w:rsid w:val="4E2D2E33"/>
    <w:rsid w:val="4E616639"/>
    <w:rsid w:val="4E617E2B"/>
    <w:rsid w:val="4E646E31"/>
    <w:rsid w:val="4E74636C"/>
    <w:rsid w:val="4E86609F"/>
    <w:rsid w:val="4E962786"/>
    <w:rsid w:val="4EA9414C"/>
    <w:rsid w:val="4EC779CB"/>
    <w:rsid w:val="4ECD3CCE"/>
    <w:rsid w:val="4EE31744"/>
    <w:rsid w:val="4EE87ACC"/>
    <w:rsid w:val="4EEE4370"/>
    <w:rsid w:val="4EEF1E97"/>
    <w:rsid w:val="4EFE47D1"/>
    <w:rsid w:val="4F021BCA"/>
    <w:rsid w:val="4F111595"/>
    <w:rsid w:val="4F122A8C"/>
    <w:rsid w:val="4F244236"/>
    <w:rsid w:val="4F336227"/>
    <w:rsid w:val="4F642884"/>
    <w:rsid w:val="4F663B47"/>
    <w:rsid w:val="4F802EB1"/>
    <w:rsid w:val="4FDA48F5"/>
    <w:rsid w:val="4FF63749"/>
    <w:rsid w:val="4FF736F9"/>
    <w:rsid w:val="50102AE1"/>
    <w:rsid w:val="50194D53"/>
    <w:rsid w:val="5043249A"/>
    <w:rsid w:val="50605398"/>
    <w:rsid w:val="507408A5"/>
    <w:rsid w:val="507F0A3C"/>
    <w:rsid w:val="50832EE6"/>
    <w:rsid w:val="508A67B9"/>
    <w:rsid w:val="50C11611"/>
    <w:rsid w:val="50FC72E6"/>
    <w:rsid w:val="512A23E5"/>
    <w:rsid w:val="51654692"/>
    <w:rsid w:val="51874608"/>
    <w:rsid w:val="518B6028"/>
    <w:rsid w:val="51D14ACF"/>
    <w:rsid w:val="51D8617C"/>
    <w:rsid w:val="51E073BF"/>
    <w:rsid w:val="51E1640E"/>
    <w:rsid w:val="51E25299"/>
    <w:rsid w:val="51FA638D"/>
    <w:rsid w:val="5200056D"/>
    <w:rsid w:val="52181704"/>
    <w:rsid w:val="521827F2"/>
    <w:rsid w:val="52320A18"/>
    <w:rsid w:val="52344CED"/>
    <w:rsid w:val="5237602E"/>
    <w:rsid w:val="52392F23"/>
    <w:rsid w:val="523C53F3"/>
    <w:rsid w:val="525A17EE"/>
    <w:rsid w:val="525A3919"/>
    <w:rsid w:val="526130AB"/>
    <w:rsid w:val="52741030"/>
    <w:rsid w:val="527E5A0B"/>
    <w:rsid w:val="52923265"/>
    <w:rsid w:val="529F2249"/>
    <w:rsid w:val="52B551A5"/>
    <w:rsid w:val="52C068BC"/>
    <w:rsid w:val="52D3458B"/>
    <w:rsid w:val="52DE0C04"/>
    <w:rsid w:val="52E516B4"/>
    <w:rsid w:val="52ED43B9"/>
    <w:rsid w:val="52F45CCD"/>
    <w:rsid w:val="53043E75"/>
    <w:rsid w:val="53084363"/>
    <w:rsid w:val="533C2F6E"/>
    <w:rsid w:val="533D4D64"/>
    <w:rsid w:val="53476745"/>
    <w:rsid w:val="535B3F9E"/>
    <w:rsid w:val="539179C0"/>
    <w:rsid w:val="53933738"/>
    <w:rsid w:val="53B460FE"/>
    <w:rsid w:val="53BF452D"/>
    <w:rsid w:val="5420737B"/>
    <w:rsid w:val="543A0058"/>
    <w:rsid w:val="543A4956"/>
    <w:rsid w:val="543D444E"/>
    <w:rsid w:val="544E5CE1"/>
    <w:rsid w:val="545A24A8"/>
    <w:rsid w:val="547509DC"/>
    <w:rsid w:val="5496745E"/>
    <w:rsid w:val="54A454D1"/>
    <w:rsid w:val="54A82930"/>
    <w:rsid w:val="54B03E76"/>
    <w:rsid w:val="54DE6C35"/>
    <w:rsid w:val="551E5CEB"/>
    <w:rsid w:val="5521008A"/>
    <w:rsid w:val="553E1687"/>
    <w:rsid w:val="555F6C5D"/>
    <w:rsid w:val="556E58DC"/>
    <w:rsid w:val="55733821"/>
    <w:rsid w:val="55750DBC"/>
    <w:rsid w:val="558772CD"/>
    <w:rsid w:val="558F1CDD"/>
    <w:rsid w:val="55985036"/>
    <w:rsid w:val="55C20305"/>
    <w:rsid w:val="55C73B6D"/>
    <w:rsid w:val="55D94182"/>
    <w:rsid w:val="55DF2C65"/>
    <w:rsid w:val="55E97640"/>
    <w:rsid w:val="55F07786"/>
    <w:rsid w:val="55F33263"/>
    <w:rsid w:val="55FE3948"/>
    <w:rsid w:val="5624780D"/>
    <w:rsid w:val="56290384"/>
    <w:rsid w:val="56551307"/>
    <w:rsid w:val="567E7C5C"/>
    <w:rsid w:val="568D0913"/>
    <w:rsid w:val="56B20706"/>
    <w:rsid w:val="56E46059"/>
    <w:rsid w:val="56EA7B13"/>
    <w:rsid w:val="56F73FDE"/>
    <w:rsid w:val="570F1E19"/>
    <w:rsid w:val="571B5F1F"/>
    <w:rsid w:val="573729B9"/>
    <w:rsid w:val="574A6804"/>
    <w:rsid w:val="576067AB"/>
    <w:rsid w:val="577C3646"/>
    <w:rsid w:val="57827F81"/>
    <w:rsid w:val="579730CB"/>
    <w:rsid w:val="57AB6AD5"/>
    <w:rsid w:val="57AC4DC9"/>
    <w:rsid w:val="57C32112"/>
    <w:rsid w:val="57D91936"/>
    <w:rsid w:val="57D936E4"/>
    <w:rsid w:val="57DF13E7"/>
    <w:rsid w:val="57E13CEA"/>
    <w:rsid w:val="58211104"/>
    <w:rsid w:val="585A4825"/>
    <w:rsid w:val="586A4374"/>
    <w:rsid w:val="587D7E5A"/>
    <w:rsid w:val="58B57CAD"/>
    <w:rsid w:val="58B80512"/>
    <w:rsid w:val="58D04CC8"/>
    <w:rsid w:val="58D77C23"/>
    <w:rsid w:val="58EF1411"/>
    <w:rsid w:val="58F419FA"/>
    <w:rsid w:val="590B1FC3"/>
    <w:rsid w:val="592F7A5F"/>
    <w:rsid w:val="594340A3"/>
    <w:rsid w:val="594F3C5E"/>
    <w:rsid w:val="59725B9E"/>
    <w:rsid w:val="597265D0"/>
    <w:rsid w:val="59A03963"/>
    <w:rsid w:val="59B166C6"/>
    <w:rsid w:val="59BC78A1"/>
    <w:rsid w:val="59DD570D"/>
    <w:rsid w:val="59EE494D"/>
    <w:rsid w:val="5A0A227A"/>
    <w:rsid w:val="5A584D94"/>
    <w:rsid w:val="5A6279C1"/>
    <w:rsid w:val="5A6E2809"/>
    <w:rsid w:val="5A72492F"/>
    <w:rsid w:val="5A9653EC"/>
    <w:rsid w:val="5AA9356E"/>
    <w:rsid w:val="5AAE70AA"/>
    <w:rsid w:val="5AB53F94"/>
    <w:rsid w:val="5AE34FA5"/>
    <w:rsid w:val="5AE66844"/>
    <w:rsid w:val="5B1D63D9"/>
    <w:rsid w:val="5B2D4374"/>
    <w:rsid w:val="5B2E3D47"/>
    <w:rsid w:val="5BA1276A"/>
    <w:rsid w:val="5BA32F4B"/>
    <w:rsid w:val="5BC22E0D"/>
    <w:rsid w:val="5BC40C35"/>
    <w:rsid w:val="5BDC19F5"/>
    <w:rsid w:val="5C007491"/>
    <w:rsid w:val="5C0C052C"/>
    <w:rsid w:val="5C0E3D80"/>
    <w:rsid w:val="5C3754AC"/>
    <w:rsid w:val="5C6A0DAE"/>
    <w:rsid w:val="5C6E6AF1"/>
    <w:rsid w:val="5CB100A4"/>
    <w:rsid w:val="5CC11316"/>
    <w:rsid w:val="5CE943C9"/>
    <w:rsid w:val="5D641CA2"/>
    <w:rsid w:val="5D6F2B20"/>
    <w:rsid w:val="5D79399F"/>
    <w:rsid w:val="5DD21301"/>
    <w:rsid w:val="5DE80ECD"/>
    <w:rsid w:val="5DE828D3"/>
    <w:rsid w:val="5E062D59"/>
    <w:rsid w:val="5E1100D9"/>
    <w:rsid w:val="5E134C8C"/>
    <w:rsid w:val="5E4E54AA"/>
    <w:rsid w:val="5E677C9B"/>
    <w:rsid w:val="5EAA7148"/>
    <w:rsid w:val="5EE353A8"/>
    <w:rsid w:val="5EE906B0"/>
    <w:rsid w:val="5EF01A3F"/>
    <w:rsid w:val="5EFD415C"/>
    <w:rsid w:val="5F164E4A"/>
    <w:rsid w:val="5F180F96"/>
    <w:rsid w:val="5F217E4A"/>
    <w:rsid w:val="5FB4382E"/>
    <w:rsid w:val="60152BED"/>
    <w:rsid w:val="602A1129"/>
    <w:rsid w:val="60397415"/>
    <w:rsid w:val="60885E2E"/>
    <w:rsid w:val="60A01243"/>
    <w:rsid w:val="60A03B80"/>
    <w:rsid w:val="60BA408C"/>
    <w:rsid w:val="60DD2497"/>
    <w:rsid w:val="61363955"/>
    <w:rsid w:val="613A3445"/>
    <w:rsid w:val="613B0F6B"/>
    <w:rsid w:val="615A6C98"/>
    <w:rsid w:val="615C359C"/>
    <w:rsid w:val="615D7326"/>
    <w:rsid w:val="61686204"/>
    <w:rsid w:val="6183303E"/>
    <w:rsid w:val="61B72CE8"/>
    <w:rsid w:val="61BE5E24"/>
    <w:rsid w:val="620D2908"/>
    <w:rsid w:val="6256605D"/>
    <w:rsid w:val="62774225"/>
    <w:rsid w:val="62813D56"/>
    <w:rsid w:val="628A3F58"/>
    <w:rsid w:val="628D3485"/>
    <w:rsid w:val="6299419B"/>
    <w:rsid w:val="62AD76C0"/>
    <w:rsid w:val="62C507C9"/>
    <w:rsid w:val="62D11B87"/>
    <w:rsid w:val="62D1322E"/>
    <w:rsid w:val="62FB30A8"/>
    <w:rsid w:val="63272A98"/>
    <w:rsid w:val="63294227"/>
    <w:rsid w:val="63397CDD"/>
    <w:rsid w:val="63422A85"/>
    <w:rsid w:val="634405AB"/>
    <w:rsid w:val="63460C52"/>
    <w:rsid w:val="63621217"/>
    <w:rsid w:val="636D772A"/>
    <w:rsid w:val="6390559E"/>
    <w:rsid w:val="63B30F2E"/>
    <w:rsid w:val="63B53257"/>
    <w:rsid w:val="63C96D02"/>
    <w:rsid w:val="63E108E3"/>
    <w:rsid w:val="640161A2"/>
    <w:rsid w:val="640518EE"/>
    <w:rsid w:val="640C1C55"/>
    <w:rsid w:val="64557053"/>
    <w:rsid w:val="64754DD6"/>
    <w:rsid w:val="647E0D38"/>
    <w:rsid w:val="648B3FB8"/>
    <w:rsid w:val="64986EFA"/>
    <w:rsid w:val="64A60857"/>
    <w:rsid w:val="64AB2B3B"/>
    <w:rsid w:val="64CF567C"/>
    <w:rsid w:val="64D227E6"/>
    <w:rsid w:val="64DE6447"/>
    <w:rsid w:val="6502023B"/>
    <w:rsid w:val="65041398"/>
    <w:rsid w:val="650A75D2"/>
    <w:rsid w:val="65285AD1"/>
    <w:rsid w:val="653D1756"/>
    <w:rsid w:val="65553201"/>
    <w:rsid w:val="65885901"/>
    <w:rsid w:val="65892305"/>
    <w:rsid w:val="65B31A18"/>
    <w:rsid w:val="65D5198E"/>
    <w:rsid w:val="66293A88"/>
    <w:rsid w:val="663D12E2"/>
    <w:rsid w:val="66A93C9E"/>
    <w:rsid w:val="66B27F22"/>
    <w:rsid w:val="66DC6D4D"/>
    <w:rsid w:val="66E77BCB"/>
    <w:rsid w:val="66F525EC"/>
    <w:rsid w:val="6732696D"/>
    <w:rsid w:val="674E6C15"/>
    <w:rsid w:val="675114E9"/>
    <w:rsid w:val="67670D0C"/>
    <w:rsid w:val="676B4F7B"/>
    <w:rsid w:val="67867202"/>
    <w:rsid w:val="67966EFB"/>
    <w:rsid w:val="67A96C2F"/>
    <w:rsid w:val="67AC671F"/>
    <w:rsid w:val="67AE2497"/>
    <w:rsid w:val="67AF7FBD"/>
    <w:rsid w:val="67C617E9"/>
    <w:rsid w:val="67C63C85"/>
    <w:rsid w:val="67E450CE"/>
    <w:rsid w:val="68300192"/>
    <w:rsid w:val="68330BEE"/>
    <w:rsid w:val="687970D9"/>
    <w:rsid w:val="687F09E7"/>
    <w:rsid w:val="688024F5"/>
    <w:rsid w:val="688356D2"/>
    <w:rsid w:val="6888718C"/>
    <w:rsid w:val="688A4CB2"/>
    <w:rsid w:val="688C44B1"/>
    <w:rsid w:val="68A11FFC"/>
    <w:rsid w:val="68D0468F"/>
    <w:rsid w:val="68DE4FFE"/>
    <w:rsid w:val="68E32614"/>
    <w:rsid w:val="68F13666"/>
    <w:rsid w:val="69230C63"/>
    <w:rsid w:val="69272501"/>
    <w:rsid w:val="693410C2"/>
    <w:rsid w:val="693B7312"/>
    <w:rsid w:val="6949691B"/>
    <w:rsid w:val="695D4175"/>
    <w:rsid w:val="697274F4"/>
    <w:rsid w:val="69765236"/>
    <w:rsid w:val="69787200"/>
    <w:rsid w:val="697F233D"/>
    <w:rsid w:val="69B2159C"/>
    <w:rsid w:val="69BE7BAE"/>
    <w:rsid w:val="69C90AA3"/>
    <w:rsid w:val="69DA57C5"/>
    <w:rsid w:val="69EA378A"/>
    <w:rsid w:val="6A060AF0"/>
    <w:rsid w:val="6A0B4E3E"/>
    <w:rsid w:val="6A30135A"/>
    <w:rsid w:val="6A387B61"/>
    <w:rsid w:val="6A542DAB"/>
    <w:rsid w:val="6A6D39FC"/>
    <w:rsid w:val="6A8B03B8"/>
    <w:rsid w:val="6ABE0C43"/>
    <w:rsid w:val="6ABF0529"/>
    <w:rsid w:val="6AD13784"/>
    <w:rsid w:val="6AEC1C54"/>
    <w:rsid w:val="6B3158B9"/>
    <w:rsid w:val="6B37171D"/>
    <w:rsid w:val="6B3A2BB1"/>
    <w:rsid w:val="6B493A4E"/>
    <w:rsid w:val="6B601CFA"/>
    <w:rsid w:val="6B64759D"/>
    <w:rsid w:val="6B79100E"/>
    <w:rsid w:val="6B7D3DF4"/>
    <w:rsid w:val="6B921E65"/>
    <w:rsid w:val="6BE62F58"/>
    <w:rsid w:val="6BF16DF6"/>
    <w:rsid w:val="6C2E1B6D"/>
    <w:rsid w:val="6C305B70"/>
    <w:rsid w:val="6C3F4006"/>
    <w:rsid w:val="6C4E1180"/>
    <w:rsid w:val="6C4F72C1"/>
    <w:rsid w:val="6C703D9C"/>
    <w:rsid w:val="6C7A503E"/>
    <w:rsid w:val="6C85751F"/>
    <w:rsid w:val="6C946959"/>
    <w:rsid w:val="6CB15FBE"/>
    <w:rsid w:val="6CB9494B"/>
    <w:rsid w:val="6CD1096C"/>
    <w:rsid w:val="6CEB1A97"/>
    <w:rsid w:val="6CEB5639"/>
    <w:rsid w:val="6CF84455"/>
    <w:rsid w:val="6D0140A3"/>
    <w:rsid w:val="6D1B2659"/>
    <w:rsid w:val="6D374CDD"/>
    <w:rsid w:val="6D390A55"/>
    <w:rsid w:val="6D3D4F85"/>
    <w:rsid w:val="6D433955"/>
    <w:rsid w:val="6D4A2C62"/>
    <w:rsid w:val="6D866F37"/>
    <w:rsid w:val="6D9E2FAE"/>
    <w:rsid w:val="6DAD31F1"/>
    <w:rsid w:val="6DD8026E"/>
    <w:rsid w:val="6DDF784E"/>
    <w:rsid w:val="6DEE254B"/>
    <w:rsid w:val="6DF2723B"/>
    <w:rsid w:val="6DFD5F26"/>
    <w:rsid w:val="6E100C6D"/>
    <w:rsid w:val="6E105C5A"/>
    <w:rsid w:val="6E290AC9"/>
    <w:rsid w:val="6E4006B2"/>
    <w:rsid w:val="6E427DDD"/>
    <w:rsid w:val="6E4678CD"/>
    <w:rsid w:val="6E5A5127"/>
    <w:rsid w:val="6E5F4919"/>
    <w:rsid w:val="6E62222D"/>
    <w:rsid w:val="6E6F7FAE"/>
    <w:rsid w:val="6E873A42"/>
    <w:rsid w:val="6E8F4FD4"/>
    <w:rsid w:val="6E9D4ECA"/>
    <w:rsid w:val="6EB83BFB"/>
    <w:rsid w:val="6F1060F6"/>
    <w:rsid w:val="6F2319BD"/>
    <w:rsid w:val="6F321E6A"/>
    <w:rsid w:val="6F5161E8"/>
    <w:rsid w:val="6F541B76"/>
    <w:rsid w:val="6F76389B"/>
    <w:rsid w:val="6F7E1B58"/>
    <w:rsid w:val="6F8B7B20"/>
    <w:rsid w:val="6FA65496"/>
    <w:rsid w:val="6FAE548E"/>
    <w:rsid w:val="6FC0720B"/>
    <w:rsid w:val="6FC47D49"/>
    <w:rsid w:val="6FE0165C"/>
    <w:rsid w:val="6FE74798"/>
    <w:rsid w:val="6FF2313D"/>
    <w:rsid w:val="705F1D4E"/>
    <w:rsid w:val="70633D9B"/>
    <w:rsid w:val="706A0C87"/>
    <w:rsid w:val="7072466B"/>
    <w:rsid w:val="708741CD"/>
    <w:rsid w:val="709A7A5C"/>
    <w:rsid w:val="70A95EF1"/>
    <w:rsid w:val="70B76860"/>
    <w:rsid w:val="70C66AA3"/>
    <w:rsid w:val="70CE7706"/>
    <w:rsid w:val="70E20D20"/>
    <w:rsid w:val="70F16E84"/>
    <w:rsid w:val="70F9549B"/>
    <w:rsid w:val="70FA04FB"/>
    <w:rsid w:val="710E3FA6"/>
    <w:rsid w:val="713A2FED"/>
    <w:rsid w:val="713C0B14"/>
    <w:rsid w:val="714A49EB"/>
    <w:rsid w:val="716B13F9"/>
    <w:rsid w:val="716C2EFB"/>
    <w:rsid w:val="71765B16"/>
    <w:rsid w:val="71894E49"/>
    <w:rsid w:val="71D71745"/>
    <w:rsid w:val="71E3257D"/>
    <w:rsid w:val="71F132D8"/>
    <w:rsid w:val="72086C48"/>
    <w:rsid w:val="724203AC"/>
    <w:rsid w:val="725026E2"/>
    <w:rsid w:val="725325B9"/>
    <w:rsid w:val="725351DA"/>
    <w:rsid w:val="726D6A77"/>
    <w:rsid w:val="727A15DA"/>
    <w:rsid w:val="72987FCC"/>
    <w:rsid w:val="72AE77EF"/>
    <w:rsid w:val="72B34E05"/>
    <w:rsid w:val="72D54D7C"/>
    <w:rsid w:val="72E41463"/>
    <w:rsid w:val="72EA7879"/>
    <w:rsid w:val="73014D0C"/>
    <w:rsid w:val="7309711B"/>
    <w:rsid w:val="730F43F8"/>
    <w:rsid w:val="731628F2"/>
    <w:rsid w:val="731A6C33"/>
    <w:rsid w:val="73236ADA"/>
    <w:rsid w:val="7329156C"/>
    <w:rsid w:val="7343262D"/>
    <w:rsid w:val="7346093C"/>
    <w:rsid w:val="73490DFC"/>
    <w:rsid w:val="736E34EB"/>
    <w:rsid w:val="73B9469D"/>
    <w:rsid w:val="73DD1399"/>
    <w:rsid w:val="73EE0CA0"/>
    <w:rsid w:val="74126433"/>
    <w:rsid w:val="74185FD6"/>
    <w:rsid w:val="74356371"/>
    <w:rsid w:val="74485A21"/>
    <w:rsid w:val="744D3038"/>
    <w:rsid w:val="74512B28"/>
    <w:rsid w:val="745D11FC"/>
    <w:rsid w:val="7487654A"/>
    <w:rsid w:val="74885923"/>
    <w:rsid w:val="74D66009"/>
    <w:rsid w:val="74F0120D"/>
    <w:rsid w:val="75002BA2"/>
    <w:rsid w:val="75071439"/>
    <w:rsid w:val="752244C4"/>
    <w:rsid w:val="754937FF"/>
    <w:rsid w:val="754D4970"/>
    <w:rsid w:val="75623F7A"/>
    <w:rsid w:val="757203DB"/>
    <w:rsid w:val="75750A98"/>
    <w:rsid w:val="757D05AD"/>
    <w:rsid w:val="75862CA5"/>
    <w:rsid w:val="75B871F4"/>
    <w:rsid w:val="75E654F2"/>
    <w:rsid w:val="75FA49E1"/>
    <w:rsid w:val="76092CCA"/>
    <w:rsid w:val="76257DC8"/>
    <w:rsid w:val="763837E6"/>
    <w:rsid w:val="76426A32"/>
    <w:rsid w:val="768A40CF"/>
    <w:rsid w:val="76EA0007"/>
    <w:rsid w:val="770420D4"/>
    <w:rsid w:val="7706409E"/>
    <w:rsid w:val="77130569"/>
    <w:rsid w:val="771542E1"/>
    <w:rsid w:val="771A5453"/>
    <w:rsid w:val="773A0865"/>
    <w:rsid w:val="77784870"/>
    <w:rsid w:val="77876861"/>
    <w:rsid w:val="778F614C"/>
    <w:rsid w:val="779571D0"/>
    <w:rsid w:val="77B358A8"/>
    <w:rsid w:val="77C80DE4"/>
    <w:rsid w:val="77C83101"/>
    <w:rsid w:val="77C96E79"/>
    <w:rsid w:val="77DE46D3"/>
    <w:rsid w:val="77E13BA0"/>
    <w:rsid w:val="77E43CB3"/>
    <w:rsid w:val="77FC724F"/>
    <w:rsid w:val="78111AD0"/>
    <w:rsid w:val="782144B5"/>
    <w:rsid w:val="783B1B25"/>
    <w:rsid w:val="7871571C"/>
    <w:rsid w:val="78B33397"/>
    <w:rsid w:val="78BF0CEF"/>
    <w:rsid w:val="78D262BA"/>
    <w:rsid w:val="78EA76EE"/>
    <w:rsid w:val="78EC2E1F"/>
    <w:rsid w:val="78FE2050"/>
    <w:rsid w:val="791A42A8"/>
    <w:rsid w:val="79377C96"/>
    <w:rsid w:val="7955517B"/>
    <w:rsid w:val="795A0150"/>
    <w:rsid w:val="7963523D"/>
    <w:rsid w:val="79664F44"/>
    <w:rsid w:val="797D43BF"/>
    <w:rsid w:val="797D616D"/>
    <w:rsid w:val="797F3C93"/>
    <w:rsid w:val="79AB4A88"/>
    <w:rsid w:val="79B871A5"/>
    <w:rsid w:val="79CD432C"/>
    <w:rsid w:val="79FA5A10"/>
    <w:rsid w:val="7A067F11"/>
    <w:rsid w:val="7A1A0F94"/>
    <w:rsid w:val="7A1B1294"/>
    <w:rsid w:val="7A1C7878"/>
    <w:rsid w:val="7A2111EE"/>
    <w:rsid w:val="7A2544C3"/>
    <w:rsid w:val="7A37631C"/>
    <w:rsid w:val="7A401675"/>
    <w:rsid w:val="7A5D5924"/>
    <w:rsid w:val="7A603412"/>
    <w:rsid w:val="7A955AA3"/>
    <w:rsid w:val="7AB17498"/>
    <w:rsid w:val="7AB20E73"/>
    <w:rsid w:val="7AE069B4"/>
    <w:rsid w:val="7AEB57A3"/>
    <w:rsid w:val="7AF70927"/>
    <w:rsid w:val="7AFE32DE"/>
    <w:rsid w:val="7B022DCE"/>
    <w:rsid w:val="7B4231CA"/>
    <w:rsid w:val="7B5B7588"/>
    <w:rsid w:val="7B62481E"/>
    <w:rsid w:val="7B971942"/>
    <w:rsid w:val="7B9E3DFA"/>
    <w:rsid w:val="7BB63A0E"/>
    <w:rsid w:val="7BC02341"/>
    <w:rsid w:val="7BE95D3C"/>
    <w:rsid w:val="7C036657"/>
    <w:rsid w:val="7C137C33"/>
    <w:rsid w:val="7C142DB9"/>
    <w:rsid w:val="7C1F2ED6"/>
    <w:rsid w:val="7C2E19A1"/>
    <w:rsid w:val="7C501917"/>
    <w:rsid w:val="7C51472B"/>
    <w:rsid w:val="7C5E5EE7"/>
    <w:rsid w:val="7C694787"/>
    <w:rsid w:val="7C7C270C"/>
    <w:rsid w:val="7C857813"/>
    <w:rsid w:val="7CBE4AD3"/>
    <w:rsid w:val="7CC9189C"/>
    <w:rsid w:val="7CCF4F32"/>
    <w:rsid w:val="7CDC31AB"/>
    <w:rsid w:val="7CEC3BB1"/>
    <w:rsid w:val="7CF24A77"/>
    <w:rsid w:val="7CF60710"/>
    <w:rsid w:val="7CFD1929"/>
    <w:rsid w:val="7D3B25C7"/>
    <w:rsid w:val="7D7F551F"/>
    <w:rsid w:val="7D937D1A"/>
    <w:rsid w:val="7D9B4867"/>
    <w:rsid w:val="7DA22646"/>
    <w:rsid w:val="7DC3365B"/>
    <w:rsid w:val="7E2748F9"/>
    <w:rsid w:val="7E2F3AA9"/>
    <w:rsid w:val="7E325778"/>
    <w:rsid w:val="7E4F2B52"/>
    <w:rsid w:val="7E68119A"/>
    <w:rsid w:val="7E6E5448"/>
    <w:rsid w:val="7E70110E"/>
    <w:rsid w:val="7EA67F14"/>
    <w:rsid w:val="7EDE145C"/>
    <w:rsid w:val="7EE95E2E"/>
    <w:rsid w:val="7EEA1BAF"/>
    <w:rsid w:val="7EF944E8"/>
    <w:rsid w:val="7F231565"/>
    <w:rsid w:val="7F403D11"/>
    <w:rsid w:val="7F631961"/>
    <w:rsid w:val="7F6A2CF0"/>
    <w:rsid w:val="7F842003"/>
    <w:rsid w:val="7F8F1730"/>
    <w:rsid w:val="7F9E2999"/>
    <w:rsid w:val="7FCA5830"/>
    <w:rsid w:val="7FE42AA2"/>
    <w:rsid w:val="7FF274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宋体" w:hAnsi="等线" w:eastAsia="等线" w:cs="Times New Roman"/>
      <w:kern w:val="2"/>
      <w:sz w:val="24"/>
      <w:lang w:val="en-US" w:eastAsia="zh-CN"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qFormat/>
    <w:uiPriority w:val="0"/>
    <w:pPr>
      <w:autoSpaceDE w:val="0"/>
      <w:autoSpaceDN w:val="0"/>
      <w:adjustRightInd w:val="0"/>
      <w:jc w:val="left"/>
      <w:outlineLvl w:val="1"/>
    </w:pPr>
    <w:rPr>
      <w:kern w:val="0"/>
    </w:rPr>
  </w:style>
  <w:style w:type="paragraph" w:styleId="5">
    <w:name w:val="heading 3"/>
    <w:basedOn w:val="1"/>
    <w:next w:val="1"/>
    <w:link w:val="51"/>
    <w:qFormat/>
    <w:uiPriority w:val="0"/>
    <w:pPr>
      <w:keepNext/>
      <w:keepLines/>
      <w:outlineLvl w:val="2"/>
    </w:pPr>
    <w:rPr>
      <w:rFonts w:hint="default" w:ascii="Times New Roman" w:hAnsi="Times New Roman" w:eastAsia="宋体"/>
      <w:b/>
    </w:rPr>
  </w:style>
  <w:style w:type="paragraph" w:styleId="2">
    <w:name w:val="heading 4"/>
    <w:basedOn w:val="1"/>
    <w:next w:val="1"/>
    <w:qFormat/>
    <w:uiPriority w:val="0"/>
    <w:pPr>
      <w:keepNext/>
      <w:keepLines/>
      <w:spacing w:line="372" w:lineRule="auto"/>
      <w:outlineLvl w:val="3"/>
    </w:pPr>
    <w:rPr>
      <w:rFonts w:ascii="Arial" w:hAnsi="Arial" w:eastAsia="黑体"/>
      <w:b/>
      <w:sz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annotation text"/>
    <w:basedOn w:val="1"/>
    <w:next w:val="1"/>
    <w:qFormat/>
    <w:uiPriority w:val="0"/>
    <w:pPr>
      <w:jc w:val="left"/>
    </w:pPr>
    <w:rPr>
      <w:rFonts w:hint="default" w:ascii="Times New Roman" w:hAnsi="Times New Roman" w:eastAsia="宋体"/>
      <w:sz w:val="21"/>
    </w:rPr>
  </w:style>
  <w:style w:type="paragraph" w:styleId="8">
    <w:name w:val="Body Text"/>
    <w:basedOn w:val="1"/>
    <w:qFormat/>
    <w:uiPriority w:val="0"/>
  </w:style>
  <w:style w:type="paragraph" w:styleId="9">
    <w:name w:val="Body Text Indent"/>
    <w:basedOn w:val="1"/>
    <w:qFormat/>
    <w:uiPriority w:val="0"/>
    <w:pPr>
      <w:ind w:firstLine="560" w:firstLineChars="200"/>
    </w:pPr>
  </w:style>
  <w:style w:type="paragraph" w:styleId="10">
    <w:name w:val="toc 3"/>
    <w:basedOn w:val="1"/>
    <w:next w:val="1"/>
    <w:qFormat/>
    <w:uiPriority w:val="39"/>
    <w:pPr>
      <w:ind w:left="840" w:leftChars="400"/>
    </w:pPr>
  </w:style>
  <w:style w:type="paragraph" w:styleId="11">
    <w:name w:val="Body Text Indent 2"/>
    <w:basedOn w:val="1"/>
    <w:qFormat/>
    <w:uiPriority w:val="0"/>
    <w:pPr>
      <w:spacing w:line="480" w:lineRule="auto"/>
      <w:ind w:firstLine="561"/>
    </w:pPr>
  </w:style>
  <w:style w:type="paragraph" w:styleId="12">
    <w:name w:val="Balloon Text"/>
    <w:basedOn w:val="1"/>
    <w:link w:val="72"/>
    <w:qFormat/>
    <w:uiPriority w:val="0"/>
    <w:rPr>
      <w:sz w:val="18"/>
      <w:szCs w:val="18"/>
    </w:rPr>
  </w:style>
  <w:style w:type="paragraph" w:styleId="13">
    <w:name w:val="footer"/>
    <w:basedOn w:val="1"/>
    <w:next w:val="1"/>
    <w:qFormat/>
    <w:uiPriority w:val="0"/>
    <w:pPr>
      <w:tabs>
        <w:tab w:val="center" w:pos="4153"/>
        <w:tab w:val="right" w:pos="8306"/>
      </w:tabs>
      <w:snapToGrid w:val="0"/>
      <w:jc w:val="left"/>
    </w:pPr>
    <w:rPr>
      <w:sz w:val="18"/>
    </w:rPr>
  </w:style>
  <w:style w:type="paragraph" w:styleId="14">
    <w:name w:val="header"/>
    <w:basedOn w:val="1"/>
    <w:next w:val="1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15">
    <w:name w:val="toc 1"/>
    <w:basedOn w:val="16"/>
    <w:next w:val="1"/>
    <w:qFormat/>
    <w:uiPriority w:val="39"/>
  </w:style>
  <w:style w:type="paragraph" w:styleId="16">
    <w:name w:val="index 1"/>
    <w:basedOn w:val="1"/>
    <w:next w:val="1"/>
    <w:unhideWhenUsed/>
    <w:qFormat/>
    <w:uiPriority w:val="0"/>
  </w:style>
  <w:style w:type="paragraph" w:styleId="17">
    <w:name w:val="toc 4"/>
    <w:basedOn w:val="1"/>
    <w:next w:val="1"/>
    <w:qFormat/>
    <w:uiPriority w:val="0"/>
    <w:pPr>
      <w:ind w:left="1260" w:leftChars="600"/>
    </w:pPr>
  </w:style>
  <w:style w:type="paragraph" w:styleId="18">
    <w:name w:val="toc 2"/>
    <w:basedOn w:val="1"/>
    <w:next w:val="1"/>
    <w:qFormat/>
    <w:uiPriority w:val="39"/>
    <w:pPr>
      <w:ind w:left="420" w:leftChars="200"/>
    </w:pPr>
  </w:style>
  <w:style w:type="paragraph" w:styleId="19">
    <w:name w:val="Body Text 2"/>
    <w:basedOn w:val="1"/>
    <w:next w:val="8"/>
    <w:qFormat/>
    <w:uiPriority w:val="0"/>
    <w:pPr>
      <w:spacing w:line="500" w:lineRule="exact"/>
    </w:pPr>
  </w:style>
  <w:style w:type="paragraph" w:styleId="20">
    <w:name w:val="Normal (Web)"/>
    <w:basedOn w:val="1"/>
    <w:qFormat/>
    <w:uiPriority w:val="0"/>
    <w:pPr>
      <w:widowControl/>
      <w:spacing w:beforeAutospacing="1" w:afterAutospacing="1"/>
      <w:jc w:val="left"/>
    </w:pPr>
    <w:rPr>
      <w:rFonts w:hAnsi="宋体" w:cs="宋体"/>
      <w:color w:val="000000"/>
      <w:kern w:val="0"/>
      <w:szCs w:val="2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FollowedHyperlink"/>
    <w:basedOn w:val="23"/>
    <w:qFormat/>
    <w:uiPriority w:val="0"/>
    <w:rPr>
      <w:color w:val="333333"/>
      <w:u w:val="none"/>
    </w:rPr>
  </w:style>
  <w:style w:type="character" w:styleId="26">
    <w:name w:val="Emphasis"/>
    <w:basedOn w:val="23"/>
    <w:qFormat/>
    <w:uiPriority w:val="0"/>
    <w:rPr>
      <w:i/>
    </w:rPr>
  </w:style>
  <w:style w:type="character" w:styleId="27">
    <w:name w:val="HTML Variable"/>
    <w:basedOn w:val="23"/>
    <w:qFormat/>
    <w:uiPriority w:val="0"/>
    <w:rPr>
      <w:i/>
    </w:rPr>
  </w:style>
  <w:style w:type="character" w:styleId="28">
    <w:name w:val="Hyperlink"/>
    <w:basedOn w:val="23"/>
    <w:qFormat/>
    <w:uiPriority w:val="0"/>
    <w:rPr>
      <w:color w:val="333333"/>
      <w:u w:val="none"/>
    </w:rPr>
  </w:style>
  <w:style w:type="character" w:styleId="29">
    <w:name w:val="HTML Code"/>
    <w:basedOn w:val="23"/>
    <w:qFormat/>
    <w:uiPriority w:val="0"/>
    <w:rPr>
      <w:rFonts w:ascii="Courier New" w:hAnsi="Courier New"/>
      <w:sz w:val="20"/>
    </w:rPr>
  </w:style>
  <w:style w:type="character" w:styleId="30">
    <w:name w:val="HTML Cite"/>
    <w:basedOn w:val="23"/>
    <w:qFormat/>
    <w:uiPriority w:val="0"/>
    <w:rPr>
      <w:i/>
    </w:rPr>
  </w:style>
  <w:style w:type="paragraph" w:customStyle="1" w:styleId="31">
    <w:name w:val="正文缩进1"/>
    <w:basedOn w:val="1"/>
    <w:qFormat/>
    <w:uiPriority w:val="0"/>
    <w:pPr>
      <w:widowControl/>
      <w:spacing w:line="360" w:lineRule="auto"/>
      <w:ind w:firstLine="420"/>
      <w:jc w:val="left"/>
    </w:pPr>
    <w:rPr>
      <w:rFonts w:hAnsi="Times New Roman"/>
      <w:kern w:val="0"/>
      <w:sz w:val="20"/>
    </w:rPr>
  </w:style>
  <w:style w:type="paragraph" w:customStyle="1" w:styleId="32">
    <w:name w:val="样式 宋体 行距: 1.5 倍行距"/>
    <w:basedOn w:val="33"/>
    <w:next w:val="1"/>
    <w:qFormat/>
    <w:uiPriority w:val="0"/>
    <w:pPr>
      <w:jc w:val="center"/>
    </w:pPr>
    <w:rPr>
      <w:rFonts w:ascii="Times New Roman" w:hAnsi="Times New Roman" w:cs="Times New Roman"/>
      <w:b/>
    </w:rPr>
  </w:style>
  <w:style w:type="paragraph" w:customStyle="1" w:styleId="33">
    <w:name w:val="正文 New New New New New New New New New New New New New New New New New New New New New New New New New New New New New New New New New New New New New New New New New New New New New New New New New New New New New New New New New New New New New New N1"/>
    <w:next w:val="32"/>
    <w:qFormat/>
    <w:uiPriority w:val="0"/>
    <w:pPr>
      <w:widowControl w:val="0"/>
      <w:jc w:val="both"/>
    </w:pPr>
    <w:rPr>
      <w:rFonts w:ascii="Calibri" w:hAnsi="Calibri" w:eastAsia="宋体" w:cs="黑体"/>
      <w:kern w:val="2"/>
      <w:sz w:val="21"/>
      <w:szCs w:val="24"/>
      <w:lang w:val="en-US" w:eastAsia="zh-CN" w:bidi="ar-SA"/>
    </w:rPr>
  </w:style>
  <w:style w:type="paragraph" w:customStyle="1" w:styleId="34">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2"/>
    <w:qFormat/>
    <w:uiPriority w:val="0"/>
    <w:pPr>
      <w:widowControl w:val="0"/>
      <w:jc w:val="both"/>
    </w:pPr>
    <w:rPr>
      <w:rFonts w:ascii="Calibri" w:hAnsi="Calibri" w:eastAsia="宋体" w:cs="黑体"/>
      <w:kern w:val="2"/>
      <w:sz w:val="21"/>
      <w:szCs w:val="24"/>
      <w:lang w:val="en-US" w:eastAsia="zh-CN" w:bidi="ar-SA"/>
    </w:rPr>
  </w:style>
  <w:style w:type="paragraph" w:customStyle="1" w:styleId="3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2"/>
    <w:qFormat/>
    <w:uiPriority w:val="0"/>
    <w:pPr>
      <w:widowControl w:val="0"/>
      <w:jc w:val="both"/>
    </w:pPr>
    <w:rPr>
      <w:rFonts w:ascii="Calibri" w:hAnsi="Calibri" w:eastAsia="宋体" w:cs="黑体"/>
      <w:kern w:val="2"/>
      <w:sz w:val="21"/>
      <w:szCs w:val="24"/>
      <w:lang w:val="en-US" w:eastAsia="zh-CN" w:bidi="ar-SA"/>
    </w:rPr>
  </w:style>
  <w:style w:type="paragraph" w:customStyle="1" w:styleId="36">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8">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9">
    <w:name w:val="标题 1 New"/>
    <w:basedOn w:val="38"/>
    <w:next w:val="38"/>
    <w:qFormat/>
    <w:uiPriority w:val="0"/>
    <w:pPr>
      <w:autoSpaceDE w:val="0"/>
      <w:autoSpaceDN w:val="0"/>
      <w:adjustRightInd w:val="0"/>
      <w:jc w:val="left"/>
      <w:outlineLvl w:val="0"/>
    </w:pPr>
    <w:rPr>
      <w:kern w:val="0"/>
      <w:sz w:val="30"/>
    </w:rPr>
  </w:style>
  <w:style w:type="paragraph" w:customStyle="1" w:styleId="40">
    <w:name w:val="标题 2 New New"/>
    <w:basedOn w:val="38"/>
    <w:next w:val="38"/>
    <w:qFormat/>
    <w:uiPriority w:val="0"/>
    <w:pPr>
      <w:autoSpaceDE w:val="0"/>
      <w:autoSpaceDN w:val="0"/>
      <w:adjustRightInd w:val="0"/>
      <w:jc w:val="left"/>
      <w:outlineLvl w:val="1"/>
    </w:pPr>
    <w:rPr>
      <w:kern w:val="0"/>
    </w:rPr>
  </w:style>
  <w:style w:type="paragraph" w:customStyle="1" w:styleId="41">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Normal Indent1"/>
    <w:basedOn w:val="1"/>
    <w:qFormat/>
    <w:uiPriority w:val="0"/>
    <w:pPr>
      <w:widowControl/>
      <w:spacing w:line="360" w:lineRule="auto"/>
      <w:ind w:firstLine="420"/>
      <w:jc w:val="left"/>
    </w:pPr>
    <w:rPr>
      <w:rFonts w:hAnsi="Times New Roman"/>
      <w:kern w:val="0"/>
      <w:sz w:val="20"/>
    </w:rPr>
  </w:style>
  <w:style w:type="paragraph" w:customStyle="1" w:styleId="43">
    <w:name w:val="正文 New New New New New New New New New New New New New New New New New New New New New New New New New New New New New New New New New New New New New New New New New New New New New New New New New New New New New New New New New New New New New New Ne1"/>
    <w:next w:val="32"/>
    <w:qFormat/>
    <w:uiPriority w:val="0"/>
    <w:pPr>
      <w:widowControl w:val="0"/>
      <w:jc w:val="both"/>
    </w:pPr>
    <w:rPr>
      <w:rFonts w:ascii="Calibri" w:hAnsi="Calibri" w:eastAsia="宋体" w:cs="黑体"/>
      <w:kern w:val="2"/>
      <w:sz w:val="21"/>
      <w:szCs w:val="24"/>
      <w:lang w:val="en-US" w:eastAsia="zh-CN" w:bidi="ar-SA"/>
    </w:rPr>
  </w:style>
  <w:style w:type="paragraph" w:customStyle="1" w:styleId="44">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45">
    <w:name w:val="正文文本缩进 New New"/>
    <w:basedOn w:val="38"/>
    <w:qFormat/>
    <w:uiPriority w:val="0"/>
    <w:pPr>
      <w:ind w:firstLine="560" w:firstLineChars="200"/>
    </w:pPr>
  </w:style>
  <w:style w:type="paragraph" w:customStyle="1" w:styleId="46">
    <w:name w:val="正文文本缩进 3 New"/>
    <w:basedOn w:val="38"/>
    <w:qFormat/>
    <w:uiPriority w:val="0"/>
    <w:pPr>
      <w:ind w:firstLine="560"/>
    </w:pPr>
    <w:rPr>
      <w:color w:val="FF0000"/>
    </w:rPr>
  </w:style>
  <w:style w:type="paragraph" w:customStyle="1" w:styleId="47">
    <w:name w:val="标题 3 New New New"/>
    <w:basedOn w:val="48"/>
    <w:next w:val="48"/>
    <w:qFormat/>
    <w:uiPriority w:val="0"/>
    <w:pPr>
      <w:keepNext/>
      <w:keepLines/>
      <w:jc w:val="center"/>
      <w:outlineLvl w:val="2"/>
    </w:pPr>
    <w:rPr>
      <w:sz w:val="24"/>
    </w:rPr>
  </w:style>
  <w:style w:type="paragraph" w:customStyle="1" w:styleId="48">
    <w:name w:val="正文缩进 New"/>
    <w:basedOn w:val="49"/>
    <w:qFormat/>
    <w:uiPriority w:val="0"/>
    <w:pPr>
      <w:widowControl/>
      <w:ind w:firstLine="420"/>
      <w:jc w:val="left"/>
    </w:pPr>
    <w:rPr>
      <w:kern w:val="0"/>
      <w:sz w:val="20"/>
    </w:rPr>
  </w:style>
  <w:style w:type="paragraph" w:customStyle="1" w:styleId="49">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0">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1">
    <w:name w:val="标题 3 Char"/>
    <w:link w:val="5"/>
    <w:qFormat/>
    <w:uiPriority w:val="0"/>
    <w:rPr>
      <w:rFonts w:hint="default" w:ascii="Times New Roman" w:hAnsi="Times New Roman" w:eastAsia="宋体"/>
      <w:b/>
    </w:rPr>
  </w:style>
  <w:style w:type="character" w:customStyle="1" w:styleId="52">
    <w:name w:val="NormalCharacter"/>
    <w:semiHidden/>
    <w:qFormat/>
    <w:uiPriority w:val="0"/>
    <w:rPr>
      <w:rFonts w:ascii="宋体"/>
      <w:kern w:val="2"/>
      <w:sz w:val="24"/>
      <w:lang w:val="en-US" w:eastAsia="zh-CN" w:bidi="ar-SA"/>
    </w:rPr>
  </w:style>
  <w:style w:type="paragraph" w:customStyle="1" w:styleId="53">
    <w:name w:val="标题 2 New New New"/>
    <w:basedOn w:val="54"/>
    <w:next w:val="54"/>
    <w:qFormat/>
    <w:uiPriority w:val="0"/>
    <w:pPr>
      <w:autoSpaceDE w:val="0"/>
      <w:autoSpaceDN w:val="0"/>
      <w:adjustRightInd w:val="0"/>
      <w:jc w:val="left"/>
      <w:outlineLvl w:val="1"/>
    </w:pPr>
  </w:style>
  <w:style w:type="paragraph" w:customStyle="1" w:styleId="54">
    <w:name w:val="正文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5">
    <w:name w:val="普通(网站) New"/>
    <w:basedOn w:val="56"/>
    <w:qFormat/>
    <w:uiPriority w:val="0"/>
    <w:rPr>
      <w:sz w:val="24"/>
    </w:rPr>
  </w:style>
  <w:style w:type="paragraph" w:customStyle="1" w:styleId="56">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7">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8">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0">
    <w:name w:val="YJ22 Char"/>
    <w:link w:val="61"/>
    <w:qFormat/>
    <w:uiPriority w:val="0"/>
    <w:rPr>
      <w:rFonts w:ascii="Times New Roman" w:hAnsi="宋体"/>
      <w:b/>
      <w:kern w:val="0"/>
      <w:sz w:val="20"/>
    </w:rPr>
  </w:style>
  <w:style w:type="paragraph" w:customStyle="1" w:styleId="61">
    <w:name w:val="YJ22"/>
    <w:basedOn w:val="38"/>
    <w:next w:val="38"/>
    <w:link w:val="60"/>
    <w:qFormat/>
    <w:uiPriority w:val="0"/>
    <w:pPr>
      <w:autoSpaceDE w:val="0"/>
      <w:autoSpaceDN w:val="0"/>
      <w:adjustRightInd w:val="0"/>
      <w:jc w:val="left"/>
      <w:outlineLvl w:val="1"/>
    </w:pPr>
    <w:rPr>
      <w:rFonts w:ascii="Times New Roman" w:hAnsi="宋体"/>
      <w:b/>
      <w:kern w:val="0"/>
      <w:sz w:val="20"/>
    </w:rPr>
  </w:style>
  <w:style w:type="paragraph" w:customStyle="1" w:styleId="62">
    <w:name w:val="正文文本缩进 New"/>
    <w:basedOn w:val="63"/>
    <w:qFormat/>
    <w:uiPriority w:val="0"/>
    <w:pPr>
      <w:ind w:firstLine="560" w:firstLineChars="200"/>
    </w:pPr>
  </w:style>
  <w:style w:type="paragraph" w:customStyle="1" w:styleId="63">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4">
    <w:name w:val="正文文本缩进 New New New New"/>
    <w:basedOn w:val="65"/>
    <w:qFormat/>
    <w:uiPriority w:val="0"/>
    <w:pPr>
      <w:ind w:firstLine="560" w:firstLineChars="200"/>
    </w:pPr>
    <w:rPr>
      <w:szCs w:val="28"/>
    </w:rPr>
  </w:style>
  <w:style w:type="paragraph" w:customStyle="1" w:styleId="65">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6">
    <w:name w:val="正文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7">
    <w:name w:val="正文文本缩进 New New New New New New New"/>
    <w:basedOn w:val="66"/>
    <w:qFormat/>
    <w:uiPriority w:val="0"/>
    <w:pPr>
      <w:ind w:left="420" w:leftChars="200"/>
    </w:pPr>
    <w:rPr>
      <w:szCs w:val="24"/>
    </w:rPr>
  </w:style>
  <w:style w:type="paragraph" w:customStyle="1" w:styleId="68">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9">
    <w:name w:val="正文文本缩进 New New New New New New New New"/>
    <w:basedOn w:val="68"/>
    <w:qFormat/>
    <w:uiPriority w:val="0"/>
    <w:pPr>
      <w:ind w:left="420" w:leftChars="200"/>
    </w:pPr>
    <w:rPr>
      <w:szCs w:val="24"/>
    </w:rPr>
  </w:style>
  <w:style w:type="paragraph" w:customStyle="1" w:styleId="70">
    <w:name w:val="正文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1">
    <w:name w:val="页脚 New"/>
    <w:basedOn w:val="38"/>
    <w:qFormat/>
    <w:uiPriority w:val="0"/>
    <w:pPr>
      <w:widowControl/>
      <w:tabs>
        <w:tab w:val="center" w:pos="4153"/>
        <w:tab w:val="right" w:pos="8306"/>
      </w:tabs>
      <w:snapToGrid w:val="0"/>
      <w:jc w:val="left"/>
    </w:pPr>
    <w:rPr>
      <w:kern w:val="0"/>
      <w:sz w:val="18"/>
    </w:rPr>
  </w:style>
  <w:style w:type="character" w:customStyle="1" w:styleId="72">
    <w:name w:val="批注框文本 Char"/>
    <w:basedOn w:val="23"/>
    <w:link w:val="12"/>
    <w:qFormat/>
    <w:uiPriority w:val="0"/>
    <w:rPr>
      <w:rFonts w:ascii="宋体" w:hAnsi="等线" w:eastAsia="等线" w:cs="Times New Roman"/>
      <w:kern w:val="2"/>
      <w:sz w:val="18"/>
      <w:szCs w:val="18"/>
    </w:rPr>
  </w:style>
  <w:style w:type="character" w:customStyle="1" w:styleId="73">
    <w:name w:val="hover21"/>
    <w:basedOn w:val="23"/>
    <w:qFormat/>
    <w:uiPriority w:val="0"/>
    <w:rPr>
      <w:color w:val="5FB878"/>
    </w:rPr>
  </w:style>
  <w:style w:type="character" w:customStyle="1" w:styleId="74">
    <w:name w:val="hover22"/>
    <w:basedOn w:val="23"/>
    <w:qFormat/>
    <w:uiPriority w:val="0"/>
    <w:rPr>
      <w:color w:val="5FB878"/>
    </w:rPr>
  </w:style>
  <w:style w:type="character" w:customStyle="1" w:styleId="75">
    <w:name w:val="hover23"/>
    <w:basedOn w:val="23"/>
    <w:qFormat/>
    <w:uiPriority w:val="0"/>
    <w:rPr>
      <w:color w:val="FFFFFF"/>
    </w:rPr>
  </w:style>
  <w:style w:type="paragraph" w:customStyle="1" w:styleId="76">
    <w:name w:val="正文1"/>
    <w:basedOn w:val="1"/>
    <w:qFormat/>
    <w:uiPriority w:val="0"/>
    <w:rPr>
      <w:rFonts w:hAnsi="Times New Roman"/>
    </w:rPr>
  </w:style>
  <w:style w:type="paragraph" w:customStyle="1" w:styleId="7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8">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9">
    <w:name w:val="Table Text"/>
    <w:semiHidden/>
    <w:qFormat/>
    <w:uiPriority w:val="0"/>
    <w:pPr>
      <w:widowControl w:val="0"/>
      <w:jc w:val="both"/>
    </w:pPr>
    <w:rPr>
      <w:rFonts w:ascii="宋体" w:hAnsi="宋体" w:eastAsia="宋体" w:cs="宋体"/>
      <w:kern w:val="2"/>
      <w:sz w:val="20"/>
      <w:szCs w:val="20"/>
      <w:lang w:val="en-US" w:eastAsia="en-US" w:bidi="ar-SA"/>
    </w:rPr>
  </w:style>
  <w:style w:type="paragraph" w:customStyle="1" w:styleId="80">
    <w:name w:val="UserStyle_76"/>
    <w:qFormat/>
    <w:uiPriority w:val="99"/>
    <w:pPr>
      <w:spacing w:line="360" w:lineRule="auto"/>
      <w:ind w:firstLine="420"/>
      <w:jc w:val="left"/>
      <w:textAlignment w:val="baseline"/>
    </w:pPr>
    <w:rPr>
      <w:rFonts w:ascii="宋体" w:hAnsi="Times New Roman" w:eastAsia="宋体" w:cs="宋体"/>
      <w:kern w:val="0"/>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115</Pages>
  <Words>10246</Words>
  <Characters>11114</Characters>
  <Lines>731</Lines>
  <Paragraphs>205</Paragraphs>
  <TotalTime>0</TotalTime>
  <ScaleCrop>false</ScaleCrop>
  <LinksUpToDate>false</LinksUpToDate>
  <CharactersWithSpaces>11291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2023-11-10T02:36:00Z</dcterms:created>
  <dc:creator>Chen~小璇</dc:creator>
  <cp:lastModifiedBy>琼楼笑望</cp:lastModifiedBy>
  <cp:lastPrinted>2026-03-13T08:15:00Z</cp:lastPrinted>
  <dcterms:modified xsi:type="dcterms:W3CDTF">2026-03-23T08:13:47Z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D0C086A7EFC541119539D3D74C4C029C_13</vt:lpwstr>
  </property>
  <property fmtid="{D5CDD505-2E9C-101B-9397-08002B2CF9AE}" pid="4" name="KSOTemplateDocerSaveRecord">
    <vt:lpwstr>eyJoZGlkIjoiZjEzYmU1ZTE0Zjk1ZWQ4NDkyMjZkYjBhMDJjZGY3ZjgiLCJ1c2VySWQiOiI1NTkzMzQ0ODMifQ==</vt:lpwstr>
  </property>
</Properties>
</file>