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广东省仁化县全域旅游基础设施建设项目（二期）—丹霞青湖塘村新农村经济带工程勘察设计、施工</w:t>
      </w:r>
      <w:r>
        <w:rPr>
          <w:rFonts w:hint="eastAsia" w:asciiTheme="minorEastAsia" w:hAnsiTheme="minorEastAsia" w:eastAsiaTheme="minorEastAsia" w:cstheme="minorEastAsia"/>
          <w:b/>
          <w:color w:val="000000" w:themeColor="text1"/>
          <w:sz w:val="48"/>
          <w:szCs w:val="48"/>
          <w:highlight w:val="none"/>
          <w:lang w:val="en-US" w:eastAsia="zh-CN"/>
          <w14:textFill>
            <w14:solidFill>
              <w14:schemeClr w14:val="tx1"/>
            </w14:solidFill>
          </w14:textFill>
        </w:rPr>
        <w:t>总承包</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6"/>
        <w:spacing w:line="360" w:lineRule="auto"/>
        <w:jc w:val="cente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仁化县融鑫文化旅游投资有限公司</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7"/>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韶关市城监项目管理有限公司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drawing>
                <wp:inline distT="0" distB="0" distL="114300" distR="114300">
                  <wp:extent cx="567055" cy="361315"/>
                  <wp:effectExtent l="0" t="0" r="0" b="635"/>
                  <wp:docPr id="5" name="图片 5" descr="骆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骆乐签名"/>
                          <pic:cNvPicPr>
                            <a:picLocks noChangeAspect="1"/>
                          </pic:cNvPicPr>
                        </pic:nvPicPr>
                        <pic:blipFill>
                          <a:blip r:embed="rId11"/>
                          <a:stretch>
                            <a:fillRect/>
                          </a:stretch>
                        </pic:blipFill>
                        <pic:spPr>
                          <a:xfrm>
                            <a:off x="0" y="0"/>
                            <a:ext cx="567055" cy="361315"/>
                          </a:xfrm>
                          <a:prstGeom prst="rect">
                            <a:avLst/>
                          </a:prstGeom>
                        </pic:spPr>
                      </pic:pic>
                    </a:graphicData>
                  </a:graphic>
                </wp:inline>
              </w:drawing>
            </w: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7"/>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drawing>
                <wp:inline distT="0" distB="0" distL="114300" distR="114300">
                  <wp:extent cx="1143000" cy="494030"/>
                  <wp:effectExtent l="0" t="0" r="0" b="1270"/>
                  <wp:docPr id="6" name="图片 6" descr="饶家豪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饶家豪签名"/>
                          <pic:cNvPicPr>
                            <a:picLocks noChangeAspect="1"/>
                          </pic:cNvPicPr>
                        </pic:nvPicPr>
                        <pic:blipFill>
                          <a:blip r:embed="rId12"/>
                          <a:stretch>
                            <a:fillRect/>
                          </a:stretch>
                        </pic:blipFill>
                        <pic:spPr>
                          <a:xfrm>
                            <a:off x="0" y="0"/>
                            <a:ext cx="1143000" cy="494030"/>
                          </a:xfrm>
                          <a:prstGeom prst="rect">
                            <a:avLst/>
                          </a:prstGeom>
                        </pic:spPr>
                      </pic:pic>
                    </a:graphicData>
                  </a:graphic>
                </wp:inline>
              </w:drawing>
            </w: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7"/>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7"/>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402D7797">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092B206D">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TOC \o "1-3" \f \h \u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_Toc15981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第一章投标须知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FB5B2A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_Toc7549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第一节.投标须知前附表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354DE3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_Toc28775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第二节.重要事项时间地点一览表.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8060B2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_Toc16648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第三节 投标须知正文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45B29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_Toc26102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9C913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_Toc6635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2 、招标范围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D70D42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_Toc8255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4 、投标人资质及条件要求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E3F3CE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_Toc18273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5 、工程招标内容及要求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832A0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_Toc398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6 、招标工程施工条件及现场踏勘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A0C78B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_Toc27260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7 、其他招标说明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4CCC35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_Toc14019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8 、招标答疑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AEFEB3F">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_Toc5224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9 、投标报价的编制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297B5E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_Toc27901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限价的确定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A49770A">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_Toc9185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95FB5E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_Toc15798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12、 投标有效期及对投标人的其他要求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869712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_Toc29545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3BF46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_Toc19630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评标的方法和标准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0AF4B3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_Toc1522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Cs w:val="24"/>
          <w:highlight w:val="none"/>
          <w:lang w:eastAsia="zh-CN"/>
          <w14:textFill>
            <w14:solidFill>
              <w14:schemeClr w14:val="tx1"/>
            </w14:solidFill>
          </w14:textFill>
        </w:rPr>
        <w:t>评标结果公示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4368B5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_Toc11870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F50361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_Toc3613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80D1C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_Toc8904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5D2024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_Toc19523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FB78B5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_Toc20433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D247C0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_Toc25049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宋体" w:hAnsi="宋体" w:eastAsia="宋体" w:cs="宋体"/>
          <w:bCs/>
          <w:snapToGrid/>
          <w:color w:val="000000" w:themeColor="text1"/>
          <w:kern w:val="2"/>
          <w:szCs w:val="24"/>
          <w:highlight w:val="none"/>
          <w:lang w:eastAsia="zh-CN"/>
          <w14:textFill>
            <w14:solidFill>
              <w14:schemeClr w14:val="tx1"/>
            </w14:solidFill>
          </w14:textFill>
        </w:rPr>
        <w:t>第</w:t>
      </w:r>
      <w:r>
        <w:rPr>
          <w:rFonts w:hint="eastAsia" w:ascii="宋体" w:hAnsi="宋体" w:eastAsia="宋体" w:cs="宋体"/>
          <w:bCs/>
          <w:snapToGrid/>
          <w:color w:val="000000" w:themeColor="text1"/>
          <w:kern w:val="2"/>
          <w:szCs w:val="24"/>
          <w:highlight w:val="none"/>
          <w:lang w:val="en-US" w:eastAsia="zh-CN"/>
          <w14:textFill>
            <w14:solidFill>
              <w14:schemeClr w14:val="tx1"/>
            </w14:solidFill>
          </w14:textFill>
        </w:rPr>
        <w:t>五</w:t>
      </w:r>
      <w:r>
        <w:rPr>
          <w:rFonts w:hint="eastAsia" w:ascii="宋体" w:hAnsi="宋体" w:eastAsia="宋体" w:cs="宋体"/>
          <w:bCs/>
          <w:snapToGrid/>
          <w:color w:val="000000" w:themeColor="text1"/>
          <w:kern w:val="2"/>
          <w:szCs w:val="24"/>
          <w:highlight w:val="none"/>
          <w:lang w:eastAsia="zh-CN"/>
          <w14:textFill>
            <w14:solidFill>
              <w14:schemeClr w14:val="tx1"/>
            </w14:solidFill>
          </w14:textFill>
        </w:rPr>
        <w:t>节 定标规定</w:t>
      </w:r>
      <w:r>
        <w:rPr>
          <w:rFonts w:hint="eastAsia" w:ascii="宋体" w:hAnsi="宋体" w:eastAsia="宋体" w:cs="宋体"/>
          <w:bCs/>
          <w:snapToGrid/>
          <w:color w:val="000000" w:themeColor="text1"/>
          <w:kern w:val="2"/>
          <w:szCs w:val="24"/>
          <w:highlight w:val="none"/>
          <w:lang w:val="en-US" w:eastAsia="zh-CN"/>
          <w14:textFill>
            <w14:solidFill>
              <w14:schemeClr w14:val="tx1"/>
            </w14:solidFill>
          </w14:textFill>
        </w:rPr>
        <w:t>及细则（本项目采用票决数量法定标）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CC43B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_Toc16282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宋体" w:hAnsi="宋体" w:eastAsia="宋体" w:cs="宋体"/>
          <w:bCs/>
          <w:snapToGrid/>
          <w:color w:val="000000" w:themeColor="text1"/>
          <w:kern w:val="2"/>
          <w:szCs w:val="24"/>
          <w:highlight w:val="none"/>
          <w:lang w:eastAsia="zh-CN"/>
          <w14:textFill>
            <w14:solidFill>
              <w14:schemeClr w14:val="tx1"/>
            </w14:solidFill>
          </w14:textFill>
        </w:rPr>
        <w:t>第</w:t>
      </w:r>
      <w:r>
        <w:rPr>
          <w:rFonts w:hint="eastAsia" w:ascii="宋体" w:hAnsi="宋体" w:eastAsia="宋体" w:cs="宋体"/>
          <w:bCs/>
          <w:snapToGrid/>
          <w:color w:val="000000" w:themeColor="text1"/>
          <w:kern w:val="2"/>
          <w:szCs w:val="24"/>
          <w:highlight w:val="none"/>
          <w:lang w:val="en-US" w:eastAsia="zh-CN"/>
          <w14:textFill>
            <w14:solidFill>
              <w14:schemeClr w14:val="tx1"/>
            </w14:solidFill>
          </w14:textFill>
        </w:rPr>
        <w:t>六</w:t>
      </w:r>
      <w:r>
        <w:rPr>
          <w:rFonts w:hint="eastAsia" w:ascii="宋体" w:hAnsi="宋体" w:eastAsia="宋体" w:cs="宋体"/>
          <w:bCs/>
          <w:snapToGrid/>
          <w:color w:val="000000" w:themeColor="text1"/>
          <w:kern w:val="2"/>
          <w:szCs w:val="24"/>
          <w:highlight w:val="none"/>
          <w:lang w:eastAsia="zh-CN"/>
          <w14:textFill>
            <w14:solidFill>
              <w14:schemeClr w14:val="tx1"/>
            </w14:solidFill>
          </w14:textFill>
        </w:rPr>
        <w:t>节 中标确认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7D04234">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_Toc27896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D66274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_Toc19055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FF9A3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_Toc5382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 施工图工程量清单预算的编制原则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2ADF2C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_Toc4412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3 工程结算原则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C97DA2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_Toc14810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4 工程付款办法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426C5E2">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_Toc5296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68B675B">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_Toc16593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第四章 投标人提交的其他材料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03342F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_Toc5747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投标保证</w:t>
      </w:r>
      <w:bookmarkStart w:id="681" w:name="_GoBack"/>
      <w:bookmarkEnd w:id="681"/>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A2F724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_Toc6058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0018E3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_Toc7456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154ADE">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_Toc803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第五章 招标工程的技术要求和前期文件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79927A7">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_Toc30934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宋体" w:hAnsi="宋体" w:eastAsia="宋体" w:cs="宋体"/>
          <w:snapToGrid w:val="0"/>
          <w:color w:val="000000" w:themeColor="text1"/>
          <w:szCs w:val="24"/>
          <w:highlight w:val="none"/>
          <w:lang w:val="en-US" w:eastAsia="zh-CN"/>
          <w14:textFill>
            <w14:solidFill>
              <w14:schemeClr w14:val="tx1"/>
            </w14:solidFill>
          </w14:textFill>
        </w:rPr>
        <w:t>1．工程勘察标准规范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E2733FE">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_Toc16309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宋体" w:hAnsi="宋体" w:eastAsia="宋体" w:cs="宋体"/>
          <w:snapToGrid w:val="0"/>
          <w:color w:val="000000" w:themeColor="text1"/>
          <w:szCs w:val="24"/>
          <w:highlight w:val="none"/>
          <w:lang w:val="en-US" w:eastAsia="zh-CN"/>
          <w14:textFill>
            <w14:solidFill>
              <w14:schemeClr w14:val="tx1"/>
            </w14:solidFill>
          </w14:textFill>
        </w:rPr>
        <w:t>2．工程设计标准规范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57E5284">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_Toc21927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hAnsi="宋体" w:eastAsia="宋体" w:cs="宋体"/>
          <w:bCs w:val="0"/>
          <w:snapToGrid w:val="0"/>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Cs w:val="24"/>
          <w:highlight w:val="none"/>
          <w:lang w:val="en-US" w:eastAsia="zh-CN"/>
          <w14:textFill>
            <w14:solidFill>
              <w14:schemeClr w14:val="tx1"/>
            </w14:solidFill>
          </w14:textFill>
        </w:rPr>
        <w:t>市政基础设施工程建设项目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1C1D2DC">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_Toc27860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szCs w:val="24"/>
          <w:highlight w:val="none"/>
          <w:lang w:val="en-US" w:eastAsia="zh-CN"/>
          <w14:textFill>
            <w14:solidFill>
              <w14:schemeClr w14:val="tx1"/>
            </w14:solidFill>
          </w14:textFill>
        </w:rPr>
        <w:t>备查要求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D114A6">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_Toc4655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招标文件的附件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8400D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_Toc16296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D2F6BDF">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格式二 《投标函》及《工程项目总价表》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97EA0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_Toc8220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格式三 各项</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8B9701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_Toc24868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4F6437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_Toc11174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350D14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_Toc31679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B8C042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_Toc13130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6577A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_Toc12567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DAA7E0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_Toc13976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EF1D03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_Toc9420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D515AF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_Toc11192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格式十一 项目设计负责人</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8714C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_Toc31050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 xml:space="preserve">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B15107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12900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_Toc29747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imes New Roman" w:hAnsi="宋体" w:eastAsia="宋体" w:cs="Times New Roman"/>
          <w:bCs/>
          <w:snapToGrid w:val="0"/>
          <w:color w:val="000000" w:themeColor="text1"/>
          <w:kern w:val="2"/>
          <w:szCs w:val="21"/>
          <w:highlight w:val="none"/>
          <w:lang w:eastAsia="zh-CN"/>
          <w14:textFill>
            <w14:solidFill>
              <w14:schemeClr w14:val="tx1"/>
            </w14:solidFill>
          </w14:textFill>
        </w:rPr>
        <w:t>格式十</w:t>
      </w:r>
      <w:r>
        <w:rPr>
          <w:rFonts w:hint="eastAsia" w:ascii="Times New Roman" w:hAnsi="宋体" w:cs="Times New Roman"/>
          <w:bCs/>
          <w:snapToGrid w:val="0"/>
          <w:color w:val="000000" w:themeColor="text1"/>
          <w:kern w:val="2"/>
          <w:szCs w:val="21"/>
          <w:highlight w:val="none"/>
          <w:lang w:val="en-US" w:eastAsia="zh-CN"/>
          <w14:textFill>
            <w14:solidFill>
              <w14:schemeClr w14:val="tx1"/>
            </w14:solidFill>
          </w14:textFill>
        </w:rPr>
        <w:t>四</w:t>
      </w:r>
      <w:r>
        <w:rPr>
          <w:rFonts w:hint="eastAsia" w:ascii="Times New Roman" w:hAnsi="宋体" w:eastAsia="宋体" w:cs="Times New Roman"/>
          <w:bCs/>
          <w:snapToGrid w:val="0"/>
          <w:color w:val="000000" w:themeColor="text1"/>
          <w:kern w:val="2"/>
          <w:szCs w:val="21"/>
          <w:highlight w:val="none"/>
          <w:lang w:val="en-US" w:eastAsia="zh-CN"/>
          <w14:textFill>
            <w14:solidFill>
              <w14:schemeClr w14:val="tx1"/>
            </w14:solidFill>
          </w14:textFill>
        </w:rPr>
        <w:t xml:space="preserve"> 定标因素评审资料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8ADE1E6">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章  廉政合同、履约保函、支付保函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0B22D20">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_Toc14151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A2365EB">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_Toc19618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履约保函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3929455">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_Toc14689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7CFA3E">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_Toc30822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章  建设工程合同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8"/>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9"/>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29892"/>
      <w:bookmarkStart w:id="1" w:name="_Toc15981"/>
      <w:bookmarkStart w:id="2"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bookmarkEnd w:id="1"/>
    </w:p>
    <w:p w14:paraId="538A9106">
      <w:pPr>
        <w:pStyle w:val="40"/>
        <w:keepNext/>
        <w:keepLines/>
        <w:autoSpaceDE/>
        <w:autoSpaceDN/>
        <w:adjustRightInd/>
        <w:spacing w:before="260" w:after="260" w:line="360" w:lineRule="exact"/>
        <w:ind w:left="0" w:leftChars="0" w:firstLine="0" w:firstLineChars="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 w:name="_Hlt127175444"/>
      <w:bookmarkEnd w:id="3"/>
      <w:bookmarkStart w:id="4" w:name="_Toc7549"/>
      <w:bookmarkStart w:id="5" w:name="_Toc5019"/>
      <w:bookmarkStart w:id="6"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4"/>
      <w:bookmarkEnd w:id="5"/>
    </w:p>
    <w:tbl>
      <w:tblPr>
        <w:tblStyle w:val="21"/>
        <w:tblW w:w="10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20"/>
        <w:gridCol w:w="1732"/>
        <w:gridCol w:w="7646"/>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780CDE9">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序号</w:t>
            </w:r>
          </w:p>
        </w:tc>
        <w:tc>
          <w:tcPr>
            <w:tcW w:w="1732" w:type="dxa"/>
            <w:tcBorders>
              <w:top w:val="single" w:color="auto" w:sz="4" w:space="0"/>
              <w:left w:val="single" w:color="auto" w:sz="4" w:space="0"/>
              <w:bottom w:val="single" w:color="auto" w:sz="4" w:space="0"/>
              <w:right w:val="single" w:color="auto" w:sz="4" w:space="0"/>
            </w:tcBorders>
            <w:noWrap/>
            <w:vAlign w:val="center"/>
          </w:tcPr>
          <w:p w14:paraId="49AE4A42">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内容</w:t>
            </w:r>
          </w:p>
        </w:tc>
        <w:tc>
          <w:tcPr>
            <w:tcW w:w="7646" w:type="dxa"/>
            <w:tcBorders>
              <w:top w:val="single" w:color="auto" w:sz="4" w:space="0"/>
              <w:left w:val="single" w:color="auto" w:sz="4" w:space="0"/>
              <w:bottom w:val="single" w:color="auto" w:sz="4" w:space="0"/>
              <w:right w:val="single" w:color="auto" w:sz="4" w:space="0"/>
            </w:tcBorders>
            <w:noWrap/>
            <w:vAlign w:val="center"/>
          </w:tcPr>
          <w:p w14:paraId="42F4043B">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202EDA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1732" w:type="dxa"/>
            <w:tcBorders>
              <w:top w:val="single" w:color="auto" w:sz="4" w:space="0"/>
              <w:left w:val="single" w:color="auto" w:sz="4" w:space="0"/>
              <w:bottom w:val="single" w:color="auto" w:sz="4" w:space="0"/>
              <w:right w:val="single" w:color="auto" w:sz="4" w:space="0"/>
            </w:tcBorders>
            <w:noWrap/>
            <w:vAlign w:val="center"/>
          </w:tcPr>
          <w:p w14:paraId="274784C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名称</w:t>
            </w:r>
          </w:p>
        </w:tc>
        <w:tc>
          <w:tcPr>
            <w:tcW w:w="7646" w:type="dxa"/>
            <w:tcBorders>
              <w:top w:val="single" w:color="auto" w:sz="4" w:space="0"/>
              <w:left w:val="single" w:color="auto" w:sz="4" w:space="0"/>
              <w:bottom w:val="single" w:color="auto" w:sz="4" w:space="0"/>
              <w:right w:val="single" w:color="auto" w:sz="4" w:space="0"/>
            </w:tcBorders>
            <w:noWrap/>
            <w:vAlign w:val="center"/>
          </w:tcPr>
          <w:p w14:paraId="555CDF7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广东省仁化县全域旅游基础设施建设项目（二期）—丹霞青湖塘村新农村经济带工程勘察设计、施工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212849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p>
        </w:tc>
        <w:tc>
          <w:tcPr>
            <w:tcW w:w="1732" w:type="dxa"/>
            <w:tcBorders>
              <w:top w:val="single" w:color="auto" w:sz="4" w:space="0"/>
              <w:left w:val="single" w:color="auto" w:sz="4" w:space="0"/>
              <w:bottom w:val="single" w:color="auto" w:sz="4" w:space="0"/>
              <w:right w:val="single" w:color="auto" w:sz="4" w:space="0"/>
            </w:tcBorders>
            <w:noWrap/>
            <w:vAlign w:val="center"/>
          </w:tcPr>
          <w:p w14:paraId="2DC1AF3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项目业主</w:t>
            </w:r>
          </w:p>
        </w:tc>
        <w:tc>
          <w:tcPr>
            <w:tcW w:w="7646" w:type="dxa"/>
            <w:tcBorders>
              <w:top w:val="single" w:color="auto" w:sz="4" w:space="0"/>
              <w:left w:val="single" w:color="auto" w:sz="4" w:space="0"/>
              <w:bottom w:val="single" w:color="auto" w:sz="4" w:space="0"/>
              <w:right w:val="single" w:color="auto" w:sz="4" w:space="0"/>
            </w:tcBorders>
            <w:noWrap/>
            <w:vAlign w:val="center"/>
          </w:tcPr>
          <w:p w14:paraId="28071C5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文化广电旅游体育局</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p>
        </w:tc>
        <w:tc>
          <w:tcPr>
            <w:tcW w:w="1732" w:type="dxa"/>
            <w:tcBorders>
              <w:top w:val="single" w:color="auto" w:sz="4" w:space="0"/>
              <w:left w:val="single" w:color="auto" w:sz="4" w:space="0"/>
              <w:bottom w:val="single" w:color="auto" w:sz="4" w:space="0"/>
              <w:right w:val="single" w:color="auto" w:sz="4" w:space="0"/>
            </w:tcBorders>
            <w:noWrap/>
            <w:vAlign w:val="center"/>
          </w:tcPr>
          <w:p w14:paraId="7DF55BA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项目批准部门</w:t>
            </w:r>
          </w:p>
        </w:tc>
        <w:tc>
          <w:tcPr>
            <w:tcW w:w="7646" w:type="dxa"/>
            <w:tcBorders>
              <w:top w:val="single" w:color="auto" w:sz="4" w:space="0"/>
              <w:left w:val="single" w:color="auto" w:sz="4" w:space="0"/>
              <w:bottom w:val="single" w:color="auto" w:sz="4" w:space="0"/>
              <w:right w:val="single" w:color="auto" w:sz="4" w:space="0"/>
            </w:tcBorders>
            <w:noWrap/>
            <w:vAlign w:val="center"/>
          </w:tcPr>
          <w:p w14:paraId="5F2090D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县</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发展改革和政务数据局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p>
        </w:tc>
        <w:tc>
          <w:tcPr>
            <w:tcW w:w="1732"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项目批准文号</w:t>
            </w:r>
          </w:p>
        </w:tc>
        <w:tc>
          <w:tcPr>
            <w:tcW w:w="7646"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仁发改和政数投审〔2025〕76号、仁发改和政数投审〔2026〕24号、仁发改和政数投审〔2026〕33号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w:t>
            </w:r>
          </w:p>
        </w:tc>
        <w:tc>
          <w:tcPr>
            <w:tcW w:w="1732"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项目代码</w:t>
            </w:r>
          </w:p>
        </w:tc>
        <w:tc>
          <w:tcPr>
            <w:tcW w:w="7646"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2508-440224-04-01-996668</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w:t>
            </w:r>
          </w:p>
        </w:tc>
        <w:tc>
          <w:tcPr>
            <w:tcW w:w="1732"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资金来源</w:t>
            </w:r>
          </w:p>
          <w:p w14:paraId="7533B92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及出资比例</w:t>
            </w:r>
          </w:p>
        </w:tc>
        <w:tc>
          <w:tcPr>
            <w:tcW w:w="7646" w:type="dxa"/>
            <w:tcBorders>
              <w:top w:val="single" w:color="auto" w:sz="4" w:space="0"/>
              <w:left w:val="single" w:color="auto" w:sz="4" w:space="0"/>
              <w:bottom w:val="single" w:color="auto" w:sz="4" w:space="0"/>
              <w:right w:val="single" w:color="auto" w:sz="4" w:space="0"/>
            </w:tcBorders>
            <w:noWrap/>
            <w:vAlign w:val="center"/>
          </w:tcPr>
          <w:p w14:paraId="75701D4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上级资金和县级财政资金安排解决，100%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3C1051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w:t>
            </w:r>
          </w:p>
        </w:tc>
        <w:tc>
          <w:tcPr>
            <w:tcW w:w="1732" w:type="dxa"/>
            <w:tcBorders>
              <w:top w:val="single" w:color="auto" w:sz="4" w:space="0"/>
              <w:left w:val="single" w:color="auto" w:sz="4" w:space="0"/>
              <w:bottom w:val="single" w:color="auto" w:sz="4" w:space="0"/>
              <w:right w:val="single" w:color="auto" w:sz="4" w:space="0"/>
            </w:tcBorders>
            <w:noWrap/>
            <w:vAlign w:val="center"/>
          </w:tcPr>
          <w:p w14:paraId="30F2C76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招标人</w:t>
            </w:r>
          </w:p>
        </w:tc>
        <w:tc>
          <w:tcPr>
            <w:tcW w:w="7646" w:type="dxa"/>
            <w:tcBorders>
              <w:top w:val="single" w:color="auto" w:sz="4" w:space="0"/>
              <w:left w:val="single" w:color="auto" w:sz="4" w:space="0"/>
              <w:bottom w:val="single" w:color="auto" w:sz="4" w:space="0"/>
              <w:right w:val="single" w:color="auto" w:sz="4" w:space="0"/>
            </w:tcBorders>
            <w:noWrap/>
            <w:vAlign w:val="center"/>
          </w:tcPr>
          <w:p w14:paraId="7D027C5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仁化县融鑫文化旅游投资有限公司</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8</w:t>
            </w:r>
          </w:p>
        </w:tc>
        <w:tc>
          <w:tcPr>
            <w:tcW w:w="1732"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招标代理机构</w:t>
            </w:r>
          </w:p>
        </w:tc>
        <w:tc>
          <w:tcPr>
            <w:tcW w:w="7646" w:type="dxa"/>
            <w:tcBorders>
              <w:top w:val="single" w:color="auto" w:sz="4" w:space="0"/>
              <w:left w:val="single" w:color="auto" w:sz="4" w:space="0"/>
              <w:bottom w:val="single" w:color="auto" w:sz="4" w:space="0"/>
              <w:right w:val="single" w:color="auto" w:sz="4" w:space="0"/>
            </w:tcBorders>
            <w:noWrap/>
            <w:vAlign w:val="center"/>
          </w:tcPr>
          <w:p w14:paraId="16F133C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韶关市城监项目管理有限公司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41781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9</w:t>
            </w:r>
          </w:p>
        </w:tc>
        <w:tc>
          <w:tcPr>
            <w:tcW w:w="1732" w:type="dxa"/>
            <w:tcBorders>
              <w:top w:val="single" w:color="auto" w:sz="4" w:space="0"/>
              <w:left w:val="single" w:color="auto" w:sz="4" w:space="0"/>
              <w:bottom w:val="single" w:color="auto" w:sz="4" w:space="0"/>
              <w:right w:val="single" w:color="auto" w:sz="4" w:space="0"/>
            </w:tcBorders>
            <w:noWrap/>
            <w:vAlign w:val="center"/>
          </w:tcPr>
          <w:p w14:paraId="3F8C2B8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项目总投资</w:t>
            </w:r>
          </w:p>
        </w:tc>
        <w:tc>
          <w:tcPr>
            <w:tcW w:w="7646" w:type="dxa"/>
            <w:tcBorders>
              <w:top w:val="single" w:color="auto" w:sz="4" w:space="0"/>
              <w:left w:val="single" w:color="auto" w:sz="4" w:space="0"/>
              <w:bottom w:val="single" w:color="auto" w:sz="4" w:space="0"/>
              <w:right w:val="single" w:color="auto" w:sz="4" w:space="0"/>
            </w:tcBorders>
            <w:noWrap/>
            <w:vAlign w:val="center"/>
          </w:tcPr>
          <w:p w14:paraId="1F31922D">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项目概算总投资1993.34万元，其中工程费用1800.19万元，工程建设其他费用173.42万元，预备费用19.73万元。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FF009B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10</w:t>
            </w:r>
          </w:p>
        </w:tc>
        <w:tc>
          <w:tcPr>
            <w:tcW w:w="1732" w:type="dxa"/>
            <w:tcBorders>
              <w:top w:val="single" w:color="auto" w:sz="4" w:space="0"/>
              <w:left w:val="single" w:color="auto" w:sz="4" w:space="0"/>
              <w:bottom w:val="single" w:color="auto" w:sz="4" w:space="0"/>
              <w:right w:val="single" w:color="auto" w:sz="4" w:space="0"/>
            </w:tcBorders>
            <w:noWrap/>
            <w:vAlign w:val="center"/>
          </w:tcPr>
          <w:p w14:paraId="2DA831A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建设地点</w:t>
            </w:r>
          </w:p>
        </w:tc>
        <w:tc>
          <w:tcPr>
            <w:tcW w:w="7646" w:type="dxa"/>
            <w:tcBorders>
              <w:top w:val="single" w:color="auto" w:sz="4" w:space="0"/>
              <w:left w:val="single" w:color="auto" w:sz="4" w:space="0"/>
              <w:bottom w:val="single" w:color="auto" w:sz="4" w:space="0"/>
              <w:right w:val="single" w:color="auto" w:sz="4" w:space="0"/>
            </w:tcBorders>
            <w:noWrap/>
            <w:vAlign w:val="center"/>
          </w:tcPr>
          <w:p w14:paraId="48010CA5">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仁化县丹霞街道。</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38"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DF3B26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w:t>
            </w:r>
          </w:p>
        </w:tc>
        <w:tc>
          <w:tcPr>
            <w:tcW w:w="1732" w:type="dxa"/>
            <w:tcBorders>
              <w:top w:val="single" w:color="auto" w:sz="4" w:space="0"/>
              <w:left w:val="single" w:color="auto" w:sz="4" w:space="0"/>
              <w:bottom w:val="single" w:color="auto" w:sz="4" w:space="0"/>
              <w:right w:val="single" w:color="auto" w:sz="4" w:space="0"/>
            </w:tcBorders>
            <w:noWrap/>
            <w:vAlign w:val="center"/>
          </w:tcPr>
          <w:p w14:paraId="62F59E6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项目建设内容</w:t>
            </w:r>
          </w:p>
          <w:p w14:paraId="428D692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和规模</w:t>
            </w:r>
          </w:p>
        </w:tc>
        <w:tc>
          <w:tcPr>
            <w:tcW w:w="7646" w:type="dxa"/>
            <w:tcBorders>
              <w:top w:val="single" w:color="auto" w:sz="4" w:space="0"/>
              <w:left w:val="single" w:color="auto" w:sz="4" w:space="0"/>
              <w:bottom w:val="single" w:color="auto" w:sz="4" w:space="0"/>
              <w:right w:val="single" w:color="auto" w:sz="4" w:space="0"/>
            </w:tcBorders>
            <w:noWrap/>
            <w:vAlign w:val="center"/>
          </w:tcPr>
          <w:p w14:paraId="50540B84">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主要是道路部分新建约1公里沥青道路、1500米人行道；新建混凝土挡土墙、交通标线等；给水部分新做约1000米DN150内衬塑复合钢管、预留约900米DN150温泉用聚氨酯地埋热水保温管、雨污水部分敷设约1000米DN600的HDPE双壁波纹管及500×800砖砌水渠、敷设约400米φ2000钢筋混凝土涵管、50米φ1000钢筋混凝土涵管；电力部分预埋约7300米管道、通信部分预埋约6300米管道等。</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w:t>
            </w:r>
          </w:p>
        </w:tc>
        <w:tc>
          <w:tcPr>
            <w:tcW w:w="1732" w:type="dxa"/>
            <w:tcBorders>
              <w:top w:val="single" w:color="auto" w:sz="4" w:space="0"/>
              <w:left w:val="single" w:color="auto" w:sz="4" w:space="0"/>
              <w:bottom w:val="single" w:color="auto" w:sz="4" w:space="0"/>
              <w:right w:val="single" w:color="auto" w:sz="4" w:space="0"/>
            </w:tcBorders>
            <w:noWrap/>
            <w:vAlign w:val="center"/>
          </w:tcPr>
          <w:p w14:paraId="28FE016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招标范围</w:t>
            </w:r>
          </w:p>
        </w:tc>
        <w:tc>
          <w:tcPr>
            <w:tcW w:w="7646" w:type="dxa"/>
            <w:tcBorders>
              <w:top w:val="single" w:color="auto" w:sz="4" w:space="0"/>
              <w:left w:val="single" w:color="auto" w:sz="4" w:space="0"/>
              <w:bottom w:val="single" w:color="auto" w:sz="4" w:space="0"/>
              <w:right w:val="single" w:color="auto" w:sz="4" w:space="0"/>
            </w:tcBorders>
            <w:noWrap/>
            <w:vAlign w:val="center"/>
          </w:tcPr>
          <w:p w14:paraId="73B9AD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09CE273">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1）勘察部分：初步勘察、详细勘察（包括岩土工程勘察、地形测量等）。</w:t>
            </w:r>
          </w:p>
          <w:p w14:paraId="056307B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设计部分：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确保项目顺利实施的报建、报批、施工等所需的所有建安工程等设计文件。包括但不限于：初步设计及概算、施工图设计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07314B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p>
          <w:p w14:paraId="4D5FC0A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）施工部分：设计文件及工程量清单范围内的所有工程及配套工程、设施等的施工</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w:t>
            </w:r>
          </w:p>
        </w:tc>
        <w:tc>
          <w:tcPr>
            <w:tcW w:w="1732"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标段划分</w:t>
            </w:r>
          </w:p>
        </w:tc>
        <w:tc>
          <w:tcPr>
            <w:tcW w:w="7646"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w:t>
            </w:r>
          </w:p>
        </w:tc>
        <w:tc>
          <w:tcPr>
            <w:tcW w:w="1732"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工期</w:t>
            </w:r>
          </w:p>
        </w:tc>
        <w:tc>
          <w:tcPr>
            <w:tcW w:w="7646"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本项目勘察设计、施工总工期180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日历天，其中：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设计工期为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日历天、施工工期为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120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09"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15</w:t>
            </w:r>
          </w:p>
        </w:tc>
        <w:tc>
          <w:tcPr>
            <w:tcW w:w="1732"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质量标准</w:t>
            </w:r>
          </w:p>
        </w:tc>
        <w:tc>
          <w:tcPr>
            <w:tcW w:w="7646" w:type="dxa"/>
            <w:tcBorders>
              <w:top w:val="single" w:color="auto" w:sz="4" w:space="0"/>
              <w:left w:val="single" w:color="auto" w:sz="4" w:space="0"/>
              <w:bottom w:val="single" w:color="auto" w:sz="4" w:space="0"/>
              <w:right w:val="single" w:color="auto" w:sz="4" w:space="0"/>
            </w:tcBorders>
            <w:noWrap/>
            <w:vAlign w:val="center"/>
          </w:tcPr>
          <w:p w14:paraId="6537634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勘察要求：符合国家及住建部门颁布的现行有关勘察规范、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要求，勘察成果必须满足设计及审图合格的要求。</w:t>
            </w:r>
          </w:p>
          <w:p w14:paraId="42A8D1A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设计要求：符合国家或行业颁布的现行有效的有关设计的规范要求，符合设计任务书的相关要求，并必须通过有关部门的审查及经有资质的审图机构审查合格。施工要求：</w:t>
            </w:r>
          </w:p>
          <w:p w14:paraId="1154AF9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3）施工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要求：施工质量必须达到合格标准，符合现行国家有关工程施工质量验收规范和标准的要求。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3"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16</w:t>
            </w:r>
          </w:p>
        </w:tc>
        <w:tc>
          <w:tcPr>
            <w:tcW w:w="1732" w:type="dxa"/>
            <w:tcBorders>
              <w:top w:val="single" w:color="auto" w:sz="4" w:space="0"/>
              <w:left w:val="single" w:color="auto" w:sz="4" w:space="0"/>
              <w:bottom w:val="single" w:color="auto" w:sz="4" w:space="0"/>
              <w:right w:val="single" w:color="auto" w:sz="4" w:space="0"/>
            </w:tcBorders>
            <w:noWrap/>
            <w:vAlign w:val="center"/>
          </w:tcPr>
          <w:p w14:paraId="6A56A3F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最高投标限价</w:t>
            </w:r>
          </w:p>
        </w:tc>
        <w:tc>
          <w:tcPr>
            <w:tcW w:w="7646" w:type="dxa"/>
            <w:tcBorders>
              <w:top w:val="single" w:color="auto" w:sz="4" w:space="0"/>
              <w:left w:val="single" w:color="auto" w:sz="4" w:space="0"/>
              <w:bottom w:val="single" w:color="auto" w:sz="4" w:space="0"/>
              <w:right w:val="single" w:color="auto" w:sz="4" w:space="0"/>
            </w:tcBorders>
            <w:noWrap/>
            <w:vAlign w:val="center"/>
          </w:tcPr>
          <w:p w14:paraId="1C376F8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本项目最高投标限价为人民币(大写)：</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壹仟捌佰捌拾肆万贰仟陆佰陆拾肆元贰角玖分(小写:¥18842664.29元)，其中：勘察费（含测绘费）：¥288000.00元、设计费（含施工图审查费）：¥552800.00元、建安工程费：¥18001864.29元。</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66"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17</w:t>
            </w:r>
          </w:p>
        </w:tc>
        <w:tc>
          <w:tcPr>
            <w:tcW w:w="1732" w:type="dxa"/>
            <w:tcBorders>
              <w:top w:val="single" w:color="auto" w:sz="4" w:space="0"/>
              <w:left w:val="single" w:color="auto" w:sz="4" w:space="0"/>
              <w:bottom w:val="single" w:color="auto" w:sz="4" w:space="0"/>
              <w:right w:val="single" w:color="auto" w:sz="4" w:space="0"/>
            </w:tcBorders>
            <w:noWrap/>
            <w:vAlign w:val="center"/>
          </w:tcPr>
          <w:p w14:paraId="2E41CA2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投标人资格要求</w:t>
            </w:r>
          </w:p>
        </w:tc>
        <w:tc>
          <w:tcPr>
            <w:tcW w:w="7646" w:type="dxa"/>
            <w:tcBorders>
              <w:top w:val="single" w:color="auto" w:sz="4" w:space="0"/>
              <w:left w:val="single" w:color="auto" w:sz="4" w:space="0"/>
              <w:bottom w:val="single" w:color="auto" w:sz="4" w:space="0"/>
              <w:right w:val="single" w:color="auto" w:sz="4" w:space="0"/>
            </w:tcBorders>
            <w:noWrap/>
            <w:vAlign w:val="center"/>
          </w:tcPr>
          <w:p w14:paraId="39FEFD3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1．本次招标接受联合体投标，联合体以一个投标人的身份共同投标。</w:t>
            </w:r>
          </w:p>
          <w:p w14:paraId="516B2DA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w:t>
            </w:r>
          </w:p>
          <w:p w14:paraId="04101C3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1.4联合体各方不得再以自己名义单独或参加其他联合体在本招标项目中投标，否则各相关投标均无效。</w:t>
            </w:r>
          </w:p>
          <w:p w14:paraId="0A5B561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2.资质要求</w:t>
            </w:r>
          </w:p>
          <w:p w14:paraId="074F05A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2.1投标人须具备独立法人资格，按国家法律经营。</w:t>
            </w:r>
          </w:p>
          <w:p w14:paraId="7506161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2.2投标人须持有行政主管部门颁发的企业资质证书。</w:t>
            </w:r>
          </w:p>
          <w:p w14:paraId="500CCA01">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 投标人须具备以下资质：参加投标的投标人可以是单一独立法人或由不超过3家独立法人组成的联合体（必须注明其中一家为牵头人），单一独立法人必须至少同时具备以下①～③资质，组成联合体投标的，联合后必须至少具备以下①～③资质，联合体牵头人必须为①，由同一专业的单位组成的联合体，按照资质等级较低的单位确定资质等级：</w:t>
            </w:r>
          </w:p>
          <w:p w14:paraId="7367D9F5">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级）资质，并获得安全生产许可证的独立法人。</w:t>
            </w:r>
          </w:p>
          <w:p w14:paraId="0D4CBE2B">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 勘察资质：勘察企业必须具备行政主管部门颁发的以下资质之一：</w:t>
            </w:r>
          </w:p>
          <w:p w14:paraId="687031F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（1）具备工程勘察综合类甲级资质；</w:t>
            </w:r>
          </w:p>
          <w:p w14:paraId="739CF2B0">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（2）具备工程勘察专业（岩土工程）乙级以上（含乙级）资质；</w:t>
            </w:r>
          </w:p>
          <w:p w14:paraId="3A8648A8">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（3）具备工程勘察专业（岩土工程（岩土工程勘察））乙级以上（含乙级）资质。</w:t>
            </w:r>
          </w:p>
          <w:p w14:paraId="6ED49362">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注：勘察企业若不具备测量或测绘资质的，中标后必须在招标人的监督管理下委托具备相应资质及能力的单位来完成该部分工作，费用已包含在本次招标费用中。</w:t>
            </w:r>
          </w:p>
          <w:p w14:paraId="47F8AAD1">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③设计企业：必须具备建设行政主管部门颁发的以下资质之一：</w:t>
            </w:r>
          </w:p>
          <w:p w14:paraId="05B3046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工程设计综合甲级资质；</w:t>
            </w:r>
          </w:p>
          <w:p w14:paraId="63D6063A">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行业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级）资质；</w:t>
            </w:r>
          </w:p>
          <w:p w14:paraId="6930203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行业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(燃气工程、轨道交通工程除外)乙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级）资质；</w:t>
            </w:r>
          </w:p>
          <w:p w14:paraId="5049413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4、工程设计市政行业道路工程专业乙级以上（含乙级）资质及工程设计市政行业排水工程专业乙级以上（含乙级）资质。</w:t>
            </w:r>
          </w:p>
          <w:p w14:paraId="2DF5BF53">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注：设计企业若不具备施工图审查资质的，中标后必须在招标人的监督管理下委托具备相应资质及能力的单位来完成该部分工作，费用已包含在本次招标费用中。</w:t>
            </w:r>
          </w:p>
          <w:p w14:paraId="5A14F54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根据有关文件精神，投标人的企业相关证书到期的，均按该证书的发证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机构相关行业主管部门最新文件执行（如自动顺延或推迟办理延期业务的通知），投标人必须将相关文件附在该证书后面中，证明在开标日继续有效。</w:t>
            </w:r>
          </w:p>
          <w:p w14:paraId="462E03AE">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3．相关人员要求</w:t>
            </w:r>
          </w:p>
          <w:p w14:paraId="58C4132F">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建设工程项目的项目经理。</w:t>
            </w:r>
          </w:p>
          <w:p w14:paraId="35412283">
            <w:pPr>
              <w:pStyle w:val="41"/>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级或以上技术职称。</w:t>
            </w:r>
          </w:p>
          <w:p w14:paraId="00747066">
            <w:pPr>
              <w:pStyle w:val="41"/>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w:t>
            </w:r>
          </w:p>
          <w:p w14:paraId="0E0F0B75">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相关专业中级或以上职称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73ABE30">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3.5投标人拟派勘察负责人须具有</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注册土木工程师（岩土）证书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0404D82E">
            <w:pPr>
              <w:wordWrap w:val="0"/>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4．禁止投标条款：</w:t>
            </w:r>
          </w:p>
          <w:p w14:paraId="4DC399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4.1．投标人不得存在下列情形之一：</w:t>
            </w:r>
          </w:p>
          <w:p w14:paraId="55A1C15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（2）为本招标项目前期准备提供咨询服务的；</w:t>
            </w:r>
          </w:p>
          <w:p w14:paraId="6C37D88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（5）为本招标项目的监理人；</w:t>
            </w:r>
          </w:p>
          <w:p w14:paraId="77BAE21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（6）为本招标项目的代建人；</w:t>
            </w:r>
          </w:p>
          <w:p w14:paraId="73B25F3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（7）为本招标项目的招标代理机构；</w:t>
            </w:r>
          </w:p>
          <w:p w14:paraId="4E96EDE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（11）被依法暂停或者取消投标资格；</w:t>
            </w:r>
          </w:p>
          <w:p w14:paraId="499B7F3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4.2．招标人拒绝以下名单中的单位参加本次投标：</w:t>
            </w:r>
          </w:p>
          <w:tbl>
            <w:tblPr>
              <w:tblStyle w:val="21"/>
              <w:tblW w:w="74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425"/>
              <w:gridCol w:w="3350"/>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40AE4B0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序号</w:t>
                  </w:r>
                </w:p>
              </w:tc>
              <w:tc>
                <w:tcPr>
                  <w:tcW w:w="3425" w:type="dxa"/>
                  <w:noWrap/>
                  <w:vAlign w:val="center"/>
                </w:tcPr>
                <w:p w14:paraId="7A5A86FA">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单位名称</w:t>
                  </w:r>
                </w:p>
              </w:tc>
              <w:tc>
                <w:tcPr>
                  <w:tcW w:w="3350" w:type="dxa"/>
                  <w:noWrap/>
                  <w:vAlign w:val="center"/>
                </w:tcPr>
                <w:p w14:paraId="3A331D90">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39F6767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342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仁化县融鑫文化旅游投资有限公司</w:t>
                  </w:r>
                </w:p>
              </w:tc>
              <w:tc>
                <w:tcPr>
                  <w:tcW w:w="3350" w:type="dxa"/>
                  <w:noWrap/>
                  <w:vAlign w:val="center"/>
                </w:tcPr>
                <w:p w14:paraId="12966D16">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45FFDD6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p>
              </w:tc>
              <w:tc>
                <w:tcPr>
                  <w:tcW w:w="342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文化广电旅游体育局</w:t>
                  </w:r>
                </w:p>
              </w:tc>
              <w:tc>
                <w:tcPr>
                  <w:tcW w:w="3350" w:type="dxa"/>
                  <w:noWrap/>
                  <w:vAlign w:val="center"/>
                </w:tcPr>
                <w:p w14:paraId="565A3941">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63" w:type="dxa"/>
                  <w:noWrap/>
                  <w:vAlign w:val="center"/>
                </w:tcPr>
                <w:p w14:paraId="547AC68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p>
              </w:tc>
              <w:tc>
                <w:tcPr>
                  <w:tcW w:w="3425"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国昇设计有限责任公司</w:t>
                  </w:r>
                </w:p>
              </w:tc>
              <w:tc>
                <w:tcPr>
                  <w:tcW w:w="3350" w:type="dxa"/>
                  <w:noWrap/>
                  <w:vAlign w:val="center"/>
                </w:tcPr>
                <w:p w14:paraId="625838B3">
                  <w:pPr>
                    <w:wordWrap w:val="0"/>
                    <w:adjustRightInd w:val="0"/>
                    <w:snapToGrid w:val="0"/>
                    <w:spacing w:line="360" w:lineRule="auto"/>
                    <w:ind w:firstLine="210" w:firstLineChars="10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为本项目的</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概念性规划编制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7659448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p>
              </w:tc>
              <w:tc>
                <w:tcPr>
                  <w:tcW w:w="342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韶关市城监项目管理有限公司</w:t>
                  </w:r>
                </w:p>
              </w:tc>
              <w:tc>
                <w:tcPr>
                  <w:tcW w:w="3350" w:type="dxa"/>
                  <w:noWrap/>
                  <w:vAlign w:val="center"/>
                </w:tcPr>
                <w:p w14:paraId="61935A3A">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为本招标项目的招标代理机构</w:t>
                  </w:r>
                </w:p>
              </w:tc>
            </w:tr>
            <w:tr w14:paraId="1869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6B6D41C6">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3425" w:type="dxa"/>
                  <w:noWrap/>
                  <w:vAlign w:val="center"/>
                </w:tcPr>
                <w:p w14:paraId="69913B1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中叙设计集团有限公司</w:t>
                  </w:r>
                </w:p>
              </w:tc>
              <w:tc>
                <w:tcPr>
                  <w:tcW w:w="3350" w:type="dxa"/>
                  <w:noWrap/>
                  <w:vAlign w:val="center"/>
                </w:tcPr>
                <w:p w14:paraId="2DFC6CAD">
                  <w:pPr>
                    <w:wordWrap w:val="0"/>
                    <w:adjustRightInd w:val="0"/>
                    <w:snapToGrid w:val="0"/>
                    <w:spacing w:line="360" w:lineRule="auto"/>
                    <w:ind w:firstLine="210" w:firstLineChars="10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概算编制单位</w:t>
                  </w:r>
                </w:p>
              </w:tc>
            </w:tr>
          </w:tbl>
          <w:p w14:paraId="5B40FCC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79"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18</w:t>
            </w:r>
          </w:p>
        </w:tc>
        <w:tc>
          <w:tcPr>
            <w:tcW w:w="1732" w:type="dxa"/>
            <w:tcBorders>
              <w:top w:val="single" w:color="auto" w:sz="4" w:space="0"/>
              <w:left w:val="single" w:color="auto" w:sz="4" w:space="0"/>
              <w:bottom w:val="single" w:color="auto" w:sz="4" w:space="0"/>
              <w:right w:val="single" w:color="auto" w:sz="4" w:space="0"/>
            </w:tcBorders>
            <w:noWrap/>
            <w:vAlign w:val="center"/>
          </w:tcPr>
          <w:p w14:paraId="0B2E0E0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投标保证</w:t>
            </w:r>
          </w:p>
        </w:tc>
        <w:tc>
          <w:tcPr>
            <w:tcW w:w="7646"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贰拾伍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万元整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的投标保证。联合体投标的，由联合体牵头人缴纳。</w:t>
            </w:r>
          </w:p>
          <w:p w14:paraId="62094DE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19</w:t>
            </w:r>
          </w:p>
        </w:tc>
        <w:tc>
          <w:tcPr>
            <w:tcW w:w="1732"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投标有效期</w:t>
            </w:r>
          </w:p>
        </w:tc>
        <w:tc>
          <w:tcPr>
            <w:tcW w:w="7646"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本次招标的投标有效期为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w:t>
            </w:r>
          </w:p>
        </w:tc>
        <w:tc>
          <w:tcPr>
            <w:tcW w:w="1732" w:type="dxa"/>
            <w:tcBorders>
              <w:top w:val="single" w:color="auto" w:sz="4" w:space="0"/>
              <w:left w:val="single" w:color="auto" w:sz="4" w:space="0"/>
              <w:bottom w:val="single" w:color="auto" w:sz="4" w:space="0"/>
              <w:right w:val="single" w:color="auto" w:sz="4" w:space="0"/>
            </w:tcBorders>
            <w:noWrap/>
            <w:vAlign w:val="center"/>
          </w:tcPr>
          <w:p w14:paraId="312D36D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投标文件组成</w:t>
            </w:r>
          </w:p>
        </w:tc>
        <w:tc>
          <w:tcPr>
            <w:tcW w:w="7646"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投标标书、</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定标文件两</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个分册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21</w:t>
            </w:r>
          </w:p>
        </w:tc>
        <w:tc>
          <w:tcPr>
            <w:tcW w:w="1732"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评标委员会</w:t>
            </w:r>
          </w:p>
        </w:tc>
        <w:tc>
          <w:tcPr>
            <w:tcW w:w="7646"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22</w:t>
            </w:r>
          </w:p>
        </w:tc>
        <w:tc>
          <w:tcPr>
            <w:tcW w:w="1732"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评标方法</w:t>
            </w:r>
          </w:p>
        </w:tc>
        <w:tc>
          <w:tcPr>
            <w:tcW w:w="7646"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综合评估法</w:t>
            </w:r>
          </w:p>
        </w:tc>
      </w:tr>
      <w:tr w14:paraId="7DAF8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46B67B0">
            <w:pPr>
              <w:keepNext w:val="0"/>
              <w:keepLines w:val="0"/>
              <w:pageBreakBefore w:val="0"/>
              <w:wordWrap w:val="0"/>
              <w:overflowPunct/>
              <w:topLinePunct w:val="0"/>
              <w:bidi w:val="0"/>
              <w:spacing w:before="69" w:line="188" w:lineRule="auto"/>
              <w:ind w:left="209" w:leftChars="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23</w:t>
            </w:r>
          </w:p>
        </w:tc>
        <w:tc>
          <w:tcPr>
            <w:tcW w:w="1732" w:type="dxa"/>
            <w:tcBorders>
              <w:top w:val="single" w:color="auto" w:sz="4" w:space="0"/>
              <w:left w:val="single" w:color="auto" w:sz="4" w:space="0"/>
              <w:bottom w:val="single" w:color="auto" w:sz="4" w:space="0"/>
              <w:right w:val="single" w:color="auto" w:sz="4" w:space="0"/>
            </w:tcBorders>
            <w:noWrap/>
            <w:vAlign w:val="center"/>
          </w:tcPr>
          <w:p w14:paraId="74E36F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w:t>
            </w:r>
          </w:p>
        </w:tc>
        <w:tc>
          <w:tcPr>
            <w:tcW w:w="7646" w:type="dxa"/>
            <w:tcBorders>
              <w:top w:val="single" w:color="auto" w:sz="4" w:space="0"/>
              <w:left w:val="single" w:color="auto" w:sz="4" w:space="0"/>
              <w:bottom w:val="single" w:color="auto" w:sz="4" w:space="0"/>
              <w:right w:val="single" w:color="auto" w:sz="4" w:space="0"/>
            </w:tcBorders>
            <w:noWrap/>
            <w:vAlign w:val="center"/>
          </w:tcPr>
          <w:p w14:paraId="18FD358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u w:val="none"/>
                <w14:textFill>
                  <w14:solidFill>
                    <w14:schemeClr w14:val="tx1"/>
                  </w14:solidFill>
                </w14:textFill>
              </w:rPr>
              <w:t>定标委员会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组成人</w:t>
            </w:r>
            <w:r>
              <w:rPr>
                <w:rFonts w:hint="eastAsia" w:ascii="宋体" w:hAnsi="宋体" w:eastAsia="宋体" w:cs="宋体"/>
                <w:color w:val="000000" w:themeColor="text1"/>
                <w:sz w:val="21"/>
                <w:szCs w:val="21"/>
                <w:highlight w:val="none"/>
                <w:u w:val="none"/>
                <w14:textFill>
                  <w14:solidFill>
                    <w14:schemeClr w14:val="tx1"/>
                  </w14:solidFill>
                </w14:textFill>
              </w:rPr>
              <w:t>员为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7 </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4FB27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E2951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24</w:t>
            </w:r>
          </w:p>
        </w:tc>
        <w:tc>
          <w:tcPr>
            <w:tcW w:w="1732" w:type="dxa"/>
            <w:tcBorders>
              <w:top w:val="single" w:color="auto" w:sz="4" w:space="0"/>
              <w:left w:val="single" w:color="auto" w:sz="4" w:space="0"/>
              <w:bottom w:val="single" w:color="auto" w:sz="4" w:space="0"/>
              <w:right w:val="single" w:color="auto" w:sz="4" w:space="0"/>
            </w:tcBorders>
            <w:noWrap/>
            <w:vAlign w:val="center"/>
          </w:tcPr>
          <w:p w14:paraId="2BE2C0C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定标办法</w:t>
            </w:r>
          </w:p>
        </w:tc>
        <w:tc>
          <w:tcPr>
            <w:tcW w:w="7646" w:type="dxa"/>
            <w:tcBorders>
              <w:top w:val="single" w:color="auto" w:sz="4" w:space="0"/>
              <w:left w:val="single" w:color="auto" w:sz="4" w:space="0"/>
              <w:bottom w:val="single" w:color="auto" w:sz="4" w:space="0"/>
              <w:right w:val="single" w:color="auto" w:sz="4" w:space="0"/>
            </w:tcBorders>
            <w:noWrap/>
            <w:vAlign w:val="center"/>
          </w:tcPr>
          <w:p w14:paraId="481A7CE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本项目采用</w:t>
            </w:r>
            <w:r>
              <w:rPr>
                <w:rFonts w:hint="eastAsia" w:ascii="宋体" w:hAnsi="宋体" w:eastAsia="宋体" w:cs="宋体"/>
                <w:b/>
                <w:bCs w:val="0"/>
                <w:snapToGrid w:val="0"/>
                <w:color w:val="000000" w:themeColor="text1"/>
                <w:kern w:val="0"/>
                <w:sz w:val="21"/>
                <w:szCs w:val="21"/>
                <w:highlight w:val="none"/>
                <w:lang w:val="en-US" w:eastAsia="zh-CN"/>
                <w14:textFill>
                  <w14:solidFill>
                    <w14:schemeClr w14:val="tx1"/>
                  </w14:solidFill>
                </w14:textFill>
              </w:rPr>
              <w:t>评定分离</w:t>
            </w: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，应选定下列定标办法：</w:t>
            </w:r>
          </w:p>
          <w:p w14:paraId="55DA6F70">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☑票决数量法</w:t>
            </w:r>
          </w:p>
          <w:p w14:paraId="1715E15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□票决计分法</w:t>
            </w:r>
          </w:p>
          <w:p w14:paraId="161B4C7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□集体议事法</w:t>
            </w:r>
          </w:p>
          <w:p w14:paraId="619130D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□其他方法：</w:t>
            </w:r>
          </w:p>
        </w:tc>
      </w:tr>
      <w:tr w14:paraId="215A1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96F54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25</w:t>
            </w:r>
          </w:p>
        </w:tc>
        <w:tc>
          <w:tcPr>
            <w:tcW w:w="1732" w:type="dxa"/>
            <w:tcBorders>
              <w:top w:val="single" w:color="auto" w:sz="4" w:space="0"/>
              <w:left w:val="single" w:color="auto" w:sz="4" w:space="0"/>
              <w:bottom w:val="single" w:color="auto" w:sz="4" w:space="0"/>
              <w:right w:val="single" w:color="auto" w:sz="4" w:space="0"/>
            </w:tcBorders>
            <w:noWrap/>
            <w:vAlign w:val="center"/>
          </w:tcPr>
          <w:p w14:paraId="191A15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投标文件编制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snapToGrid w:val="0"/>
                <w:color w:val="000000" w:themeColor="text1"/>
                <w:kern w:val="0"/>
                <w:sz w:val="21"/>
                <w:szCs w:val="21"/>
                <w:highlight w:val="none"/>
                <w14:textFill>
                  <w14:solidFill>
                    <w14:schemeClr w14:val="tx1"/>
                  </w14:solidFill>
                </w14:textFill>
              </w:rPr>
              <w:t>份数要求</w:t>
            </w:r>
          </w:p>
        </w:tc>
        <w:tc>
          <w:tcPr>
            <w:tcW w:w="7646" w:type="dxa"/>
            <w:tcBorders>
              <w:top w:val="single" w:color="auto" w:sz="4" w:space="0"/>
              <w:left w:val="single" w:color="auto" w:sz="4" w:space="0"/>
              <w:bottom w:val="single" w:color="auto" w:sz="4" w:space="0"/>
              <w:right w:val="single" w:color="auto" w:sz="4" w:space="0"/>
            </w:tcBorders>
            <w:noWrap/>
            <w:vAlign w:val="center"/>
          </w:tcPr>
          <w:p w14:paraId="4F8274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投标人须上传（递交）投标文件：</w:t>
            </w:r>
          </w:p>
          <w:p w14:paraId="11797B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1、电子投标文件一套：</w:t>
            </w:r>
          </w:p>
          <w:p w14:paraId="0F991F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（1）投标标书1份；</w:t>
            </w:r>
          </w:p>
          <w:p w14:paraId="793CF74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（2）定标文件1份；</w:t>
            </w:r>
          </w:p>
          <w:p w14:paraId="2B1A00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2、对应评审要求的分项响应文件（如有）。</w:t>
            </w:r>
          </w:p>
          <w:p w14:paraId="0BBA9F9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4353901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注：投标人被确定为中标人后，应从交易系统打印两套纸质投标文件（含签名盖章页），内容同电子投标文件，在签订本招标项目承包合同前提交给招标人。（除招标文件约定外，纸质标书须与电子标书一致，不一致的以电子标书为准）。</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149EE2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732" w:type="dxa"/>
            <w:tcBorders>
              <w:top w:val="single" w:color="auto" w:sz="4" w:space="0"/>
              <w:left w:val="single" w:color="auto" w:sz="4" w:space="0"/>
              <w:bottom w:val="single" w:color="auto" w:sz="4" w:space="0"/>
              <w:right w:val="single" w:color="auto" w:sz="4" w:space="0"/>
            </w:tcBorders>
            <w:noWrap/>
            <w:vAlign w:val="center"/>
          </w:tcPr>
          <w:p w14:paraId="792787B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安全文明施工</w:t>
            </w:r>
          </w:p>
        </w:tc>
        <w:tc>
          <w:tcPr>
            <w:tcW w:w="7646" w:type="dxa"/>
            <w:tcBorders>
              <w:top w:val="single" w:color="auto" w:sz="4" w:space="0"/>
              <w:left w:val="single" w:color="auto" w:sz="4" w:space="0"/>
              <w:bottom w:val="single" w:color="auto" w:sz="4" w:space="0"/>
              <w:right w:val="single" w:color="auto" w:sz="4" w:space="0"/>
            </w:tcBorders>
            <w:noWrap/>
            <w:vAlign w:val="center"/>
          </w:tcPr>
          <w:p w14:paraId="4C98B9C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96DD9E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732" w:type="dxa"/>
            <w:tcBorders>
              <w:top w:val="single" w:color="auto" w:sz="4" w:space="0"/>
              <w:left w:val="single" w:color="auto" w:sz="4" w:space="0"/>
              <w:bottom w:val="single" w:color="auto" w:sz="4" w:space="0"/>
              <w:right w:val="single" w:color="auto" w:sz="4" w:space="0"/>
            </w:tcBorders>
            <w:noWrap/>
            <w:vAlign w:val="center"/>
          </w:tcPr>
          <w:p w14:paraId="5F408FC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房屋建筑工程</w:t>
            </w:r>
          </w:p>
          <w:p w14:paraId="2DEFDAE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绿色建筑标准</w:t>
            </w:r>
          </w:p>
        </w:tc>
        <w:tc>
          <w:tcPr>
            <w:tcW w:w="7646" w:type="dxa"/>
            <w:tcBorders>
              <w:top w:val="single" w:color="auto" w:sz="4" w:space="0"/>
              <w:left w:val="single" w:color="auto" w:sz="4" w:space="0"/>
              <w:bottom w:val="single" w:color="auto" w:sz="4" w:space="0"/>
              <w:right w:val="single" w:color="auto" w:sz="4" w:space="0"/>
            </w:tcBorders>
            <w:noWrap/>
            <w:vAlign w:val="center"/>
          </w:tcPr>
          <w:p w14:paraId="70EAB27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纳入绿色建设实施范围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66"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8DB0188">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p>
        </w:tc>
        <w:tc>
          <w:tcPr>
            <w:tcW w:w="1732" w:type="dxa"/>
            <w:tcBorders>
              <w:top w:val="single" w:color="auto" w:sz="4" w:space="0"/>
              <w:left w:val="single" w:color="auto" w:sz="4" w:space="0"/>
              <w:bottom w:val="single" w:color="auto" w:sz="4" w:space="0"/>
              <w:right w:val="single" w:color="auto" w:sz="4" w:space="0"/>
            </w:tcBorders>
            <w:noWrap/>
            <w:vAlign w:val="center"/>
          </w:tcPr>
          <w:p w14:paraId="7387BCD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履约保证金</w:t>
            </w:r>
          </w:p>
        </w:tc>
        <w:tc>
          <w:tcPr>
            <w:tcW w:w="7646" w:type="dxa"/>
            <w:tcBorders>
              <w:top w:val="single" w:color="auto" w:sz="4" w:space="0"/>
              <w:left w:val="single" w:color="auto" w:sz="4" w:space="0"/>
              <w:bottom w:val="single" w:color="auto" w:sz="4" w:space="0"/>
              <w:right w:val="single" w:color="auto" w:sz="4" w:space="0"/>
            </w:tcBorders>
            <w:noWrap/>
            <w:vAlign w:val="center"/>
          </w:tcPr>
          <w:p w14:paraId="26F96C4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履约保证金为中标价的5%（在领取中标通知书之日起5个工作日内、签订合同前缴纳，组成联合体时，由联合体牵头人缴纳）。</w:t>
            </w:r>
          </w:p>
          <w:p w14:paraId="6BC9342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的形式包括履约保证金、履约保证金担保函两种，由中标人自主选择，保函有效期不得少于本工程总工期，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FAC644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732" w:type="dxa"/>
            <w:tcBorders>
              <w:top w:val="single" w:color="auto" w:sz="4" w:space="0"/>
              <w:left w:val="single" w:color="auto" w:sz="4" w:space="0"/>
              <w:bottom w:val="single" w:color="auto" w:sz="4" w:space="0"/>
              <w:right w:val="single" w:color="auto" w:sz="4" w:space="0"/>
            </w:tcBorders>
            <w:noWrap/>
            <w:vAlign w:val="center"/>
          </w:tcPr>
          <w:p w14:paraId="3053B38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工程款支付</w:t>
            </w:r>
          </w:p>
        </w:tc>
        <w:tc>
          <w:tcPr>
            <w:tcW w:w="7646" w:type="dxa"/>
            <w:tcBorders>
              <w:top w:val="single" w:color="auto" w:sz="4" w:space="0"/>
              <w:left w:val="single" w:color="auto" w:sz="4" w:space="0"/>
              <w:bottom w:val="single" w:color="auto" w:sz="4" w:space="0"/>
              <w:right w:val="single" w:color="auto" w:sz="4" w:space="0"/>
            </w:tcBorders>
            <w:noWrap/>
            <w:vAlign w:val="center"/>
          </w:tcPr>
          <w:p w14:paraId="1E9EE51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7F70250">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p>
        </w:tc>
        <w:tc>
          <w:tcPr>
            <w:tcW w:w="1732" w:type="dxa"/>
            <w:tcBorders>
              <w:top w:val="single" w:color="auto" w:sz="4" w:space="0"/>
              <w:left w:val="single" w:color="auto" w:sz="4" w:space="0"/>
              <w:bottom w:val="single" w:color="auto" w:sz="4" w:space="0"/>
              <w:right w:val="single" w:color="auto" w:sz="4" w:space="0"/>
            </w:tcBorders>
            <w:noWrap/>
            <w:vAlign w:val="center"/>
          </w:tcPr>
          <w:p w14:paraId="1B906B9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工程质量保证金</w:t>
            </w:r>
          </w:p>
        </w:tc>
        <w:tc>
          <w:tcPr>
            <w:tcW w:w="7646" w:type="dxa"/>
            <w:tcBorders>
              <w:top w:val="single" w:color="auto" w:sz="4" w:space="0"/>
              <w:left w:val="single" w:color="auto" w:sz="4" w:space="0"/>
              <w:bottom w:val="single" w:color="auto" w:sz="4" w:space="0"/>
              <w:right w:val="single" w:color="auto" w:sz="4" w:space="0"/>
            </w:tcBorders>
            <w:noWrap/>
            <w:vAlign w:val="center"/>
          </w:tcPr>
          <w:p w14:paraId="4A30AB3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工程质量保证金总金额为结算价的3%，从工程竣工验收合格之日起计满2年。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3"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CE6E3D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p>
        </w:tc>
        <w:tc>
          <w:tcPr>
            <w:tcW w:w="1732" w:type="dxa"/>
            <w:tcBorders>
              <w:top w:val="single" w:color="auto" w:sz="4" w:space="0"/>
              <w:left w:val="single" w:color="auto" w:sz="4" w:space="0"/>
              <w:bottom w:val="single" w:color="auto" w:sz="4" w:space="0"/>
              <w:right w:val="single" w:color="auto" w:sz="4" w:space="0"/>
            </w:tcBorders>
            <w:noWrap/>
            <w:vAlign w:val="center"/>
          </w:tcPr>
          <w:p w14:paraId="255329DD">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安全生产措施费</w:t>
            </w:r>
          </w:p>
        </w:tc>
        <w:tc>
          <w:tcPr>
            <w:tcW w:w="7646" w:type="dxa"/>
            <w:tcBorders>
              <w:top w:val="single" w:color="auto" w:sz="4" w:space="0"/>
              <w:left w:val="single" w:color="auto" w:sz="4" w:space="0"/>
              <w:bottom w:val="single" w:color="auto" w:sz="4" w:space="0"/>
              <w:right w:val="single" w:color="auto" w:sz="4" w:space="0"/>
            </w:tcBorders>
            <w:noWrap/>
            <w:vAlign w:val="center"/>
          </w:tcPr>
          <w:p w14:paraId="5310C6D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按《建设工程工程量清单计价标准》（GB/T50500-2024）、《广东省建设工程计价依据（2018）》《关于明确建筑工程安全防护、文明施工措施费用具体管理办法的通知》（韶市建【2015】26号）等最新规定执行。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p>
        </w:tc>
        <w:tc>
          <w:tcPr>
            <w:tcW w:w="1732"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招标代理费</w:t>
            </w:r>
          </w:p>
        </w:tc>
        <w:tc>
          <w:tcPr>
            <w:tcW w:w="7646"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代理服务费以中标金额为计价基数，参照《招标代理服务收费管理暂行办法》计价格〔2002〕1980号、《关于降低部分建设项目收费标准规范收费行为等有关问题的通知》(发改价格[2011]534号)相关规定计算，并下浮20%作为招标代理服务费，该招标代理服务费由中标人支付。</w:t>
            </w:r>
          </w:p>
        </w:tc>
      </w:tr>
      <w:tr w14:paraId="38CD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3FF2C">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5931">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招标人</w:t>
            </w:r>
          </w:p>
          <w:p w14:paraId="79889FB5">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9F73">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仁化县融鑫文化旅游投资有限公司</w:t>
            </w:r>
          </w:p>
          <w:p w14:paraId="63134BE0">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办公地址：广东省韶关市仁化县丹霞街道高坪新村98-11号</w:t>
            </w:r>
          </w:p>
          <w:p w14:paraId="4BAE6E62">
            <w:pPr>
              <w:wordWrap w:val="0"/>
              <w:adjustRightInd w:val="0"/>
              <w:snapToGrid w:val="0"/>
              <w:spacing w:line="360" w:lineRule="auto"/>
              <w:ind w:firstLine="210" w:firstLineChars="100"/>
              <w:jc w:val="left"/>
              <w:rPr>
                <w:rFonts w:hint="default"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谭先生</w:t>
            </w:r>
          </w:p>
          <w:p w14:paraId="04AD36B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18316023586</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F5432">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招标代理机构</w:t>
            </w:r>
          </w:p>
          <w:p w14:paraId="3E0AFF13">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260F2">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单位名称：韶关市城监项目管理有限公司</w:t>
            </w:r>
          </w:p>
          <w:p w14:paraId="21E6B29A">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办公地址：韶关市浈江区五里亭良村商贸城E栋6楼601</w:t>
            </w:r>
          </w:p>
          <w:p w14:paraId="374DAC29">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联系人：骆工</w:t>
            </w:r>
          </w:p>
          <w:p w14:paraId="70CF813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联系电话： 0751-8989684</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4E1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交易场所</w:t>
            </w:r>
          </w:p>
          <w:p w14:paraId="5FEA9B68">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4662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单位名称：韶关市公共资源交易中心仁化分中心</w:t>
            </w:r>
          </w:p>
          <w:p w14:paraId="5A6EFA0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办公地址：仁化县丹霞大道228号1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楼韶关市公共资源交易中心仁化分中心</w:t>
            </w:r>
          </w:p>
          <w:p w14:paraId="1F7A3A3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联系人（部门）：吴工</w:t>
            </w:r>
          </w:p>
          <w:p w14:paraId="62A9CE52">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联系电话：0751—6354032</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04"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4ED4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行政监督部门</w:t>
            </w:r>
          </w:p>
          <w:p w14:paraId="7CBC25B8">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72F5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单位名称：仁化县住房和城乡建设管理局</w:t>
            </w:r>
          </w:p>
          <w:p w14:paraId="319F3FC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办公地址：仁化县丹霞大道228号仁化县行政服务中心6楼</w:t>
            </w:r>
          </w:p>
          <w:p w14:paraId="024CAFC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联系人（部门）：建筑业监督管理股</w:t>
            </w:r>
          </w:p>
          <w:p w14:paraId="25D0268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联系电话：0751-6354573</w:t>
            </w:r>
          </w:p>
        </w:tc>
      </w:tr>
      <w:bookmarkEnd w:id="6"/>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 w:name="_Toc122671103"/>
      <w:bookmarkStart w:id="8" w:name="_Toc122859103"/>
      <w:bookmarkStart w:id="9" w:name="_Toc12276994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7"/>
      <w:bookmarkEnd w:id="8"/>
      <w:bookmarkEnd w:id="9"/>
      <w:bookmarkStart w:id="10" w:name="_Toc28775"/>
      <w:bookmarkStart w:id="11" w:name="_Toc7105"/>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10"/>
      <w:bookmarkEnd w:id="11"/>
    </w:p>
    <w:tbl>
      <w:tblPr>
        <w:tblStyle w:val="21"/>
        <w:tblW w:w="103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40"/>
        <w:gridCol w:w="1726"/>
        <w:gridCol w:w="8133"/>
      </w:tblGrid>
      <w:tr w14:paraId="28105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593C325A">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244C667F">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招标公告</w:t>
            </w:r>
          </w:p>
          <w:p w14:paraId="06F52756">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发布时间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18A82632">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608F5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5BB7FFD">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2</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BF1A24C">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获取招标文件截止时间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13F1109">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01EB01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0C816B26">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3</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0F646321">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网上提问</w:t>
            </w:r>
          </w:p>
          <w:p w14:paraId="0E14C4C3">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5546C40">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w:t>
            </w:r>
          </w:p>
        </w:tc>
      </w:tr>
      <w:tr w14:paraId="16A3C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6AD420F7">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4</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6A2B5994">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网上答疑</w:t>
            </w:r>
          </w:p>
          <w:p w14:paraId="1C7B813E">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A39D692">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分至</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2026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w:t>
            </w:r>
          </w:p>
        </w:tc>
      </w:tr>
      <w:tr w14:paraId="1E97B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7E6CF477">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5</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04AE71E6">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投标保证缴</w:t>
            </w:r>
          </w:p>
          <w:p w14:paraId="6E0B8FBD">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纳截止时间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771D8C7E">
            <w:pPr>
              <w:pStyle w:val="41"/>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投标保证金到账截止时间：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p w14:paraId="08D15D8C">
            <w:pPr>
              <w:pStyle w:val="41"/>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投标保证担保上传截止时间：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p w14:paraId="4913E1FC">
            <w:pPr>
              <w:pStyle w:val="19"/>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投标保证保险投保截止时间：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tc>
      </w:tr>
      <w:tr w14:paraId="0FF99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8CE1411">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6</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9B3B28D">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电子投标</w:t>
            </w:r>
          </w:p>
          <w:p w14:paraId="77A8CAAD">
            <w:pPr>
              <w:pStyle w:val="41"/>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876FBEA">
            <w:pPr>
              <w:pStyle w:val="19"/>
              <w:wordWrap w:val="0"/>
              <w:adjustRightInd w:val="0"/>
              <w:snapToGrid w:val="0"/>
              <w:spacing w:line="400" w:lineRule="exact"/>
              <w:ind w:firstLine="110" w:firstLineChars="50"/>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1D7A9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51C2D949">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7</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8EDEAC3">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BB9E5B2">
            <w:pPr>
              <w:pStyle w:val="19"/>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67E0A7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1923E05">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8</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302BDFCA">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投标相关资料（如有）递交地点</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7C8A753B">
            <w:pPr>
              <w:pStyle w:val="41"/>
              <w:keepNext w:val="0"/>
              <w:keepLines w:val="0"/>
              <w:pageBreakBefore w:val="0"/>
              <w:widowControl w:val="0"/>
              <w:kinsoku/>
              <w:wordWrap w:val="0"/>
              <w:overflowPunct/>
              <w:topLinePunct w:val="0"/>
              <w:autoSpaceDE/>
              <w:autoSpaceDN/>
              <w:bidi w:val="0"/>
              <w:adjustRightInd w:val="0"/>
              <w:snapToGrid w:val="0"/>
              <w:spacing w:line="360" w:lineRule="auto"/>
              <w:ind w:left="120" w:leftChars="5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u w:val="none"/>
                <w:lang w:val="en-US" w:eastAsia="zh-CN" w:bidi="ar-SA"/>
                <w14:textFill>
                  <w14:solidFill>
                    <w14:schemeClr w14:val="tx1"/>
                  </w14:solidFill>
                </w14:textFill>
              </w:rPr>
              <w:t>递交场所：韶关市公共资源交易中心仁化分中心</w:t>
            </w:r>
          </w:p>
          <w:p w14:paraId="0FED30E2">
            <w:pPr>
              <w:pStyle w:val="41"/>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地址</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仁化县丹霞大道228号11楼韶关市公共资源交易中心仁化分中心</w:t>
            </w:r>
            <w:r>
              <w:rPr>
                <w:rFonts w:hint="eastAsia" w:ascii="宋体" w:hAnsi="宋体" w:eastAsia="宋体" w:cs="宋体"/>
                <w:b w:val="0"/>
                <w:bCs/>
                <w:color w:val="000000" w:themeColor="text1"/>
                <w:sz w:val="22"/>
                <w:szCs w:val="22"/>
                <w:highlight w:val="none"/>
                <w14:textFill>
                  <w14:solidFill>
                    <w14:schemeClr w14:val="tx1"/>
                  </w14:solidFill>
                </w14:textFill>
              </w:rPr>
              <w:t>，具体房间号以当日现场通知为准。</w:t>
            </w:r>
          </w:p>
        </w:tc>
      </w:tr>
      <w:tr w14:paraId="15610B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253A7F0F">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9</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7CB64555">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F72838B">
            <w:pPr>
              <w:pStyle w:val="19"/>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2D2F9D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0D64A6D3">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10</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2D4F8207">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开标地点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96980D5">
            <w:pPr>
              <w:pStyle w:val="19"/>
              <w:keepNext w:val="0"/>
              <w:keepLines w:val="0"/>
              <w:pageBreakBefore w:val="0"/>
              <w:widowControl w:val="0"/>
              <w:kinsoku/>
              <w:wordWrap w:val="0"/>
              <w:overflowPunct/>
              <w:topLinePunct w:val="0"/>
              <w:autoSpaceDE/>
              <w:autoSpaceDN/>
              <w:bidi w:val="0"/>
              <w:adjustRightInd w:val="0"/>
              <w:snapToGrid w:val="0"/>
              <w:spacing w:line="360" w:lineRule="auto"/>
              <w:ind w:left="120" w:leftChars="50"/>
              <w:jc w:val="left"/>
              <w:textAlignment w:val="auto"/>
              <w:outlineLvl w:val="9"/>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u w:val="none"/>
                <w:lang w:val="en-US" w:eastAsia="zh-CN" w:bidi="ar-SA"/>
                <w14:textFill>
                  <w14:solidFill>
                    <w14:schemeClr w14:val="tx1"/>
                  </w14:solidFill>
                </w14:textFill>
              </w:rPr>
              <w:t>开标场所：韶关市公共资源交易中心仁化分中心</w:t>
            </w:r>
          </w:p>
          <w:p w14:paraId="06EEFFE9">
            <w:pPr>
              <w:pStyle w:val="41"/>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地址</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仁化县丹霞大道228号11楼韶关市公共资源交易中心仁化分中心</w:t>
            </w:r>
            <w:r>
              <w:rPr>
                <w:rFonts w:hint="eastAsia" w:ascii="宋体" w:hAnsi="宋体" w:eastAsia="宋体" w:cs="宋体"/>
                <w:b w:val="0"/>
                <w:bCs/>
                <w:color w:val="000000" w:themeColor="text1"/>
                <w:sz w:val="22"/>
                <w:szCs w:val="22"/>
                <w:highlight w:val="none"/>
                <w14:textFill>
                  <w14:solidFill>
                    <w14:schemeClr w14:val="tx1"/>
                  </w14:solidFill>
                </w14:textFill>
              </w:rPr>
              <w:t>，具体房间号以当日现场通知为准。</w:t>
            </w:r>
          </w:p>
        </w:tc>
      </w:tr>
      <w:tr w14:paraId="73BCF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1"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A39D641">
            <w:pPr>
              <w:pStyle w:val="41"/>
              <w:widowControl/>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11</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5F81C7FF">
            <w:pPr>
              <w:adjustRightInd w:val="0"/>
              <w:snapToGrid w:val="0"/>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备注</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1C9DE124">
            <w:pPr>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0A4BECE">
      <w:pPr>
        <w:pStyle w:val="4"/>
        <w:wordWrap w:val="0"/>
        <w:autoSpaceDE/>
        <w:autoSpaceDN/>
        <w:snapToGrid w:val="0"/>
        <w:spacing w:after="260" w:line="44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12" w:name="_Hlt69669159"/>
      <w:bookmarkEnd w:id="12"/>
      <w:bookmarkStart w:id="13" w:name="_Toc16648"/>
      <w:bookmarkStart w:id="14" w:name="_Toc2685"/>
      <w:bookmarkStart w:id="15" w:name="_Hlt69698754"/>
      <w:bookmarkStart w:id="16" w:name="_Hlt69698705"/>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7" w:name="_Hlt87793819"/>
      <w:bookmarkEnd w:id="1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3"/>
      <w:bookmarkEnd w:id="14"/>
    </w:p>
    <w:bookmarkEnd w:id="15"/>
    <w:bookmarkEnd w:id="16"/>
    <w:p w14:paraId="64B54B44">
      <w:pPr>
        <w:pStyle w:val="7"/>
        <w:spacing w:line="400" w:lineRule="exact"/>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p>
    <w:p w14:paraId="6FFF52E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18" w:name="_Hlt119991399"/>
      <w:bookmarkEnd w:id="18"/>
      <w:bookmarkStart w:id="19" w:name="_Hlt87948285"/>
      <w:bookmarkEnd w:id="19"/>
      <w:bookmarkStart w:id="20" w:name="_Hlt109358474"/>
      <w:bookmarkEnd w:id="20"/>
      <w:bookmarkStart w:id="21" w:name="_Hlt74474735"/>
      <w:bookmarkEnd w:id="21"/>
      <w:bookmarkStart w:id="22" w:name="_Hlt78795222"/>
      <w:bookmarkEnd w:id="22"/>
      <w:bookmarkStart w:id="23" w:name="_Toc31976"/>
      <w:bookmarkStart w:id="24" w:name="_Toc4081"/>
      <w:bookmarkStart w:id="25" w:name="_Toc574"/>
      <w:bookmarkStart w:id="26" w:name="_Toc30732"/>
      <w:bookmarkStart w:id="27" w:name="_Toc25252"/>
      <w:bookmarkStart w:id="28" w:name="_Toc23054"/>
      <w:bookmarkStart w:id="29" w:name="_Toc18453"/>
      <w:bookmarkStart w:id="30" w:name="_Toc24563"/>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广东省仁化县全域旅游基础设施建设项目（二期）—丹霞青湖塘村新农村经济带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仁化县发展改革和政务数据局</w:t>
      </w:r>
      <w:r>
        <w:rPr>
          <w:rFonts w:hint="eastAsia"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仁化县发展改革和</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政务数据</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局</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关于</w:t>
      </w:r>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广东省仁化县全域旅游基础设施建设项目（二期）项目可行性研究报告的批复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仁发改和政数投审〔2025〕76号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、《仁化县发展改革和</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政务数据</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局</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关于广东省仁化县全域旅游基础设施建设项目（二期）—丹霞青湖塘村新农村经济带初步设计概算的批复</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仁发改和政数投审〔2026〕24号</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）、《仁化县发展改革和政务数据局关于广东省仁化县全域旅游基础设施建设项目</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（二期）—丹霞青湖塘村新农村经济带</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项目变更的复函》（</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仁发改和政数投审〔2026〕33号</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250</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-440224-04-01-</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996668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文化广电旅游体育局</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上级资金和县级财政资金安排解决</w:t>
      </w:r>
      <w:r>
        <w:rPr>
          <w:rFonts w:hint="eastAsia" w:ascii="宋体" w:hAnsi="宋体" w:eastAsia="宋体" w:cs="宋体"/>
          <w:snapToGrid w:val="0"/>
          <w:color w:val="000000" w:themeColor="text1"/>
          <w:kern w:val="0"/>
          <w:sz w:val="24"/>
          <w:highlight w:val="none"/>
          <w:u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仁化县融鑫文化旅游投资有限公司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eastAsia="zh-CN"/>
          <w14:textFill>
            <w14:solidFill>
              <w14:schemeClr w14:val="tx1"/>
            </w14:solidFill>
          </w14:textFill>
        </w:rPr>
        <w:t>韶关市城监项目管理有限公司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工程</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勘察设计、施工总承包</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40"/>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31" w:name="_Toc26102"/>
      <w:bookmarkStart w:id="32" w:name="_Toc18737"/>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23"/>
      <w:bookmarkEnd w:id="24"/>
      <w:bookmarkEnd w:id="25"/>
      <w:bookmarkEnd w:id="26"/>
      <w:bookmarkEnd w:id="27"/>
      <w:bookmarkEnd w:id="28"/>
      <w:bookmarkEnd w:id="29"/>
      <w:bookmarkEnd w:id="30"/>
      <w:bookmarkEnd w:id="31"/>
      <w:bookmarkEnd w:id="32"/>
    </w:p>
    <w:p w14:paraId="20A82846">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仁化县丹霞街道。</w:t>
      </w:r>
    </w:p>
    <w:p w14:paraId="5CA903A7">
      <w:pPr>
        <w:pStyle w:val="38"/>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主要是道路部分新建约1公里沥青道路、1500米人行道；新建混凝土挡土墙、交通标线等；给水部分新做约1000米DN150内衬塑复合钢管、预留约900米DN150温泉用聚氨酯地埋热水保温管、雨污水部分敷设约1000米DN600的HDPE双壁波纹管及500×800砖砌水渠、敷设约400米φ2000钢筋混凝土涵管、50米φ1000钢筋混凝土涵管；电力部分预埋约7300米管道、通信部分预埋约6300米管道等。</w:t>
      </w:r>
    </w:p>
    <w:p w14:paraId="2A89E065">
      <w:pPr>
        <w:pStyle w:val="38"/>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33" w:name="_Toc20999"/>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项目概算总投资1993.34万元，其中工程费用1800.19万元，工程建设其他费用173.42万元，预备费用19.73万元。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33"/>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8"/>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34" w:name="_Toc106184808"/>
    </w:p>
    <w:p w14:paraId="3EB48DDC">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5" w:name="_Toc7700"/>
      <w:bookmarkStart w:id="36" w:name="_Toc17359"/>
      <w:bookmarkStart w:id="37" w:name="_Toc22550"/>
      <w:bookmarkStart w:id="38" w:name="_Toc32400"/>
      <w:bookmarkStart w:id="39" w:name="_Toc12190"/>
      <w:bookmarkStart w:id="40" w:name="_Toc14958"/>
      <w:bookmarkStart w:id="41" w:name="_Toc19213"/>
      <w:bookmarkStart w:id="42" w:name="_Toc6635"/>
      <w:bookmarkStart w:id="43" w:name="_Toc18851"/>
      <w:bookmarkStart w:id="44" w:name="_Toc12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34"/>
      <w:bookmarkEnd w:id="35"/>
      <w:bookmarkEnd w:id="36"/>
      <w:bookmarkEnd w:id="37"/>
      <w:bookmarkEnd w:id="38"/>
      <w:bookmarkEnd w:id="39"/>
      <w:bookmarkEnd w:id="40"/>
      <w:bookmarkEnd w:id="41"/>
      <w:bookmarkEnd w:id="42"/>
      <w:bookmarkEnd w:id="43"/>
      <w:bookmarkEnd w:id="44"/>
    </w:p>
    <w:p w14:paraId="5E8B1601">
      <w:pPr>
        <w:pStyle w:val="38"/>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45" w:name="_Hlt91408212"/>
      <w:bookmarkEnd w:id="45"/>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bookmarkStart w:id="46" w:name="_Toc7799"/>
      <w:bookmarkStart w:id="47" w:name="_Toc13988"/>
      <w:bookmarkStart w:id="48" w:name="_Toc4645"/>
      <w:bookmarkStart w:id="49" w:name="_Toc2217"/>
      <w:bookmarkStart w:id="50" w:name="_Toc26845"/>
      <w:bookmarkStart w:id="51" w:name="_Toc27886"/>
      <w:bookmarkStart w:id="52" w:name="_Toc708"/>
      <w:bookmarkStart w:id="53" w:name="_Toc1366"/>
      <w:bookmarkStart w:id="54" w:name="_Toc2350"/>
      <w:bookmarkStart w:id="55" w:name="_Toc32739"/>
      <w:bookmarkStart w:id="56" w:name="_Toc21803"/>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bookmarkEnd w:id="46"/>
    <w:bookmarkEnd w:id="47"/>
    <w:bookmarkEnd w:id="48"/>
    <w:p w14:paraId="57DACB43">
      <w:pPr>
        <w:pStyle w:val="38"/>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1）勘察部分：初步勘察、详细勘察（包括岩土工程勘察、地形测量等）。</w:t>
      </w:r>
    </w:p>
    <w:p w14:paraId="703F1815">
      <w:pPr>
        <w:pStyle w:val="38"/>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确保项目顺利实施的报建、报批、施工等所需的所有建安工程等设计文件。包括但不限于：初步设计及概算、施工图设计</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p w14:paraId="0C806472">
      <w:pPr>
        <w:pStyle w:val="38"/>
        <w:ind w:firstLine="241" w:firstLineChars="100"/>
        <w:jc w:val="left"/>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p>
    <w:p w14:paraId="5A9B7D91">
      <w:pPr>
        <w:pStyle w:val="38"/>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）施工部分：设计文件及工程量清单范围内的所有工程及配套工程、设施等的施工</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p w14:paraId="4C6ED494">
      <w:pPr>
        <w:pStyle w:val="38"/>
        <w:keepNext/>
        <w:keepLines/>
        <w:ind w:firstLineChars="200"/>
        <w:jc w:val="both"/>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3</w:t>
      </w:r>
      <w:bookmarkStart w:id="57" w:name="_Hlt66187826"/>
      <w:bookmarkEnd w:id="57"/>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、工期</w:t>
      </w:r>
      <w:bookmarkEnd w:id="49"/>
      <w:bookmarkEnd w:id="50"/>
      <w:bookmarkEnd w:id="51"/>
      <w:bookmarkEnd w:id="52"/>
      <w:bookmarkEnd w:id="53"/>
      <w:bookmarkEnd w:id="54"/>
      <w:bookmarkEnd w:id="55"/>
      <w:bookmarkEnd w:id="56"/>
    </w:p>
    <w:p w14:paraId="1D49252B">
      <w:pPr>
        <w:pStyle w:val="38"/>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本项目勘察设计、施工总工期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180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60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8"/>
        <w:ind w:firstLine="482"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8"/>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8" w:name="_Toc11872"/>
    </w:p>
    <w:p w14:paraId="1FEB7EBD">
      <w:pPr>
        <w:pStyle w:val="40"/>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9" w:name="_Toc13379"/>
      <w:bookmarkStart w:id="60" w:name="_Toc24539"/>
      <w:bookmarkStart w:id="61" w:name="_Toc3312"/>
      <w:bookmarkStart w:id="62" w:name="_Toc12162"/>
      <w:bookmarkStart w:id="63" w:name="_Toc2499"/>
      <w:bookmarkStart w:id="64" w:name="_Toc8255"/>
      <w:bookmarkStart w:id="65" w:name="_Toc1889"/>
      <w:bookmarkStart w:id="66" w:name="_Toc30034"/>
      <w:bookmarkStart w:id="67" w:name="_Toc1964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8"/>
      <w:bookmarkEnd w:id="59"/>
      <w:bookmarkEnd w:id="60"/>
      <w:bookmarkEnd w:id="61"/>
      <w:bookmarkEnd w:id="62"/>
      <w:bookmarkEnd w:id="63"/>
      <w:bookmarkEnd w:id="64"/>
      <w:bookmarkEnd w:id="65"/>
      <w:bookmarkEnd w:id="66"/>
      <w:bookmarkEnd w:id="67"/>
      <w:bookmarkStart w:id="68" w:name="_Hlt74496495"/>
      <w:bookmarkEnd w:id="68"/>
    </w:p>
    <w:p w14:paraId="73D49CEE">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本次招标接受联合体投标，联合体以一个投标人的身份共同投标。</w:t>
      </w:r>
    </w:p>
    <w:p w14:paraId="27F00CF8">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个。</w:t>
      </w:r>
    </w:p>
    <w:p w14:paraId="1226EA21">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2F046095">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4.1.3</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3020D0">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4.1.4</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联合体各方不得再以自己名义单独或参加其他联合体在本招标项目中投标，否则各相关投标均无效。</w:t>
      </w:r>
    </w:p>
    <w:p w14:paraId="1F7E3C0F">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资质要求</w:t>
      </w:r>
    </w:p>
    <w:p w14:paraId="5D0EAD91">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4.2.1</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投标人须具备独立法人资格，按国家法律经营。</w:t>
      </w:r>
    </w:p>
    <w:p w14:paraId="205647D5">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投标人须持有行政主管部门颁发的企业资质证书。</w:t>
      </w:r>
    </w:p>
    <w:p w14:paraId="36F8CD9E">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4.2.3</w:t>
      </w:r>
      <w:r>
        <w:rPr>
          <w:rFonts w:hint="eastAsia" w:ascii="宋体" w:hAnsi="宋体" w:eastAsia="宋体" w:cs="宋体"/>
          <w:color w:val="000000" w:themeColor="text1"/>
          <w:sz w:val="24"/>
          <w:szCs w:val="24"/>
          <w:highlight w:val="none"/>
          <w:lang w:val="zh-CN"/>
          <w14:textFill>
            <w14:solidFill>
              <w14:schemeClr w14:val="tx1"/>
            </w14:solidFill>
          </w14:textFill>
        </w:rPr>
        <w:t>投标人须具备以下资质：参加投标的投标人可以是单一独立法人或由不超过3家独立法人组成的联合体（必须注明其中一家为牵头人），单一独立法人必须至少同时具备以下①～③资质，组成联合体投标的，联合后必须至少具备以下①～③资质，联合体牵头人必须为①，由同一专业的单位组成的联合体，按照资质等级较低的单位确定资质等级：</w:t>
      </w:r>
    </w:p>
    <w:p w14:paraId="606D32C8">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级）资质，并获得安全生产许可证的独立法人。</w:t>
      </w:r>
    </w:p>
    <w:p w14:paraId="463EBBFF">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 勘察资质：勘察企业必须具备行政主管部门颁发的以下资质之一：</w:t>
      </w:r>
    </w:p>
    <w:p w14:paraId="076E9C1E">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（1）具备工程勘察综合类甲级资质；</w:t>
      </w:r>
    </w:p>
    <w:p w14:paraId="146705EA">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（2）具备工程勘察专业（岩土工程）乙级以上（含乙级）资质；</w:t>
      </w:r>
    </w:p>
    <w:p w14:paraId="051699A3">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（3）具备工程勘察专业（岩土工程（岩土工程勘察））乙级以上（含乙级）资质。</w:t>
      </w:r>
    </w:p>
    <w:p w14:paraId="1A791F00">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注：勘察企业若不具备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测量或测绘</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资质的，中标后必须在招标人的监督管理下委托具备相应资质及能力的单位来完成该部分工作，费用已包含在本次招标费用中。</w:t>
      </w:r>
    </w:p>
    <w:p w14:paraId="726FD639">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③设计企业：必须具备建设行政主管部门颁发的以下资质之一：</w:t>
      </w:r>
    </w:p>
    <w:p w14:paraId="1A1B7AB0">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1、工程设计综合甲级资质；</w:t>
      </w:r>
    </w:p>
    <w:p w14:paraId="5B6E4F85">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2、工程设计市政行业乙级以上（含乙级）资质；</w:t>
      </w:r>
    </w:p>
    <w:p w14:paraId="5362B1E2">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3、工程设计市政行业(燃气工程、轨道交通工程除外)乙级以上（含乙级）资质；</w:t>
      </w:r>
    </w:p>
    <w:p w14:paraId="4F1B14CE">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4、工程设计市政行业道路工程专业乙级以上（含乙级）资质及工程设计市政行业排水工程专业乙级以上（含乙级）资质。</w:t>
      </w:r>
    </w:p>
    <w:p w14:paraId="5F2523EB">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注：设计企业若不具备施工图审查资质的，中标后必须在招标人的监督管理下委托具备相应资质及能力的单位来完成该部分工作，费用已包含在本次招标费用中。</w:t>
      </w:r>
    </w:p>
    <w:p w14:paraId="08657618">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strike/>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4.2.4</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E64BD9C">
      <w:pPr>
        <w:pStyle w:val="41"/>
        <w:wordWrap w:val="0"/>
        <w:adjustRightInd w:val="0"/>
        <w:snapToGrid w:val="0"/>
        <w:spacing w:line="360" w:lineRule="auto"/>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相关人员要求</w:t>
      </w:r>
    </w:p>
    <w:p w14:paraId="5C455CF6">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项目经理为具有</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建设工程项目的项目经理。</w:t>
      </w:r>
    </w:p>
    <w:p w14:paraId="043D2440">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3.2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市政工程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专业</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级或以上技术职称。</w:t>
      </w:r>
    </w:p>
    <w:p w14:paraId="7D6591F8">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4.3.3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人。</w:t>
      </w:r>
    </w:p>
    <w:p w14:paraId="3D7F8AA5">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i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4.3.4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相关专业中级或以上职称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0ED524E8">
      <w:pPr>
        <w:pStyle w:val="41"/>
        <w:wordWrap w:val="0"/>
        <w:adjustRightInd w:val="0"/>
        <w:snapToGrid w:val="0"/>
        <w:spacing w:line="360" w:lineRule="auto"/>
        <w:ind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4.3.5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投标人拟派勘察负责人须具有</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注册土木工程师（岩土）证书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3E224F93">
      <w:pPr>
        <w:pStyle w:val="41"/>
        <w:wordWrap w:val="0"/>
        <w:adjustRightInd w:val="0"/>
        <w:snapToGrid w:val="0"/>
        <w:spacing w:line="360" w:lineRule="auto"/>
        <w:ind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4.3.6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341CEF9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（1）为招标人不具有独立法人资格的附属机构（单位）；</w:t>
      </w:r>
    </w:p>
    <w:p w14:paraId="2F57983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（2）为本招标项目前期准备提供咨询服务的；</w:t>
      </w:r>
    </w:p>
    <w:p w14:paraId="14ED85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（3）与本招标项目的其他投标人为同一个单位负责人；</w:t>
      </w:r>
    </w:p>
    <w:p w14:paraId="6C95BED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（4）与本招标项目的其他投标人存在控股、管理关系；</w:t>
      </w:r>
    </w:p>
    <w:p w14:paraId="068565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（5）为本招标项目的监理人；</w:t>
      </w:r>
    </w:p>
    <w:p w14:paraId="32668DB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（6）为本招标项目的代建人；</w:t>
      </w:r>
    </w:p>
    <w:p w14:paraId="5379C25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（7）为本招标项目的招标代理机构；</w:t>
      </w:r>
    </w:p>
    <w:p w14:paraId="378B6A8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（8）与本招标项目的监理人或代建人或招标代理机构同为一个法定代表人；</w:t>
      </w:r>
    </w:p>
    <w:p w14:paraId="5785F3D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（9）与本招标项目的监理人或代建人或招标代理机构存在控股或参股关系；</w:t>
      </w:r>
    </w:p>
    <w:p w14:paraId="77D410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（10）与本招标项目的监理人或代建人或招标代理机构存在相互任职或工作关系；</w:t>
      </w:r>
    </w:p>
    <w:p w14:paraId="6B9211D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（11）被依法暂停或者取消投标资格；</w:t>
      </w:r>
    </w:p>
    <w:p w14:paraId="0A15FE9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（12）被责令停产停业、暂扣或者吊销许可证、暂扣或者吊销执照；</w:t>
      </w:r>
    </w:p>
    <w:p w14:paraId="34619AF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（13）进入清算程序，或被宣告破产，或其他丧失履约能力的情形；</w:t>
      </w:r>
    </w:p>
    <w:p w14:paraId="159358F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602733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106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422"/>
        <w:gridCol w:w="5325"/>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2" w:type="dxa"/>
            <w:noWrap/>
            <w:vAlign w:val="center"/>
          </w:tcPr>
          <w:p w14:paraId="27C006A1">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422" w:type="dxa"/>
            <w:noWrap/>
            <w:vAlign w:val="center"/>
          </w:tcPr>
          <w:p w14:paraId="1D357B38">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5325" w:type="dxa"/>
            <w:noWrap/>
            <w:vAlign w:val="center"/>
          </w:tcPr>
          <w:p w14:paraId="102F25AC">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2" w:type="dxa"/>
            <w:noWrap/>
            <w:vAlign w:val="center"/>
          </w:tcPr>
          <w:p w14:paraId="5C0B97D5">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p>
        </w:tc>
        <w:tc>
          <w:tcPr>
            <w:tcW w:w="4422"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仁化县融鑫文化旅游投资有限公司</w:t>
            </w:r>
          </w:p>
        </w:tc>
        <w:tc>
          <w:tcPr>
            <w:tcW w:w="5325" w:type="dxa"/>
            <w:noWrap/>
            <w:vAlign w:val="center"/>
          </w:tcPr>
          <w:p w14:paraId="637B1763">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72" w:type="dxa"/>
            <w:noWrap/>
            <w:vAlign w:val="center"/>
          </w:tcPr>
          <w:p w14:paraId="034641EE">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p>
        </w:tc>
        <w:tc>
          <w:tcPr>
            <w:tcW w:w="4422"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文化广电旅游体育局</w:t>
            </w:r>
          </w:p>
        </w:tc>
        <w:tc>
          <w:tcPr>
            <w:tcW w:w="5325" w:type="dxa"/>
            <w:noWrap/>
            <w:vAlign w:val="center"/>
          </w:tcPr>
          <w:p w14:paraId="616118EF">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72" w:type="dxa"/>
            <w:noWrap/>
            <w:vAlign w:val="center"/>
          </w:tcPr>
          <w:p w14:paraId="42C8DAC7">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p>
        </w:tc>
        <w:tc>
          <w:tcPr>
            <w:tcW w:w="4422"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国昇设计有限责任公司</w:t>
            </w:r>
          </w:p>
        </w:tc>
        <w:tc>
          <w:tcPr>
            <w:tcW w:w="5325" w:type="dxa"/>
            <w:noWrap/>
            <w:vAlign w:val="center"/>
          </w:tcPr>
          <w:p w14:paraId="303D99DA">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为本项目的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概念性规划编制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2" w:type="dxa"/>
            <w:noWrap/>
            <w:vAlign w:val="center"/>
          </w:tcPr>
          <w:p w14:paraId="05BEB00A">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p>
        </w:tc>
        <w:tc>
          <w:tcPr>
            <w:tcW w:w="4422"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韶关市城监项目管理有限公司</w:t>
            </w:r>
          </w:p>
        </w:tc>
        <w:tc>
          <w:tcPr>
            <w:tcW w:w="5325" w:type="dxa"/>
            <w:noWrap/>
            <w:vAlign w:val="center"/>
          </w:tcPr>
          <w:p w14:paraId="73F05BA5">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为本招标项目的招标代理机构</w:t>
            </w:r>
          </w:p>
        </w:tc>
      </w:tr>
      <w:tr w14:paraId="157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2" w:type="dxa"/>
            <w:noWrap/>
            <w:vAlign w:val="center"/>
          </w:tcPr>
          <w:p w14:paraId="113242DC">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4422" w:type="dxa"/>
            <w:noWrap/>
            <w:vAlign w:val="center"/>
          </w:tcPr>
          <w:p w14:paraId="2C2A3BD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中叙设计集团有限公司</w:t>
            </w:r>
          </w:p>
        </w:tc>
        <w:tc>
          <w:tcPr>
            <w:tcW w:w="5325" w:type="dxa"/>
            <w:noWrap/>
            <w:vAlign w:val="center"/>
          </w:tcPr>
          <w:p w14:paraId="091BA187">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为本招标项目的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概算编制单位</w:t>
            </w:r>
          </w:p>
        </w:tc>
      </w:tr>
    </w:tbl>
    <w:p w14:paraId="22E3F83E">
      <w:pPr>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034A7CEB">
      <w:pPr>
        <w:pStyle w:val="40"/>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9" w:name="_Toc6204"/>
      <w:bookmarkStart w:id="70" w:name="_Toc18979"/>
      <w:bookmarkStart w:id="71" w:name="_Toc18273"/>
      <w:bookmarkStart w:id="72" w:name="_Toc2707"/>
      <w:bookmarkStart w:id="73" w:name="_Toc20378"/>
      <w:bookmarkStart w:id="74" w:name="_Toc17645"/>
      <w:bookmarkStart w:id="75" w:name="_Toc24391"/>
      <w:bookmarkStart w:id="76" w:name="_Toc3588"/>
      <w:bookmarkStart w:id="77" w:name="_Toc3094"/>
      <w:bookmarkStart w:id="78" w:name="_Toc829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9"/>
      <w:bookmarkEnd w:id="70"/>
      <w:bookmarkEnd w:id="71"/>
      <w:bookmarkEnd w:id="72"/>
      <w:bookmarkEnd w:id="73"/>
      <w:bookmarkEnd w:id="74"/>
      <w:bookmarkEnd w:id="75"/>
      <w:bookmarkEnd w:id="76"/>
      <w:bookmarkEnd w:id="77"/>
      <w:bookmarkEnd w:id="78"/>
    </w:p>
    <w:p w14:paraId="4DDE3DE2">
      <w:pPr>
        <w:pStyle w:val="38"/>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6A5F6DE1">
      <w:pPr>
        <w:pStyle w:val="38"/>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w:t>
      </w:r>
      <w:r>
        <w:rPr>
          <w:rFonts w:hint="eastAsia" w:hAnsi="宋体" w:cs="Calibri"/>
          <w:bCs/>
          <w:color w:val="000000" w:themeColor="text1"/>
          <w:sz w:val="24"/>
          <w:szCs w:val="24"/>
          <w:highlight w:val="none"/>
          <w:u w:val="none"/>
          <w:lang w:val="en-US" w:eastAsia="zh-CN"/>
          <w14:textFill>
            <w14:solidFill>
              <w14:schemeClr w14:val="tx1"/>
            </w14:solidFill>
          </w14:textFill>
        </w:rPr>
        <w:t>勘察部分：初步勘察、详细勘察（包括岩土工程勘察、地形测量等）</w:t>
      </w:r>
      <w:r>
        <w:rPr>
          <w:rFonts w:hint="eastAsia" w:hAnsi="宋体" w:cs="Calibri"/>
          <w:bCs/>
          <w:color w:val="000000" w:themeColor="text1"/>
          <w:sz w:val="24"/>
          <w:szCs w:val="24"/>
          <w:highlight w:val="none"/>
          <w:u w:val="none"/>
          <w14:textFill>
            <w14:solidFill>
              <w14:schemeClr w14:val="tx1"/>
            </w14:solidFill>
          </w14:textFill>
        </w:rPr>
        <w:t>。</w:t>
      </w:r>
    </w:p>
    <w:p w14:paraId="4E4E7587">
      <w:pPr>
        <w:pStyle w:val="38"/>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14:textFill>
            <w14:solidFill>
              <w14:schemeClr w14:val="tx1"/>
            </w14:solidFill>
          </w14:textFill>
        </w:rPr>
        <w:t>）</w:t>
      </w:r>
      <w:r>
        <w:rPr>
          <w:rFonts w:hint="eastAsia" w:hAnsi="宋体" w:cs="Calibri"/>
          <w:bCs/>
          <w:color w:val="000000" w:themeColor="text1"/>
          <w:sz w:val="24"/>
          <w:szCs w:val="24"/>
          <w:highlight w:val="none"/>
          <w:u w:val="none"/>
          <w:lang w:eastAsia="zh-CN"/>
          <w14:textFill>
            <w14:solidFill>
              <w14:schemeClr w14:val="tx1"/>
            </w14:solidFill>
          </w14:textFill>
        </w:rPr>
        <w:t>设计部分：</w:t>
      </w:r>
      <w:r>
        <w:rPr>
          <w:rFonts w:hint="eastAsia" w:hAnsi="宋体" w:cs="Calibri"/>
          <w:bCs/>
          <w:color w:val="000000" w:themeColor="text1"/>
          <w:sz w:val="24"/>
          <w:szCs w:val="24"/>
          <w:highlight w:val="none"/>
          <w:u w:val="none"/>
          <w:lang w:val="zh-CN" w:eastAsia="zh-CN"/>
          <w14:textFill>
            <w14:solidFill>
              <w14:schemeClr w14:val="tx1"/>
            </w14:solidFill>
          </w14:textFill>
        </w:rPr>
        <w:t>确保项目顺利实施的报建、报批、施工等所需的所有建安工程等设计文件。包括但不限于：初步设计及概算、施工图设计</w:t>
      </w:r>
      <w:r>
        <w:rPr>
          <w:rFonts w:hint="eastAsia" w:hAnsi="宋体" w:cs="Calibri"/>
          <w:bCs/>
          <w:color w:val="000000" w:themeColor="text1"/>
          <w:sz w:val="24"/>
          <w:szCs w:val="24"/>
          <w:highlight w:val="none"/>
          <w:u w:val="none"/>
          <w:lang w:eastAsia="zh-CN"/>
          <w14:textFill>
            <w14:solidFill>
              <w14:schemeClr w14:val="tx1"/>
            </w14:solidFill>
          </w14:textFill>
        </w:rPr>
        <w:t>、提供项目所需相关检测项的明细表和危险性较大的分部分项工程清单及保障安全相关说明、</w:t>
      </w:r>
      <w:r>
        <w:rPr>
          <w:rFonts w:hint="eastAsia" w:hAnsi="宋体" w:cs="Calibri"/>
          <w:bCs/>
          <w:color w:val="000000" w:themeColor="text1"/>
          <w:sz w:val="24"/>
          <w:szCs w:val="24"/>
          <w:highlight w:val="none"/>
          <w:u w:val="none"/>
          <w:lang w:val="zh-CN" w:eastAsia="zh-CN"/>
          <w14:textFill>
            <w14:solidFill>
              <w14:schemeClr w14:val="tx1"/>
            </w14:solidFill>
          </w14:textFill>
        </w:rPr>
        <w:t>工地现场服务、验收过程中的设计指导及配合阶段验收及档案整理、协助施工单位编制竣工图及后续设计服务工作</w:t>
      </w:r>
      <w:r>
        <w:rPr>
          <w:rFonts w:hint="eastAsia" w:hAnsi="宋体" w:cs="Calibri"/>
          <w:bCs/>
          <w:color w:val="000000" w:themeColor="text1"/>
          <w:sz w:val="24"/>
          <w:szCs w:val="24"/>
          <w:highlight w:val="none"/>
          <w:u w:val="none"/>
          <w:lang w:eastAsia="zh-CN"/>
          <w14:textFill>
            <w14:solidFill>
              <w14:schemeClr w14:val="tx1"/>
            </w14:solidFill>
          </w14:textFill>
        </w:rPr>
        <w:t>。</w:t>
      </w:r>
    </w:p>
    <w:p w14:paraId="4F3E1C6F">
      <w:pPr>
        <w:pStyle w:val="38"/>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3</w:t>
      </w: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zh-CN" w:eastAsia="zh-CN"/>
          <w14:textFill>
            <w14:solidFill>
              <w14:schemeClr w14:val="tx1"/>
            </w14:solidFill>
          </w14:textFill>
        </w:rPr>
        <w:t>施工部分：设计文件及工程量清单范围内的所有工程及配套工程、设施等的施工（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E5301D3">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5.2勘察要求：</w:t>
      </w:r>
    </w:p>
    <w:p w14:paraId="5B05A439">
      <w:pPr>
        <w:pStyle w:val="38"/>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w:t>
      </w:r>
      <w:r>
        <w:rPr>
          <w:rFonts w:hint="eastAsia" w:hAnsi="宋体" w:cs="Calibri"/>
          <w:bCs/>
          <w:color w:val="000000" w:themeColor="text1"/>
          <w:sz w:val="24"/>
          <w:szCs w:val="24"/>
          <w:highlight w:val="none"/>
          <w:lang w:val="zh-CN"/>
          <w14:textFill>
            <w14:solidFill>
              <w14:schemeClr w14:val="tx1"/>
            </w14:solidFill>
          </w14:textFill>
        </w:rPr>
        <w:t>勘察</w:t>
      </w:r>
      <w:r>
        <w:rPr>
          <w:rFonts w:hint="eastAsia" w:hAnsi="宋体" w:cs="Calibri"/>
          <w:bCs/>
          <w:color w:val="000000" w:themeColor="text1"/>
          <w:sz w:val="24"/>
          <w:szCs w:val="24"/>
          <w:highlight w:val="none"/>
          <w:lang w:val="en-US" w:eastAsia="zh-CN"/>
          <w14:textFill>
            <w14:solidFill>
              <w14:schemeClr w14:val="tx1"/>
            </w14:solidFill>
          </w14:textFill>
        </w:rPr>
        <w:t>质量</w:t>
      </w:r>
      <w:r>
        <w:rPr>
          <w:rFonts w:hint="eastAsia" w:hAnsi="宋体" w:cs="Calibri"/>
          <w:bCs/>
          <w:color w:val="000000" w:themeColor="text1"/>
          <w:sz w:val="24"/>
          <w:szCs w:val="24"/>
          <w:highlight w:val="none"/>
          <w:lang w:val="zh-CN"/>
          <w14:textFill>
            <w14:solidFill>
              <w14:schemeClr w14:val="tx1"/>
            </w14:solidFill>
          </w14:textFill>
        </w:rPr>
        <w:t>要求：</w:t>
      </w:r>
      <w:r>
        <w:rPr>
          <w:rFonts w:hint="eastAsia" w:ascii="宋体" w:hAnsi="宋体" w:eastAsia="宋体" w:cs="Calibri"/>
          <w:bCs/>
          <w:color w:val="000000" w:themeColor="text1"/>
          <w:sz w:val="24"/>
          <w:szCs w:val="24"/>
          <w:highlight w:val="none"/>
          <w:lang w:val="zh-CN" w:eastAsia="zh-CN"/>
          <w14:textFill>
            <w14:solidFill>
              <w14:schemeClr w14:val="tx1"/>
            </w14:solidFill>
          </w14:textFill>
        </w:rPr>
        <w:t>符合住建部颁布的现行有关勘察规范要求，勘察成果必须满足设计及审图合格的要求。</w:t>
      </w:r>
    </w:p>
    <w:p w14:paraId="4BDC0E64">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5.2.2勘察工作要求：</w:t>
      </w:r>
    </w:p>
    <w:p w14:paraId="45DB20FC">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①岩土勘察：按招标文件内容要求提供符合住建部颁布的现行有效的有关勘察规范要求及满足施工图设计及审图合格要求的勘察报告及建设期间的服务等内容。</w:t>
      </w:r>
    </w:p>
    <w:p w14:paraId="55E01E97">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②地形测量：在招标范围内按照发包人的要求对建设范围内进行1:500的数字化地形图测量并出具满足《工程测量规范》GB50026—200、《城市测量规范》CJJ/T 8-2011要求的现状地形图测量成果文件等内容。</w:t>
      </w:r>
    </w:p>
    <w:p w14:paraId="1595D52F">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5.2.3</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勘察的目的与要求</w:t>
      </w:r>
    </w:p>
    <w:p w14:paraId="6DD790E7">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（1）查明所有建筑物及构筑物范围内岩土层的类型、深度、分布和工程特性，分析和评价地基的稳定性、均匀性和承载力。</w:t>
      </w:r>
    </w:p>
    <w:p w14:paraId="617FCADC">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（2）查明水文地质条件，评价地下水对桩基设计和施工的影响，判定水质对建筑材料的腐蚀性。</w:t>
      </w:r>
    </w:p>
    <w:p w14:paraId="610C15D3">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（3）评价成桩可能性，论证桩的施工条件及其对环境的影响。 </w:t>
      </w:r>
    </w:p>
    <w:p w14:paraId="1BABCA6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（4）查明不良地质作用的类型、分布范围，提出整治措施和建议。</w:t>
      </w:r>
    </w:p>
    <w:p w14:paraId="3BE94117">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（5）查明道路范围溶洞分布范围、位置、大小，提出整治措施和建议。</w:t>
      </w:r>
    </w:p>
    <w:p w14:paraId="610DE4A3">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（6）查明地下水位的变化情况，水质状况对建筑物的影响情况。</w:t>
      </w:r>
    </w:p>
    <w:p w14:paraId="0A5FE24C">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（7）查明对建筑物不利的埋藏物。</w:t>
      </w:r>
    </w:p>
    <w:p w14:paraId="238470B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（8）判定地基土对建筑材料的腐蚀性，提出整治的措施和建议。</w:t>
      </w:r>
    </w:p>
    <w:p w14:paraId="4B327799">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（9）对场地和地震效应做出评价，查明有无液化地层并对液化等级作出评价。</w:t>
      </w:r>
    </w:p>
    <w:p w14:paraId="4157AF18">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（10）查明需防护山体（边坡）的岩土层的类型、深度、分布和工程特性，分析和评价地基的稳定性、均匀性和承载力，提出防护措施和建议。</w:t>
      </w:r>
    </w:p>
    <w:p w14:paraId="5E627A94">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5.2.4</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勘察工程勘察报告由文字部分和图表部分组成，其中文字部分至少应包括：</w:t>
      </w:r>
    </w:p>
    <w:p w14:paraId="0C3ABD5E">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（1）拟建工程概况、勘察目的、任务要求和依据的技术标准；</w:t>
      </w:r>
    </w:p>
    <w:p w14:paraId="73E7DF42">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（2）勘探点位布置及勘察方法情况，原土取样及实验分析情况；</w:t>
      </w:r>
    </w:p>
    <w:p w14:paraId="47FB5E06">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7E6DFBED">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（4）场地的稳定性和适宜性评价、地下水及土质对建筑物的腐蚀影响、地震基本烈度以及由于工程建设可能引起的工程地质问题及其防治措施，适宜的基础形式和有关的计算参数及施工中应注意的事项等。</w:t>
      </w:r>
    </w:p>
    <w:p w14:paraId="159365D8">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（5）对岩土利用、整治和改造的方案进行分析论证，提出建议；对工程施工和使用期间可能发生的岩土工程问题进行预测，提出监控和预防措施的建议。</w:t>
      </w:r>
    </w:p>
    <w:p w14:paraId="0F9DAD36">
      <w:pP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详细勘察工程勘察报告中的图纸部分，至少包括：</w:t>
      </w:r>
    </w:p>
    <w:p w14:paraId="1532E3AD">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（1）勘探点平面布置图</w:t>
      </w:r>
    </w:p>
    <w:p w14:paraId="144943F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（2）综合工程地质图或工程地质分区图</w:t>
      </w:r>
    </w:p>
    <w:p w14:paraId="097E595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（3）工程地质剖面图</w:t>
      </w:r>
    </w:p>
    <w:p w14:paraId="0B33C619">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（4）地质柱状图或综合地质柱状图</w:t>
      </w:r>
    </w:p>
    <w:p w14:paraId="495B5A2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（5）各主要土层物理力学性质指标统计、钻探点坐标标高深度、土层试验成果等有关测试图表等。</w:t>
      </w:r>
    </w:p>
    <w:p w14:paraId="311330DE">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（6）地下水等水位线图（若有）</w:t>
      </w:r>
    </w:p>
    <w:p w14:paraId="54582835">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（7）岩土工程计算简图及计算成果图表等。</w:t>
      </w:r>
    </w:p>
    <w:p w14:paraId="500B75D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关</w:t>
      </w:r>
      <w:r>
        <w:rPr>
          <w:rFonts w:hint="eastAsia" w:ascii="宋体" w:hAnsi="宋体" w:eastAsia="宋体" w:cs="宋体"/>
          <w:snapToGrid w:val="0"/>
          <w:color w:val="000000" w:themeColor="text1"/>
          <w:kern w:val="0"/>
          <w:sz w:val="24"/>
          <w:szCs w:val="24"/>
          <w:highlight w:val="none"/>
          <w14:textFill>
            <w14:solidFill>
              <w14:schemeClr w14:val="tx1"/>
            </w14:solidFill>
          </w14:textFill>
        </w:rPr>
        <w:t>于勘察的其它要求：</w:t>
      </w:r>
    </w:p>
    <w:p w14:paraId="31875F44">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（1）按国家现行的勘察深度要求规定。</w:t>
      </w:r>
    </w:p>
    <w:p w14:paraId="76CB6426">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（2）详细勘察时，对软土地基处理的深度，应进行详细的工程地质勘探，不得以钻探困难为理由留给施工处理（有征地拆迁困难的除外）。</w:t>
      </w:r>
    </w:p>
    <w:p w14:paraId="28275625">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（3）勘察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对水文调查应深入、系统，确定合理的防洪标高。</w:t>
      </w:r>
    </w:p>
    <w:p w14:paraId="793FE5F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（4）勘察成果报告应能详细、清楚反映岩土的有关力学物理指标、必需的物理及化学性质的指标，以避免在施工中因地质不清引起大的设计变更。</w:t>
      </w:r>
    </w:p>
    <w:p w14:paraId="2B083CFE">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（5）勘察工作必需的水、电及设备所产生的相关费用由</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自行承担。</w:t>
      </w:r>
    </w:p>
    <w:p w14:paraId="2C5636B9">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（6）因工程沿线的勘察工作发生青苗补偿及相关费用由</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自行承担。</w:t>
      </w:r>
    </w:p>
    <w:p w14:paraId="263A78B3">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勘探完毕后需及时妥善回填钻孔，避免对周边环境造成破坏和形成安全隐患。</w:t>
      </w:r>
    </w:p>
    <w:p w14:paraId="4E43EEE7">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需妥善保存各勘探孔的完整岩土芯样，以备届时施工阶段地质情况实际核对。施工过程中，若发现现场地质情况与同位置勘察点的勘察成果不符时，视为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违约并承担相关责任。</w:t>
      </w:r>
    </w:p>
    <w:p w14:paraId="172B8C95">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勘探作业时，需预先探明勘探范围内的地下原有各类通信管线、燃气管道、电力电缆、供水管、排水（污）管等埋藏物分布情况，并做好相关防范保护措施，若因勘探工作造成相关设施损毁及相关费用由</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自行承担。</w:t>
      </w:r>
    </w:p>
    <w:p w14:paraId="01488E5A">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初步勘察应进行详细的工程测量、工程地质勘查和水文地质勘查，基本查清沿线地质、水文、气候、地震等情况。若利用既有的地形图、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4EEAA1EA">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初步勘察时，应将平面控制点、必要的水准基点，准确地测放在地面上并加以保护。</w:t>
      </w:r>
    </w:p>
    <w:p w14:paraId="2373BFE9">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详细勘察时，对软土地基处理的深度，应进行详细的工程地质勘探，不得以钻探困难为理由留给施工处理（有征地拆迁困难的除外）。对施工过程中需探明的地质情况，必须按规范进行详细勘探。</w:t>
      </w:r>
    </w:p>
    <w:p w14:paraId="119D6179">
      <w:pP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5.2.7</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勘察后期工作</w:t>
      </w:r>
    </w:p>
    <w:p w14:paraId="3ADB3CE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5.2.7.1</w:t>
      </w:r>
      <w:r>
        <w:rPr>
          <w:rFonts w:hint="eastAsia" w:ascii="宋体" w:hAnsi="宋体" w:eastAsia="宋体" w:cs="宋体"/>
          <w:b w:val="0"/>
          <w:bCs w:val="0"/>
          <w:color w:val="000000" w:themeColor="text1"/>
          <w:sz w:val="24"/>
          <w:szCs w:val="24"/>
          <w:highlight w:val="none"/>
          <w14:textFill>
            <w14:solidFill>
              <w14:schemeClr w14:val="tx1"/>
            </w14:solidFill>
          </w14:textFill>
        </w:rPr>
        <w:t>配合施工</w:t>
      </w:r>
    </w:p>
    <w:p w14:paraId="6450BEB4">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当工程进入施工阶段，</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必须配合施工，发包人不另支付配合施工费用，此期间工作如下：</w:t>
      </w:r>
    </w:p>
    <w:p w14:paraId="5AF1A645">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（1）对项目的施工单位进行工程测量、工程地质和水文地质作技术交底；</w:t>
      </w:r>
    </w:p>
    <w:p w14:paraId="6A2E20BC">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（2）现场交桩；</w:t>
      </w:r>
    </w:p>
    <w:p w14:paraId="6E3D140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（3）配合设计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进行变更设计和补充设计所需要的勘察工作；</w:t>
      </w:r>
    </w:p>
    <w:p w14:paraId="4DF9EFC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应参与建设工程质量事故的处理工作，并对因勘察原因造成的质量事故，提出相应的技术处理方案。</w:t>
      </w:r>
    </w:p>
    <w:p w14:paraId="45F771BF">
      <w:pP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5.2.7.2</w:t>
      </w:r>
      <w:r>
        <w:rPr>
          <w:rFonts w:hint="eastAsia" w:ascii="宋体" w:hAnsi="宋体" w:eastAsia="宋体" w:cs="宋体"/>
          <w:b w:val="0"/>
          <w:bCs w:val="0"/>
          <w:color w:val="000000" w:themeColor="text1"/>
          <w:sz w:val="24"/>
          <w:szCs w:val="24"/>
          <w:highlight w:val="none"/>
          <w14:textFill>
            <w14:solidFill>
              <w14:schemeClr w14:val="tx1"/>
            </w14:solidFill>
          </w14:textFill>
        </w:rPr>
        <w:t>勘察工作技术总结</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p>
    <w:p w14:paraId="0DE18AB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对勘察文件及施工过程中发生的补充勘察进行检查，并提出勘察文件质量检查报告，在竣工验收前交发包人。工程完工后，</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应组织勘察技术工作人员将全部资料进行整理并撰写工程技术总结，并于竣工后十五个日历天内完成，交发包人。</w:t>
      </w:r>
    </w:p>
    <w:p w14:paraId="4C33C5C4">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5.2.8勘察成果文件要求：</w:t>
      </w:r>
    </w:p>
    <w:p w14:paraId="7AF6869D">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w:t>
      </w:r>
      <w:r>
        <w:rPr>
          <w:rFonts w:hint="eastAsia" w:ascii="宋体" w:hAnsi="宋体" w:eastAsia="宋体" w:cs="宋体"/>
          <w:color w:val="000000" w:themeColor="text1"/>
          <w:sz w:val="24"/>
          <w:szCs w:val="24"/>
          <w:highlight w:val="none"/>
          <w:lang w:val="zh-CN"/>
          <w14:textFill>
            <w14:solidFill>
              <w14:schemeClr w14:val="tx1"/>
            </w14:solidFill>
          </w14:textFill>
        </w:rPr>
        <w:t>勘察、测绘报告一式</w:t>
      </w: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14:textFill>
            <w14:solidFill>
              <w14:schemeClr w14:val="tx1"/>
            </w14:solidFill>
          </w14:textFill>
        </w:rPr>
        <w:t>份</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。提供的所有资料均含电子版（含CAD及PDF文件格式）。</w:t>
      </w:r>
    </w:p>
    <w:p w14:paraId="192CBC0C">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5.3.2</w:t>
      </w:r>
      <w:r>
        <w:rPr>
          <w:rFonts w:hint="eastAsia" w:hAnsi="宋体" w:cs="Calibri"/>
          <w:bCs/>
          <w:color w:val="000000" w:themeColor="text1"/>
          <w:sz w:val="24"/>
          <w:szCs w:val="24"/>
          <w:highlight w:val="none"/>
          <w:lang w:val="zh-CN"/>
          <w14:textFill>
            <w14:solidFill>
              <w14:schemeClr w14:val="tx1"/>
            </w14:solidFill>
          </w14:textFill>
        </w:rPr>
        <w:t>本工程各个阶段的设计成果必须经发包人及有关审批部门同意后方可进行下一工序的设计工作，若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或有关审批部门在审批过程中提出的设计修改或变更，设计单位必须无条件进行修改或变更，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8"/>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5.3.3关于设计深度的要求</w:t>
      </w:r>
    </w:p>
    <w:p w14:paraId="2E1924CD">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712991DD">
      <w:pPr>
        <w:pStyle w:val="38"/>
        <w:numPr>
          <w:ilvl w:val="0"/>
          <w:numId w:val="0"/>
        </w:numPr>
        <w:spacing w:line="360" w:lineRule="auto"/>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）初步设计文件的深度，应当满足主要设备材料订货、征地拆迁及编制施工图设计文件的需要。</w:t>
      </w:r>
    </w:p>
    <w:p w14:paraId="2A9B3380">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8"/>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CDE3F4">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5.3.4限额设计要求：</w:t>
      </w:r>
    </w:p>
    <w:p w14:paraId="1D822CE1">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14:paraId="4F122CAC">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在提交设计施工图时必须同时提交施工图预算。施工图预算作为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自我核算是否符合限</w:t>
      </w:r>
      <w:r>
        <w:rPr>
          <w:rFonts w:hint="eastAsia" w:ascii="宋体" w:hAnsi="宋体" w:eastAsia="宋体" w:cs="宋体"/>
          <w:snapToGrid w:val="0"/>
          <w:color w:val="000000" w:themeColor="text1"/>
          <w:kern w:val="0"/>
          <w:sz w:val="24"/>
          <w:szCs w:val="24"/>
          <w:highlight w:val="none"/>
          <w14:textFill>
            <w14:solidFill>
              <w14:schemeClr w14:val="tx1"/>
            </w14:solidFill>
          </w14:textFill>
        </w:rPr>
        <w:t>额设计要求的依据。若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438D5531">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5.3.5</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5.3.7设计成果文件要求：</w:t>
      </w:r>
    </w:p>
    <w:p w14:paraId="5E569659">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w:t>
      </w:r>
      <w:r>
        <w:rPr>
          <w:rFonts w:hint="eastAsia"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套、施工图预算（含工程量清单）5套。提供的所有资料均含电子版（含CAD及PDF文件格式）。</w:t>
      </w:r>
    </w:p>
    <w:p w14:paraId="67A28990">
      <w:pPr>
        <w:pStyle w:val="38"/>
        <w:numPr>
          <w:ilvl w:val="0"/>
          <w:numId w:val="0"/>
        </w:num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5.3.8本工程各个阶段的设计成果必须经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或有关审批部门在审批过程中提出的设计修改或变更，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或审图机构在审查过程中提出的设计修改或变更，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w:t>
      </w:r>
    </w:p>
    <w:p w14:paraId="697466A0">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5.4</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5.4.1施工质量要求：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9" w:name="OLE_LINK2"/>
      <w:bookmarkStart w:id="80" w:name="OLE_LINK1"/>
    </w:p>
    <w:p w14:paraId="4EB7646E">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4"/>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9"/>
      <w:bookmarkEnd w:id="80"/>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bCs/>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674C4623">
      <w:pPr>
        <w:adjustRightInd w:val="0"/>
        <w:snapToGrid w:val="0"/>
        <w:spacing w:line="360" w:lineRule="auto"/>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（注：上述招标内容具体详见设计任务书，</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同时招标人在实施过程中可根据实际情况对工程规模、任务内容等进行合理、适当调整。</w:t>
      </w: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w:t>
      </w:r>
      <w:bookmarkStart w:id="81" w:name="_Hlt74496537"/>
      <w:bookmarkEnd w:id="81"/>
      <w:bookmarkStart w:id="82" w:name="_Hlt88974078"/>
      <w:bookmarkEnd w:id="82"/>
      <w:bookmarkStart w:id="83" w:name="_Hlt74493474"/>
      <w:bookmarkEnd w:id="83"/>
      <w:bookmarkStart w:id="84" w:name="_Hlt120502666"/>
      <w:bookmarkEnd w:id="84"/>
      <w:bookmarkStart w:id="85" w:name="_Hlt121563076"/>
      <w:bookmarkEnd w:id="85"/>
      <w:bookmarkStart w:id="86" w:name="_Hlt69699204"/>
      <w:bookmarkEnd w:id="86"/>
      <w:bookmarkStart w:id="87" w:name="_Hlt111690342"/>
      <w:bookmarkEnd w:id="87"/>
      <w:bookmarkStart w:id="88" w:name="_Hlt69356505"/>
      <w:bookmarkEnd w:id="88"/>
    </w:p>
    <w:p w14:paraId="57DC44F7">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89" w:name="_Toc12891"/>
      <w:bookmarkStart w:id="90" w:name="_Toc17958"/>
      <w:bookmarkStart w:id="91" w:name="_Toc24793"/>
      <w:bookmarkStart w:id="92" w:name="_Toc10812"/>
      <w:bookmarkStart w:id="93" w:name="_Toc20827"/>
      <w:bookmarkStart w:id="94" w:name="_Toc24366"/>
      <w:bookmarkStart w:id="95" w:name="_Toc19911"/>
      <w:bookmarkStart w:id="96" w:name="_Toc16432"/>
      <w:bookmarkStart w:id="97" w:name="_Toc398"/>
      <w:bookmarkStart w:id="98" w:name="_Toc319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9"/>
      <w:bookmarkEnd w:id="90"/>
      <w:bookmarkEnd w:id="91"/>
      <w:bookmarkEnd w:id="92"/>
      <w:bookmarkEnd w:id="93"/>
      <w:bookmarkEnd w:id="94"/>
      <w:bookmarkEnd w:id="95"/>
      <w:bookmarkEnd w:id="96"/>
      <w:bookmarkEnd w:id="97"/>
      <w:bookmarkEnd w:id="98"/>
    </w:p>
    <w:p w14:paraId="202351E2">
      <w:pPr>
        <w:pStyle w:val="45"/>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40"/>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9" w:name="_Toc5795"/>
      <w:bookmarkStart w:id="100" w:name="_Toc3294"/>
      <w:bookmarkStart w:id="101" w:name="_Toc27595"/>
      <w:bookmarkStart w:id="102" w:name="_Toc17548"/>
      <w:bookmarkStart w:id="103" w:name="_Toc25942"/>
      <w:bookmarkStart w:id="104" w:name="_Toc31908"/>
      <w:bookmarkStart w:id="105" w:name="_Toc27260"/>
      <w:bookmarkStart w:id="106" w:name="_Toc23962"/>
      <w:bookmarkStart w:id="107" w:name="_Toc8518"/>
      <w:bookmarkStart w:id="108" w:name="_Toc2248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109" w:name="_Toc488220856"/>
      <w:bookmarkStart w:id="11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9"/>
      <w:bookmarkEnd w:id="100"/>
      <w:bookmarkEnd w:id="101"/>
      <w:bookmarkEnd w:id="102"/>
      <w:bookmarkEnd w:id="103"/>
      <w:bookmarkEnd w:id="104"/>
      <w:bookmarkEnd w:id="105"/>
      <w:bookmarkEnd w:id="106"/>
      <w:bookmarkEnd w:id="107"/>
      <w:bookmarkEnd w:id="108"/>
      <w:bookmarkEnd w:id="109"/>
    </w:p>
    <w:bookmarkEnd w:id="11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11" w:name="_Toc10210"/>
      <w:bookmarkStart w:id="112" w:name="_Toc28014"/>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4"/>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11"/>
      <w:bookmarkEnd w:id="11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伍先生，业务咨询电话：0751-8633211、8633071。</w:t>
      </w:r>
    </w:p>
    <w:p w14:paraId="33202C70">
      <w:pPr>
        <w:pStyle w:val="41"/>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41"/>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41"/>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1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14" w:name="_Toc143766459"/>
      <w:bookmarkStart w:id="115" w:name="_Toc353462300"/>
      <w:bookmarkStart w:id="116" w:name="_Toc35346219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13"/>
      <w:bookmarkEnd w:id="114"/>
      <w:bookmarkEnd w:id="115"/>
      <w:bookmarkEnd w:id="11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1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1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1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1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9" w:name="_Toc11346"/>
      <w:bookmarkStart w:id="120" w:name="_Toc14019"/>
      <w:bookmarkStart w:id="121" w:name="_Toc301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19"/>
      <w:bookmarkEnd w:id="120"/>
      <w:bookmarkEnd w:id="121"/>
      <w:bookmarkStart w:id="122" w:name="_Hlt74496410"/>
      <w:bookmarkEnd w:id="122"/>
    </w:p>
    <w:p w14:paraId="259053D7">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23" w:name="_Hlt92513711"/>
      <w:bookmarkEnd w:id="123"/>
      <w:bookmarkStart w:id="124" w:name="_Hlt92513715"/>
      <w:bookmarkEnd w:id="124"/>
      <w:bookmarkStart w:id="125" w:name="_Hlt69699188"/>
      <w:bookmarkEnd w:id="125"/>
      <w:bookmarkStart w:id="126" w:name="_Toc25532"/>
      <w:bookmarkStart w:id="127" w:name="_Toc20643"/>
      <w:bookmarkStart w:id="128" w:name="_Toc30627"/>
      <w:bookmarkStart w:id="129" w:name="_Toc8032"/>
      <w:bookmarkStart w:id="130" w:name="_Toc15195"/>
      <w:bookmarkStart w:id="131" w:name="_Toc10315"/>
      <w:bookmarkStart w:id="132" w:name="_Toc31064"/>
      <w:bookmarkStart w:id="133" w:name="_Toc28777"/>
      <w:bookmarkStart w:id="134" w:name="_Toc5224"/>
      <w:bookmarkStart w:id="135" w:name="_Toc1130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26"/>
      <w:bookmarkEnd w:id="127"/>
      <w:bookmarkEnd w:id="128"/>
      <w:bookmarkEnd w:id="129"/>
      <w:bookmarkEnd w:id="130"/>
      <w:bookmarkEnd w:id="131"/>
      <w:bookmarkEnd w:id="132"/>
      <w:bookmarkEnd w:id="133"/>
      <w:bookmarkEnd w:id="134"/>
      <w:bookmarkEnd w:id="135"/>
      <w:bookmarkStart w:id="136" w:name="_Hlt74498519"/>
      <w:bookmarkEnd w:id="136"/>
    </w:p>
    <w:p w14:paraId="5C87CE4D">
      <w:pPr>
        <w:pStyle w:val="38"/>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7" w:name="_Hlt69335755"/>
      <w:bookmarkEnd w:id="137"/>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038FA5F">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8"/>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38" w:name="_Hlt66509056"/>
      <w:bookmarkEnd w:id="138"/>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39"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39"/>
    <w:p w14:paraId="1DAD049C">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40"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40"/>
    </w:p>
    <w:p w14:paraId="6087E588">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及设计任务书所规定的所有工程及设备的费用，并承担结算原则中规定的一切风险，还应考虑预算编制费、报建和施工时应由施工单位承担的一切费用。各项费用的主要内容及其报价方式：</w:t>
      </w:r>
      <w:bookmarkStart w:id="141" w:name="_Toc18903"/>
      <w:bookmarkStart w:id="142" w:name="_Toc13707"/>
      <w:bookmarkStart w:id="143" w:name="_Toc11863"/>
      <w:bookmarkStart w:id="144" w:name="_Toc32012"/>
      <w:bookmarkStart w:id="145" w:name="_Toc15059"/>
      <w:bookmarkStart w:id="146" w:name="_Toc20815"/>
      <w:bookmarkStart w:id="147" w:name="_Toc29402"/>
      <w:bookmarkStart w:id="148" w:name="_Toc11568"/>
      <w:bookmarkStart w:id="149" w:name="_Toc39136339"/>
      <w:bookmarkStart w:id="150" w:name="_Toc3872"/>
      <w:bookmarkStart w:id="151" w:name="_Toc57"/>
      <w:bookmarkStart w:id="152" w:name="_Toc17803"/>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投标人投标报价=勘察</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费（含测绘费）</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投标报价</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含施工图审查费</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41"/>
      <w:bookmarkEnd w:id="142"/>
      <w:bookmarkEnd w:id="143"/>
      <w:bookmarkEnd w:id="144"/>
      <w:bookmarkEnd w:id="145"/>
      <w:bookmarkEnd w:id="146"/>
      <w:bookmarkEnd w:id="147"/>
      <w:bookmarkEnd w:id="148"/>
      <w:bookmarkEnd w:id="149"/>
      <w:bookmarkEnd w:id="150"/>
      <w:bookmarkEnd w:id="151"/>
      <w:bookmarkEnd w:id="152"/>
    </w:p>
    <w:p w14:paraId="1868BDC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设计费投标报价：在最高投标限价范围内，投标人自行报价。</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设计费的报价应包括招标文件中招标内容（范围）和可行性研究报告所规定的所有</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设计工作的所有费用，还应考虑招标人提出的与项目相关的其他要求所产生的费用</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p>
    <w:p w14:paraId="59B70A85">
      <w:pPr>
        <w:spacing w:line="360" w:lineRule="auto"/>
        <w:ind w:firstLine="57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hAnsi="宋体" w:eastAsia="宋体" w:cs="宋体"/>
          <w:b/>
          <w:bCs/>
          <w:color w:val="000000" w:themeColor="text1"/>
          <w:szCs w:val="22"/>
          <w:highlight w:val="none"/>
          <w14:textFill>
            <w14:solidFill>
              <w14:schemeClr w14:val="tx1"/>
            </w14:solidFill>
          </w14:textFill>
        </w:rPr>
        <w:t>本次招标采用填报</w:t>
      </w:r>
      <w:r>
        <w:rPr>
          <w:rFonts w:hint="eastAsia" w:hAnsi="宋体" w:eastAsia="宋体" w:cs="宋体"/>
          <w:b/>
          <w:bCs/>
          <w:color w:val="000000" w:themeColor="text1"/>
          <w:szCs w:val="22"/>
          <w:highlight w:val="none"/>
          <w:u w:val="single"/>
          <w:lang w:val="en-US" w:eastAsia="zh-CN"/>
          <w14:textFill>
            <w14:solidFill>
              <w14:schemeClr w14:val="tx1"/>
            </w14:solidFill>
          </w14:textFill>
        </w:rPr>
        <w:t>勘察费（含测绘费）以</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投标报价</w:t>
      </w:r>
      <w:r>
        <w:rPr>
          <w:rFonts w:hint="eastAsia" w:hAnsi="宋体" w:eastAsia="宋体" w:cs="宋体"/>
          <w:b/>
          <w:bCs/>
          <w:color w:val="000000" w:themeColor="text1"/>
          <w:szCs w:val="22"/>
          <w:highlight w:val="none"/>
          <w14:textFill>
            <w14:solidFill>
              <w14:schemeClr w14:val="tx1"/>
            </w14:solidFill>
          </w14:textFill>
        </w:rPr>
        <w:t>的方式进行报价</w:t>
      </w:r>
      <w:r>
        <w:rPr>
          <w:rFonts w:hint="eastAsia" w:hAnsi="宋体" w:eastAsia="宋体" w:cs="宋体"/>
          <w:b/>
          <w:bCs/>
          <w:color w:val="000000" w:themeColor="text1"/>
          <w:szCs w:val="22"/>
          <w:highlight w:val="none"/>
          <w:lang w:eastAsia="zh-CN"/>
          <w14:textFill>
            <w14:solidFill>
              <w14:schemeClr w14:val="tx1"/>
            </w14:solidFill>
          </w14:textFill>
        </w:rPr>
        <w:t>，</w:t>
      </w:r>
      <w:r>
        <w:rPr>
          <w:rFonts w:hint="eastAsia" w:hAnsi="宋体" w:eastAsia="宋体" w:cs="宋体"/>
          <w:b/>
          <w:bCs/>
          <w:color w:val="000000" w:themeColor="text1"/>
          <w:szCs w:val="22"/>
          <w:highlight w:val="none"/>
          <w:u w:val="single"/>
          <w:lang w:val="en-US" w:eastAsia="zh-CN"/>
          <w14:textFill>
            <w14:solidFill>
              <w14:schemeClr w14:val="tx1"/>
            </w14:solidFill>
          </w14:textFill>
        </w:rPr>
        <w:t>设计费以</w:t>
      </w:r>
      <w:r>
        <w:rPr>
          <w:rFonts w:hint="eastAsia" w:ascii="宋体" w:hAnsi="宋体" w:eastAsia="宋体" w:cs="宋体"/>
          <w:b/>
          <w:bCs/>
          <w:color w:val="000000" w:themeColor="text1"/>
          <w:szCs w:val="22"/>
          <w:highlight w:val="none"/>
          <w:u w:val="single"/>
          <w14:textFill>
            <w14:solidFill>
              <w14:schemeClr w14:val="tx1"/>
            </w14:solidFill>
          </w14:textFill>
        </w:rPr>
        <w:t>投标报价</w:t>
      </w:r>
      <w:r>
        <w:rPr>
          <w:rFonts w:hint="eastAsia" w:ascii="宋体" w:hAnsi="宋体" w:eastAsia="宋体" w:cs="宋体"/>
          <w:b/>
          <w:bCs/>
          <w:color w:val="000000" w:themeColor="text1"/>
          <w:szCs w:val="22"/>
          <w:highlight w:val="none"/>
          <w:u w:val="single"/>
          <w:lang w:val="en-US" w:eastAsia="zh-CN"/>
          <w14:textFill>
            <w14:solidFill>
              <w14:schemeClr w14:val="tx1"/>
            </w14:solidFill>
          </w14:textFill>
        </w:rPr>
        <w:t>及取费费率</w:t>
      </w:r>
      <w:r>
        <w:rPr>
          <w:rFonts w:hint="eastAsia" w:hAnsi="宋体" w:eastAsia="宋体" w:cs="宋体"/>
          <w:b/>
          <w:bCs/>
          <w:color w:val="000000" w:themeColor="text1"/>
          <w:szCs w:val="22"/>
          <w:highlight w:val="none"/>
          <w14:textFill>
            <w14:solidFill>
              <w14:schemeClr w14:val="tx1"/>
            </w14:solidFill>
          </w14:textFill>
        </w:rPr>
        <w:t>的方式进行报价</w:t>
      </w:r>
      <w:r>
        <w:rPr>
          <w:rFonts w:hint="eastAsia" w:ascii="宋体" w:hAnsi="宋体" w:eastAsia="宋体" w:cs="宋体"/>
          <w:b/>
          <w:bCs/>
          <w:snapToGrid w:val="0"/>
          <w:color w:val="000000" w:themeColor="text1"/>
          <w:kern w:val="0"/>
          <w:highlight w:val="none"/>
          <w14:textFill>
            <w14:solidFill>
              <w14:schemeClr w14:val="tx1"/>
            </w14:solidFill>
          </w14:textFill>
        </w:rPr>
        <w:t>。</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用投标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1D5FF0F3">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投标人在投标报价时，自行考虑高温补贴费、施工视频监控系统费用，专业分包的总包服务及配合费，预算（含工程量清单编制费）等，并承担相应风险，结算时不另行计取。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9.5 </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40"/>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53" w:name="_Toc27901"/>
      <w:bookmarkStart w:id="154" w:name="_Toc27078"/>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53"/>
      <w:bookmarkEnd w:id="154"/>
      <w:bookmarkStart w:id="155" w:name="_Hlt69335617"/>
      <w:bookmarkStart w:id="156" w:name="_Hlt121629839"/>
    </w:p>
    <w:p w14:paraId="25CDED77">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157" w:name="_Toc15152"/>
      <w:bookmarkStart w:id="158" w:name="_Toc7307"/>
      <w:bookmarkStart w:id="159" w:name="_Toc32578"/>
      <w:bookmarkStart w:id="160" w:name="_Toc29734"/>
      <w:bookmarkStart w:id="161" w:name="_Toc24510"/>
      <w:bookmarkStart w:id="162" w:name="_Toc13350"/>
      <w:bookmarkStart w:id="163" w:name="_Toc5483"/>
      <w:bookmarkStart w:id="164" w:name="_Toc4604"/>
      <w:r>
        <w:rPr>
          <w:rFonts w:hint="eastAsia" w:ascii="宋体" w:hAnsi="宋体" w:eastAsia="宋体" w:cs="宋体"/>
          <w:color w:val="000000" w:themeColor="text1"/>
          <w:szCs w:val="21"/>
          <w:highlight w:val="none"/>
          <w14:textFill>
            <w14:solidFill>
              <w14:schemeClr w14:val="tx1"/>
            </w14:solidFill>
          </w14:textFill>
        </w:rPr>
        <w:t>经研究确定，本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最高投标限价为人民币(大写)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壹仟捌佰捌拾肆万贰仟陆佰陆拾肆元贰角玖分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18842664.29元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其中：勘察</w:t>
      </w:r>
      <w:r>
        <w:rPr>
          <w:rFonts w:hint="eastAsia" w:ascii="宋体" w:hAnsi="宋体" w:eastAsia="宋体" w:cs="宋体"/>
          <w:color w:val="000000" w:themeColor="text1"/>
          <w:szCs w:val="21"/>
          <w:highlight w:val="none"/>
          <w:u w:val="none"/>
          <w:lang w:val="en-US" w:eastAsia="zh-CN"/>
          <w14:textFill>
            <w14:solidFill>
              <w14:schemeClr w14:val="tx1"/>
            </w14:solidFill>
          </w14:textFill>
        </w:rPr>
        <w:t>费</w:t>
      </w:r>
      <w:r>
        <w:rPr>
          <w:rFonts w:hint="eastAsia" w:hAnsi="宋体" w:eastAsia="宋体" w:cs="宋体"/>
          <w:color w:val="000000" w:themeColor="text1"/>
          <w:szCs w:val="21"/>
          <w:highlight w:val="none"/>
          <w:u w:val="none"/>
          <w:lang w:val="en-US" w:eastAsia="zh-CN"/>
          <w14:textFill>
            <w14:solidFill>
              <w14:schemeClr w14:val="tx1"/>
            </w14:solidFill>
          </w14:textFill>
        </w:rPr>
        <w:t>（含测绘费）</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hAnsi="宋体" w:cs="宋体"/>
          <w:color w:val="000000" w:themeColor="text1"/>
          <w:szCs w:val="21"/>
          <w:highlight w:val="none"/>
          <w:u w:val="single"/>
          <w:lang w:val="en-US" w:eastAsia="zh-CN"/>
          <w14:textFill>
            <w14:solidFill>
              <w14:schemeClr w14:val="tx1"/>
            </w14:solidFill>
          </w14:textFill>
        </w:rPr>
        <w:t>288000.00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hAnsi="宋体" w:cs="宋体"/>
          <w:color w:val="000000" w:themeColor="text1"/>
          <w:szCs w:val="21"/>
          <w:highlight w:val="none"/>
          <w:u w:val="none"/>
          <w:lang w:val="en-US" w:eastAsia="zh-CN"/>
          <w14:textFill>
            <w14:solidFill>
              <w14:schemeClr w14:val="tx1"/>
            </w14:solidFill>
          </w14:textFill>
        </w:rPr>
        <w:t>、</w:t>
      </w:r>
      <w:r>
        <w:rPr>
          <w:rFonts w:hint="eastAsia" w:hAnsi="宋体" w:eastAsia="宋体" w:cs="宋体"/>
          <w:color w:val="000000" w:themeColor="text1"/>
          <w:szCs w:val="21"/>
          <w:highlight w:val="none"/>
          <w:u w:val="none"/>
          <w:lang w:val="en-US" w:eastAsia="zh-CN"/>
          <w14:textFill>
            <w14:solidFill>
              <w14:schemeClr w14:val="tx1"/>
            </w14:solidFill>
          </w14:textFill>
        </w:rPr>
        <w:t>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宋体" w:hAnsi="宋体" w:eastAsia="宋体" w:cs="宋体"/>
          <w:color w:val="000000" w:themeColor="text1"/>
          <w:szCs w:val="21"/>
          <w:highlight w:val="none"/>
          <w:u w:val="none"/>
          <w:lang w:val="en-US" w:eastAsia="zh-CN"/>
          <w14:textFill>
            <w14:solidFill>
              <w14:schemeClr w14:val="tx1"/>
            </w14:solidFill>
          </w14:textFill>
        </w:rPr>
        <w:t>含施工图审查费</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hAnsi="宋体" w:cs="宋体"/>
          <w:color w:val="000000" w:themeColor="text1"/>
          <w:szCs w:val="21"/>
          <w:highlight w:val="none"/>
          <w:u w:val="single"/>
          <w:lang w:val="en-US" w:eastAsia="zh-CN"/>
          <w14:textFill>
            <w14:solidFill>
              <w14:schemeClr w14:val="tx1"/>
            </w14:solidFill>
          </w14:textFill>
        </w:rPr>
        <w:t>552800.00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18001864.29</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具体详见下表：</w:t>
      </w:r>
    </w:p>
    <w:tbl>
      <w:tblPr>
        <w:tblStyle w:val="21"/>
        <w:tblW w:w="110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03"/>
        <w:gridCol w:w="1941"/>
        <w:gridCol w:w="1654"/>
        <w:gridCol w:w="1714"/>
        <w:gridCol w:w="3765"/>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83" w:type="dxa"/>
            <w:noWrap w:val="0"/>
            <w:vAlign w:val="center"/>
          </w:tcPr>
          <w:p w14:paraId="2D94BCE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403" w:type="dxa"/>
            <w:noWrap w:val="0"/>
            <w:vAlign w:val="center"/>
          </w:tcPr>
          <w:p w14:paraId="2305ED8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941" w:type="dxa"/>
            <w:noWrap w:val="0"/>
            <w:vAlign w:val="center"/>
          </w:tcPr>
          <w:p w14:paraId="52A2D1A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654" w:type="dxa"/>
            <w:noWrap w:val="0"/>
            <w:vAlign w:val="center"/>
          </w:tcPr>
          <w:p w14:paraId="2EDA1167">
            <w:pPr>
              <w:widowControl/>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714" w:type="dxa"/>
            <w:noWrap w:val="0"/>
            <w:vAlign w:val="center"/>
          </w:tcPr>
          <w:p w14:paraId="7F29E10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最高投标限价（元）</w:t>
            </w:r>
          </w:p>
        </w:tc>
        <w:tc>
          <w:tcPr>
            <w:tcW w:w="3765" w:type="dxa"/>
            <w:noWrap w:val="0"/>
            <w:vAlign w:val="center"/>
          </w:tcPr>
          <w:p w14:paraId="07408AC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83" w:type="dxa"/>
            <w:noWrap w:val="0"/>
            <w:vAlign w:val="center"/>
          </w:tcPr>
          <w:p w14:paraId="6B76A40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403" w:type="dxa"/>
            <w:noWrap w:val="0"/>
            <w:vAlign w:val="center"/>
          </w:tcPr>
          <w:p w14:paraId="5F06520E">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勘察费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（含测绘费）</w:t>
            </w:r>
          </w:p>
        </w:tc>
        <w:tc>
          <w:tcPr>
            <w:tcW w:w="1941" w:type="dxa"/>
            <w:noWrap w:val="0"/>
            <w:vAlign w:val="center"/>
          </w:tcPr>
          <w:p w14:paraId="745C4D48">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288000.00</w:t>
            </w:r>
          </w:p>
        </w:tc>
        <w:tc>
          <w:tcPr>
            <w:tcW w:w="1654" w:type="dxa"/>
            <w:noWrap w:val="0"/>
            <w:vAlign w:val="center"/>
          </w:tcPr>
          <w:p w14:paraId="6D34F16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7A72B69A">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288000.00</w:t>
            </w:r>
          </w:p>
        </w:tc>
        <w:tc>
          <w:tcPr>
            <w:tcW w:w="3765" w:type="dxa"/>
            <w:noWrap w:val="0"/>
            <w:vAlign w:val="center"/>
          </w:tcPr>
          <w:p w14:paraId="3ECE0DB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投标人在勘察费（含测绘费）的最高投标限价范围内进行自主报价，结算时勘察费、测绘费按实结算。</w:t>
            </w:r>
          </w:p>
        </w:tc>
      </w:tr>
      <w:tr w14:paraId="7A42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3" w:type="dxa"/>
            <w:noWrap w:val="0"/>
            <w:vAlign w:val="center"/>
          </w:tcPr>
          <w:p w14:paraId="31D6FCF1">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403" w:type="dxa"/>
            <w:noWrap w:val="0"/>
            <w:vAlign w:val="center"/>
          </w:tcPr>
          <w:p w14:paraId="6D6185D4">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含施工图审查费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941" w:type="dxa"/>
            <w:noWrap w:val="0"/>
            <w:vAlign w:val="center"/>
          </w:tcPr>
          <w:p w14:paraId="2B0225CF">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18001864.29</w:t>
            </w:r>
          </w:p>
        </w:tc>
        <w:tc>
          <w:tcPr>
            <w:tcW w:w="1654" w:type="dxa"/>
            <w:noWrap w:val="0"/>
            <w:vAlign w:val="center"/>
          </w:tcPr>
          <w:p w14:paraId="6D24F205">
            <w:pPr>
              <w:widowControl/>
              <w:jc w:val="cente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投标费率</w:t>
            </w:r>
            <w:r>
              <w:rPr>
                <w:rFonts w:hint="default" w:ascii="Arial" w:hAnsi="Arial" w:cs="Arial" w:eastAsia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3.071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427275B1">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552800.00</w:t>
            </w:r>
          </w:p>
        </w:tc>
        <w:tc>
          <w:tcPr>
            <w:tcW w:w="3765" w:type="dxa"/>
            <w:noWrap w:val="0"/>
            <w:vAlign w:val="center"/>
          </w:tcPr>
          <w:p w14:paraId="0477A642">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583" w:type="dxa"/>
            <w:noWrap w:val="0"/>
            <w:vAlign w:val="center"/>
          </w:tcPr>
          <w:p w14:paraId="14F79737">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403" w:type="dxa"/>
            <w:noWrap w:val="0"/>
            <w:vAlign w:val="center"/>
          </w:tcPr>
          <w:p w14:paraId="231550D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941" w:type="dxa"/>
            <w:noWrap w:val="0"/>
            <w:vAlign w:val="center"/>
          </w:tcPr>
          <w:p w14:paraId="07823EB0">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18001864.29</w:t>
            </w:r>
          </w:p>
        </w:tc>
        <w:tc>
          <w:tcPr>
            <w:tcW w:w="1654" w:type="dxa"/>
            <w:noWrap w:val="0"/>
            <w:vAlign w:val="center"/>
          </w:tcPr>
          <w:p w14:paraId="258BC55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&gt;</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0.00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08E52D6A">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18001864.29</w:t>
            </w:r>
          </w:p>
        </w:tc>
        <w:tc>
          <w:tcPr>
            <w:tcW w:w="3765" w:type="dxa"/>
            <w:noWrap w:val="0"/>
            <w:vAlign w:val="center"/>
          </w:tcPr>
          <w:p w14:paraId="310342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6" w:type="dxa"/>
            <w:gridSpan w:val="2"/>
            <w:noWrap w:val="0"/>
            <w:vAlign w:val="center"/>
          </w:tcPr>
          <w:p w14:paraId="5327044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941" w:type="dxa"/>
            <w:noWrap w:val="0"/>
            <w:vAlign w:val="center"/>
          </w:tcPr>
          <w:p w14:paraId="5D4A2FC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654" w:type="dxa"/>
            <w:noWrap w:val="0"/>
            <w:vAlign w:val="center"/>
          </w:tcPr>
          <w:p w14:paraId="7903A0C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3ED96BAD">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18842664.29</w:t>
            </w:r>
          </w:p>
        </w:tc>
        <w:tc>
          <w:tcPr>
            <w:tcW w:w="3765" w:type="dxa"/>
            <w:noWrap w:val="0"/>
            <w:vAlign w:val="center"/>
          </w:tcPr>
          <w:p w14:paraId="58E5CEC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65BED85E">
      <w:pPr>
        <w:pStyle w:val="32"/>
        <w:rPr>
          <w:rFonts w:ascii="宋体" w:hAnsi="宋体" w:cs="宋体"/>
          <w:color w:val="000000" w:themeColor="text1"/>
          <w:sz w:val="24"/>
          <w:highlight w:val="none"/>
          <w:lang w:val="zh-CN"/>
          <w14:textFill>
            <w14:solidFill>
              <w14:schemeClr w14:val="tx1"/>
            </w14:solidFill>
          </w14:textFill>
        </w:rPr>
      </w:pPr>
    </w:p>
    <w:p w14:paraId="68640D7E">
      <w:pPr>
        <w:spacing w:line="360" w:lineRule="auto"/>
        <w:ind w:firstLine="482" w:firstLineChars="200"/>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注：投标报价、</w:t>
      </w:r>
      <w:r>
        <w:rPr>
          <w:rFonts w:hint="eastAsia" w:ascii="宋体" w:hAnsi="宋体" w:eastAsia="宋体" w:cs="宋体"/>
          <w:b/>
          <w:bCs/>
          <w:color w:val="000000" w:themeColor="text1"/>
          <w:szCs w:val="21"/>
          <w:highlight w:val="none"/>
          <w:lang w:eastAsia="zh-CN"/>
          <w14:textFill>
            <w14:solidFill>
              <w14:schemeClr w14:val="tx1"/>
            </w14:solidFill>
          </w14:textFill>
        </w:rPr>
        <w:t>投标下浮</w:t>
      </w:r>
      <w:r>
        <w:rPr>
          <w:rFonts w:hint="eastAsia" w:ascii="宋体" w:hAnsi="宋体" w:eastAsia="宋体" w:cs="宋体"/>
          <w:b/>
          <w:bCs/>
          <w:color w:val="000000" w:themeColor="text1"/>
          <w:szCs w:val="21"/>
          <w:highlight w:val="none"/>
          <w14:textFill>
            <w14:solidFill>
              <w14:schemeClr w14:val="tx1"/>
            </w14:solidFill>
          </w14:textFill>
        </w:rPr>
        <w:t>率均保留至小数点后两位</w:t>
      </w:r>
      <w:r>
        <w:rPr>
          <w:rFonts w:hint="eastAsia" w:ascii="宋体" w:hAnsi="宋体" w:eastAsia="宋体" w:cs="宋体"/>
          <w:b/>
          <w:bCs/>
          <w:color w:val="000000" w:themeColor="text1"/>
          <w:szCs w:val="21"/>
          <w:highlight w:val="none"/>
          <w:lang w:eastAsia="zh-CN"/>
          <w14:textFill>
            <w14:solidFill>
              <w14:schemeClr w14:val="tx1"/>
            </w14:solidFill>
          </w14:textFill>
        </w:rPr>
        <w:t>，投标费率保留至小数点后三位。</w:t>
      </w:r>
    </w:p>
    <w:p w14:paraId="6B5404F4">
      <w:pPr>
        <w:pStyle w:val="40"/>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65" w:name="_Toc9185"/>
      <w:bookmarkStart w:id="166" w:name="_Toc16847"/>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67" w:name="_Hlt69332370"/>
      <w:bookmarkEnd w:id="167"/>
      <w:bookmarkStart w:id="168" w:name="_Hlt69208262"/>
      <w:bookmarkEnd w:id="168"/>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57"/>
      <w:bookmarkEnd w:id="158"/>
      <w:bookmarkEnd w:id="159"/>
      <w:bookmarkEnd w:id="160"/>
      <w:bookmarkEnd w:id="161"/>
      <w:bookmarkEnd w:id="162"/>
      <w:bookmarkEnd w:id="163"/>
      <w:bookmarkEnd w:id="164"/>
      <w:bookmarkEnd w:id="165"/>
      <w:bookmarkEnd w:id="166"/>
    </w:p>
    <w:p w14:paraId="4733A61A">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69" w:name="_Hlt74497202"/>
      <w:bookmarkEnd w:id="169"/>
      <w:bookmarkStart w:id="170" w:name="_Hlt74495594"/>
      <w:bookmarkEnd w:id="170"/>
      <w:bookmarkStart w:id="171" w:name="_Hlt78768224"/>
      <w:bookmarkEnd w:id="171"/>
      <w:bookmarkStart w:id="172" w:name="_Toc31856"/>
      <w:bookmarkStart w:id="173" w:name="_Toc437"/>
      <w:bookmarkStart w:id="174" w:name="_Toc13462"/>
      <w:bookmarkStart w:id="175" w:name="_Toc20541"/>
      <w:bookmarkStart w:id="176" w:name="_Toc32061"/>
      <w:bookmarkStart w:id="177" w:name="_Toc25295"/>
      <w:bookmarkStart w:id="178" w:name="_Toc17330"/>
      <w:bookmarkStart w:id="179" w:name="_Toc6695"/>
      <w:bookmarkStart w:id="180" w:name="_Toc28215"/>
      <w:bookmarkStart w:id="181" w:name="_Toc20091"/>
      <w:bookmarkStart w:id="182" w:name="_Toc29847"/>
      <w:bookmarkStart w:id="183" w:name="_Toc2841"/>
      <w:bookmarkStart w:id="184" w:name="_Toc9696"/>
      <w:bookmarkStart w:id="185" w:name="_Toc5812"/>
      <w:bookmarkStart w:id="186" w:name="_Toc12050"/>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F7FE17B">
      <w:pPr>
        <w:pStyle w:val="45"/>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w:t>
      </w:r>
      <w:r>
        <w:rPr>
          <w:rFonts w:hint="eastAsia" w:asciiTheme="minorEastAsia" w:hAnsiTheme="minorEastAsia" w:eastAsiaTheme="minorEastAsia" w:cstheme="minorEastAsia"/>
          <w:snapToGrid w:val="0"/>
          <w:color w:val="000000" w:themeColor="text1"/>
          <w:kern w:val="0"/>
          <w:highlight w:val="none"/>
          <w:lang w:val="en-US" w:eastAsia="zh-CN"/>
          <w14:textFill>
            <w14:solidFill>
              <w14:schemeClr w14:val="tx1"/>
            </w14:solidFill>
          </w14:textFill>
        </w:rPr>
        <w:t>六</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章 投标文件格式规定的内容，投标人提交的投标文件应当使用招标文件所提供的投标文件全部格式。</w:t>
      </w:r>
    </w:p>
    <w:p w14:paraId="5C5A60B4">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定标文件两册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投标人被确定为中标人后，应从交易系统打印两套纸质投标文件（含签名盖章页），内容同电子投标文件，在签订本招标项目承包合同前提交给招标人。（除招标文件约定外，纸质标书须与电子标书一致，不一致的以电子标书为准），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注：组成联合体时，只须加盖联合体牵头人的公章，联合体其它成员可不盖章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567A5AF">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p>
    <w:p w14:paraId="154E8AFF">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8"/>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87" w:name="_Toc274313880"/>
      <w:bookmarkStart w:id="188" w:name="_Toc257031159"/>
    </w:p>
    <w:p w14:paraId="11FE250F">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89" w:name="_Toc8355"/>
      <w:bookmarkStart w:id="190" w:name="_Toc18076"/>
      <w:bookmarkStart w:id="191" w:name="_Toc16107"/>
      <w:bookmarkStart w:id="192" w:name="_Toc27606"/>
      <w:bookmarkStart w:id="193" w:name="_Toc6622"/>
      <w:bookmarkStart w:id="194" w:name="_Toc38"/>
      <w:bookmarkStart w:id="195" w:name="_Toc27670"/>
      <w:bookmarkStart w:id="196" w:name="_Toc26859"/>
      <w:bookmarkStart w:id="197" w:name="_Toc4699"/>
      <w:bookmarkStart w:id="198" w:name="_Toc17946"/>
      <w:bookmarkStart w:id="199" w:name="_Toc26289"/>
      <w:bookmarkStart w:id="200" w:name="_Toc28070"/>
      <w:bookmarkStart w:id="201" w:name="_Toc29894"/>
      <w:bookmarkStart w:id="202" w:name="_Toc18670"/>
      <w:bookmarkStart w:id="203" w:name="_Toc23484"/>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87"/>
      <w:bookmarkEnd w:id="188"/>
      <w:bookmarkEnd w:id="189"/>
      <w:bookmarkEnd w:id="190"/>
      <w:bookmarkEnd w:id="191"/>
      <w:bookmarkEnd w:id="192"/>
      <w:bookmarkEnd w:id="193"/>
      <w:bookmarkEnd w:id="194"/>
      <w:bookmarkEnd w:id="195"/>
      <w:bookmarkEnd w:id="196"/>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投标文件的编制要求</w:t>
      </w:r>
      <w:bookmarkEnd w:id="197"/>
      <w:bookmarkEnd w:id="198"/>
      <w:bookmarkEnd w:id="199"/>
      <w:bookmarkEnd w:id="200"/>
      <w:bookmarkEnd w:id="201"/>
      <w:bookmarkEnd w:id="202"/>
      <w:bookmarkEnd w:id="203"/>
    </w:p>
    <w:p w14:paraId="1FCD77D4">
      <w:pPr>
        <w:pStyle w:val="38"/>
        <w:ind w:firstLine="561"/>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11.2.1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投标标书的编制要求：</w:t>
      </w:r>
    </w:p>
    <w:p w14:paraId="5516FD77">
      <w:pPr>
        <w:pStyle w:val="38"/>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（2）目录；</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简历表简历表》（格式十一）及所附资料；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二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8"/>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587FF5A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69A0DA6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 xml:space="preserve">2、本次招标投标时不要求按编制工程量清单计价模式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 </w:t>
      </w:r>
      <w:bookmarkStart w:id="204" w:name="_Toc1583"/>
      <w:bookmarkStart w:id="205" w:name="_Toc11926"/>
      <w:bookmarkStart w:id="206" w:name="_Toc14130"/>
      <w:bookmarkStart w:id="207" w:name="_Toc27175"/>
      <w:bookmarkStart w:id="208" w:name="_Toc11313"/>
      <w:bookmarkStart w:id="209" w:name="_Toc17459"/>
      <w:bookmarkStart w:id="210" w:name="_Toc13003"/>
      <w:bookmarkStart w:id="211" w:name="_Toc17812"/>
    </w:p>
    <w:p w14:paraId="31F18DFB">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定标文件的编制要求：</w:t>
      </w:r>
    </w:p>
    <w:p w14:paraId="419DC74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11.2.2.1 定标文件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包括以下内容：</w:t>
      </w:r>
    </w:p>
    <w:p w14:paraId="10A248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 定标因素评审资料（格式十四）</w:t>
      </w:r>
    </w:p>
    <w:p w14:paraId="4350E08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11.2.2.2</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 xml:space="preserve"> 本节第11.2.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目中所列出的组成内容中，第（1）项所有投标人均应提供。</w:t>
      </w:r>
    </w:p>
    <w:p w14:paraId="078C7FCC">
      <w:pPr>
        <w:pStyle w:val="50"/>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204"/>
      <w:bookmarkEnd w:id="205"/>
      <w:bookmarkEnd w:id="206"/>
      <w:bookmarkEnd w:id="207"/>
      <w:bookmarkEnd w:id="208"/>
      <w:bookmarkEnd w:id="209"/>
      <w:bookmarkEnd w:id="210"/>
      <w:bookmarkEnd w:id="211"/>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212" w:name="_Hlt66511038"/>
      <w:bookmarkEnd w:id="212"/>
      <w:bookmarkStart w:id="213" w:name="_Hlt66200498"/>
      <w:bookmarkEnd w:id="213"/>
      <w:bookmarkStart w:id="214" w:name="_Hlt88627590"/>
      <w:bookmarkEnd w:id="214"/>
      <w:bookmarkStart w:id="215" w:name="_Toc27961"/>
    </w:p>
    <w:p w14:paraId="57F68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50"/>
        <w:numPr>
          <w:ilvl w:val="0"/>
          <w:numId w:val="2"/>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16" w:name="_Toc28927"/>
    </w:p>
    <w:p w14:paraId="5CD5D936">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16"/>
      <w:bookmarkStart w:id="217" w:name="_Toc9612"/>
    </w:p>
    <w:p w14:paraId="4A9AE2A5">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17"/>
      <w:bookmarkStart w:id="218"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18"/>
      <w:bookmarkStart w:id="219" w:name="_Toc10157"/>
    </w:p>
    <w:p w14:paraId="1A3A30C4">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19"/>
      <w:bookmarkStart w:id="220" w:name="_Toc12675"/>
    </w:p>
    <w:p w14:paraId="1B7B6ECD">
      <w:pPr>
        <w:pStyle w:val="50"/>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15"/>
      <w:bookmarkEnd w:id="220"/>
      <w:bookmarkStart w:id="221" w:name="_Hlt92512875"/>
      <w:bookmarkEnd w:id="221"/>
      <w:bookmarkStart w:id="222" w:name="_Hlt74494779"/>
      <w:bookmarkEnd w:id="222"/>
      <w:bookmarkStart w:id="223" w:name="_Hlt69699424"/>
      <w:bookmarkEnd w:id="223"/>
      <w:bookmarkStart w:id="224" w:name="_Hlt66608380"/>
      <w:bookmarkEnd w:id="224"/>
      <w:bookmarkStart w:id="225" w:name="_Hlt75685366"/>
      <w:bookmarkEnd w:id="225"/>
      <w:bookmarkStart w:id="226" w:name="_Toc24469"/>
      <w:bookmarkStart w:id="227" w:name="_Toc30635"/>
      <w:bookmarkStart w:id="228" w:name="_Toc4483"/>
      <w:bookmarkStart w:id="229" w:name="_Toc104711075"/>
      <w:bookmarkStart w:id="230" w:name="_Toc3050"/>
      <w:bookmarkStart w:id="231" w:name="_Toc9838"/>
      <w:bookmarkStart w:id="232" w:name="_Toc28454"/>
      <w:bookmarkStart w:id="233" w:name="_Toc22741"/>
      <w:bookmarkStart w:id="234" w:name="_Toc7631"/>
      <w:bookmarkStart w:id="235" w:name="_Toc24322"/>
      <w:bookmarkStart w:id="236" w:name="_Toc106418820"/>
    </w:p>
    <w:p w14:paraId="012D5A77">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26"/>
      <w:bookmarkStart w:id="237" w:name="_Toc25103"/>
    </w:p>
    <w:p w14:paraId="19A13F2B">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37"/>
      <w:bookmarkStart w:id="238" w:name="_Toc9791"/>
    </w:p>
    <w:p w14:paraId="5D5E2591">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38"/>
      <w:bookmarkStart w:id="239" w:name="_Toc25029"/>
    </w:p>
    <w:p w14:paraId="66D42C80">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39"/>
      <w:bookmarkStart w:id="240" w:name="_Toc5665"/>
    </w:p>
    <w:p w14:paraId="0B2460FC">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40"/>
      <w:bookmarkStart w:id="241" w:name="_Toc1714"/>
    </w:p>
    <w:p w14:paraId="1D0EAFB6">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41"/>
      <w:bookmarkStart w:id="242" w:name="_Toc22519"/>
      <w:bookmarkStart w:id="243" w:name="_Toc30210"/>
      <w:bookmarkStart w:id="244" w:name="_Toc1212"/>
    </w:p>
    <w:p w14:paraId="7D6D8C0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42"/>
      <w:bookmarkEnd w:id="243"/>
      <w:bookmarkEnd w:id="244"/>
      <w:bookmarkStart w:id="245" w:name="_Toc3014"/>
      <w:bookmarkStart w:id="246" w:name="_Toc8927"/>
      <w:bookmarkStart w:id="247" w:name="_Toc29016"/>
    </w:p>
    <w:p w14:paraId="31CA0B3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45"/>
      <w:bookmarkEnd w:id="246"/>
      <w:bookmarkEnd w:id="247"/>
      <w:bookmarkStart w:id="248" w:name="_Toc16539"/>
      <w:bookmarkStart w:id="249" w:name="_Toc13703"/>
      <w:bookmarkStart w:id="250" w:name="_Toc13697"/>
    </w:p>
    <w:p w14:paraId="3B5C6ACD">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48"/>
      <w:bookmarkEnd w:id="249"/>
      <w:bookmarkEnd w:id="250"/>
      <w:bookmarkStart w:id="251" w:name="_Toc5287"/>
      <w:bookmarkStart w:id="252" w:name="_Toc6708"/>
      <w:bookmarkStart w:id="253" w:name="_Toc20579"/>
    </w:p>
    <w:p w14:paraId="2B4D986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51"/>
      <w:bookmarkEnd w:id="252"/>
      <w:bookmarkEnd w:id="253"/>
      <w:bookmarkStart w:id="254" w:name="_Toc18916"/>
      <w:bookmarkStart w:id="255" w:name="_Toc32603"/>
      <w:bookmarkStart w:id="256" w:name="_Toc31045"/>
    </w:p>
    <w:p w14:paraId="67FFA51A">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54"/>
      <w:bookmarkEnd w:id="255"/>
      <w:bookmarkEnd w:id="256"/>
      <w:bookmarkStart w:id="257" w:name="_Toc17194"/>
      <w:bookmarkStart w:id="258" w:name="_Toc15823"/>
      <w:bookmarkStart w:id="259" w:name="_Toc15124"/>
    </w:p>
    <w:p w14:paraId="4CB70762">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57"/>
      <w:bookmarkEnd w:id="258"/>
      <w:bookmarkEnd w:id="259"/>
      <w:bookmarkStart w:id="260" w:name="_Toc2022"/>
      <w:bookmarkStart w:id="261" w:name="_Toc17679"/>
      <w:bookmarkStart w:id="262" w:name="_Toc23037"/>
    </w:p>
    <w:p w14:paraId="6966CCD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60"/>
      <w:bookmarkEnd w:id="261"/>
      <w:bookmarkEnd w:id="262"/>
      <w:bookmarkStart w:id="263" w:name="_Toc30279"/>
      <w:bookmarkStart w:id="264" w:name="_Toc22805"/>
      <w:bookmarkStart w:id="265" w:name="_Toc27579"/>
    </w:p>
    <w:p w14:paraId="3AA61B1E">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63"/>
      <w:bookmarkEnd w:id="264"/>
      <w:bookmarkEnd w:id="265"/>
      <w:bookmarkStart w:id="266" w:name="_Toc26257"/>
      <w:bookmarkStart w:id="267" w:name="_Toc1293"/>
      <w:bookmarkStart w:id="268" w:name="_Toc17052"/>
    </w:p>
    <w:p w14:paraId="453F948A">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66"/>
      <w:bookmarkEnd w:id="267"/>
      <w:bookmarkEnd w:id="268"/>
    </w:p>
    <w:p w14:paraId="3B470C9B">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69" w:name="_Toc23907"/>
      <w:bookmarkStart w:id="270" w:name="_Toc7367"/>
      <w:bookmarkStart w:id="271" w:name="_Toc444"/>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69"/>
      <w:bookmarkEnd w:id="270"/>
      <w:bookmarkEnd w:id="271"/>
    </w:p>
    <w:p w14:paraId="1B20CC6E">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72" w:name="_Toc26444"/>
      <w:bookmarkStart w:id="273" w:name="_Toc13"/>
      <w:bookmarkStart w:id="274" w:name="_Toc2171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72"/>
      <w:bookmarkEnd w:id="273"/>
      <w:bookmarkEnd w:id="274"/>
    </w:p>
    <w:p w14:paraId="67B53C5C">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5" w:name="_Toc15060"/>
      <w:bookmarkStart w:id="276" w:name="_Toc23010"/>
      <w:bookmarkStart w:id="277" w:name="_Toc1579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27"/>
      <w:bookmarkEnd w:id="228"/>
      <w:bookmarkEnd w:id="229"/>
      <w:bookmarkEnd w:id="230"/>
      <w:bookmarkEnd w:id="231"/>
      <w:bookmarkEnd w:id="232"/>
      <w:bookmarkEnd w:id="233"/>
      <w:bookmarkEnd w:id="234"/>
      <w:bookmarkEnd w:id="235"/>
      <w:bookmarkEnd w:id="236"/>
      <w:bookmarkEnd w:id="275"/>
      <w:bookmarkEnd w:id="276"/>
      <w:bookmarkEnd w:id="277"/>
    </w:p>
    <w:p w14:paraId="22E1045D">
      <w:pPr>
        <w:pStyle w:val="38"/>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55"/>
    <w:p w14:paraId="74CE96D9">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8" w:name="_Hlt111081624"/>
      <w:bookmarkEnd w:id="278"/>
      <w:bookmarkStart w:id="279" w:name="_Toc9358"/>
      <w:bookmarkStart w:id="280" w:name="_Toc2954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79"/>
      <w:bookmarkEnd w:id="280"/>
    </w:p>
    <w:p w14:paraId="2802C55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8"/>
        <w:keepNext w:val="0"/>
        <w:keepLines w:val="0"/>
        <w:pageBreakBefore w:val="0"/>
        <w:widowControl w:val="0"/>
        <w:kinsoku/>
        <w:wordWrap w:val="0"/>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81" w:name="_Toc6274"/>
      <w:bookmarkStart w:id="282" w:name="_Toc19630"/>
      <w:bookmarkStart w:id="283" w:name="_Toc210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84" w:name="_Hlt127093805"/>
      <w:bookmarkEnd w:id="284"/>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81"/>
      <w:bookmarkEnd w:id="282"/>
      <w:bookmarkEnd w:id="283"/>
    </w:p>
    <w:p w14:paraId="354F25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评标委员会按照投标人评审综合总得分由高到低的原则,向招标人推荐已明确的定标候选人数量（不标明排序），并向招标人提交由全体评标委员会成员签字的评标报告。</w:t>
      </w:r>
    </w:p>
    <w:p w14:paraId="1B3E43C8">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85"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86" w:name="_Hlt69208274"/>
      <w:bookmarkEnd w:id="286"/>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85"/>
      <w:bookmarkStart w:id="287" w:name="_Hlt69338169"/>
      <w:bookmarkEnd w:id="287"/>
    </w:p>
    <w:p w14:paraId="0F5EF10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广东省综合评标评审专家库（韶关区域）</w:t>
      </w:r>
      <w:r>
        <w:rPr>
          <w:rFonts w:hint="eastAsia" w:asciiTheme="minorEastAsia" w:hAnsiTheme="minorEastAsia" w:eastAsiaTheme="minorEastAsia" w:cstheme="minorEastAsia"/>
          <w:bCs/>
          <w:color w:val="000000" w:themeColor="text1"/>
          <w:highlight w:val="none"/>
          <w14:textFill>
            <w14:solidFill>
              <w14:schemeClr w14:val="tx1"/>
            </w14:solidFill>
          </w14:textFill>
        </w:rPr>
        <w:t>中随机抽取，其中技术类专家3人，经济类专家2人。评标委员会的负责人在评委中民主选出，负责人的权力与评委成员相等。</w:t>
      </w:r>
    </w:p>
    <w:p w14:paraId="246730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88" w:name="_Hlt69700387"/>
      <w:bookmarkEnd w:id="288"/>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7BE0C71">
      <w:pPr>
        <w:pStyle w:val="38"/>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89" w:name="_Toc106418823"/>
      <w:bookmarkStart w:id="290" w:name="_Toc104711078"/>
      <w:bookmarkStart w:id="291"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89"/>
      <w:bookmarkEnd w:id="290"/>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评标方法</w:t>
      </w:r>
      <w:bookmarkEnd w:id="291"/>
    </w:p>
    <w:p w14:paraId="46B9485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92" w:name="_Hlt66591657"/>
      <w:bookmarkEnd w:id="292"/>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评审范围</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评标委员会应对所有投标人的投标文件进行评审。</w:t>
      </w:r>
    </w:p>
    <w:p w14:paraId="33F2CCB7">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初步评审阶段</w:t>
      </w:r>
    </w:p>
    <w:p w14:paraId="7A48C44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bCs/>
          <w:color w:val="000000" w:themeColor="text1"/>
          <w:highlight w:val="none"/>
          <w14:textFill>
            <w14:solidFill>
              <w14:schemeClr w14:val="tx1"/>
            </w14:solidFill>
          </w14:textFill>
        </w:rPr>
        <w:t>的条件是否符合招标文件规定；项目管理机构组成人员的各类证书、证件、证明是否合法、有效、准确；是否擅自修改、遗漏《项目经理任职声明》的实质性内容。</w:t>
      </w:r>
    </w:p>
    <w:p w14:paraId="0D85F41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75B20E2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否决投标说明</w:t>
      </w:r>
    </w:p>
    <w:p w14:paraId="09CB7FD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93"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详细评审阶段</w:t>
      </w:r>
      <w:bookmarkEnd w:id="293"/>
    </w:p>
    <w:p w14:paraId="1BF2C01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76A359A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156A89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部分指定的评分标准对各评分因素进行打分。各评分因素得分之和即为某投标人的</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5CEBE3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②将评标委员会所有成员的技术评分去掉最高分和最低分后，按“四舍五入”原则精确到两位小数即为该投标人</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部分的最终得分。</w:t>
      </w:r>
    </w:p>
    <w:p w14:paraId="0794734A">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21FDBF1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bookmarkEnd w:id="156"/>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4072407E">
      <w:pPr>
        <w:pStyle w:val="38"/>
        <w:autoSpaceDE w:val="0"/>
        <w:autoSpaceDN w:val="0"/>
        <w:adjustRightInd w:val="0"/>
        <w:ind w:firstLine="442" w:firstLineChars="200"/>
        <w:rPr>
          <w:rFonts w:hint="eastAsia" w:asciiTheme="minorEastAsia" w:hAnsiTheme="minorEastAsia" w:eastAsiaTheme="minorEastAsia" w:cstheme="minorEastAsia"/>
          <w:b/>
          <w:bCs w:val="0"/>
          <w:color w:val="000000" w:themeColor="text1"/>
          <w:sz w:val="22"/>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2"/>
          <w:szCs w:val="18"/>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Theme="minorEastAsia" w:hAnsiTheme="minorEastAsia" w:eastAsiaTheme="minorEastAsia" w:cstheme="minorEastAsia"/>
          <w:b/>
          <w:bCs w:val="0"/>
          <w:color w:val="000000" w:themeColor="text1"/>
          <w:sz w:val="22"/>
          <w:szCs w:val="18"/>
          <w:highlight w:val="none"/>
          <w:lang w:val="en-US" w:eastAsia="zh-CN"/>
          <w14:textFill>
            <w14:solidFill>
              <w14:schemeClr w14:val="tx1"/>
            </w14:solidFill>
          </w14:textFill>
        </w:rPr>
        <w:t>当有效投标人数量不足5名但满足法定要求时，所有通过评审的有效投标人均应作为定标候选人。</w:t>
      </w:r>
    </w:p>
    <w:p w14:paraId="45138ACC">
      <w:pPr>
        <w:pStyle w:val="38"/>
        <w:autoSpaceDE w:val="0"/>
        <w:autoSpaceDN w:val="0"/>
        <w:adjustRightInd w:val="0"/>
        <w:ind w:firstLine="562" w:firstLineChars="200"/>
        <w:rPr>
          <w:rFonts w:hint="eastAsia"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br w:type="page"/>
      </w:r>
    </w:p>
    <w:p w14:paraId="5492FD46">
      <w:pPr>
        <w:pStyle w:val="38"/>
        <w:autoSpaceDE w:val="0"/>
        <w:autoSpaceDN w:val="0"/>
        <w:adjustRightInd w:val="0"/>
        <w:jc w:val="center"/>
        <w:outlineLvl w:val="9"/>
        <w:rPr>
          <w:rFonts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W w:w="11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714"/>
        <w:gridCol w:w="949"/>
        <w:gridCol w:w="400"/>
        <w:gridCol w:w="709"/>
        <w:gridCol w:w="3869"/>
        <w:gridCol w:w="3971"/>
      </w:tblGrid>
      <w:tr w14:paraId="376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46" w:type="dxa"/>
            <w:vAlign w:val="center"/>
          </w:tcPr>
          <w:p w14:paraId="3CEC071A">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714" w:type="dxa"/>
            <w:vAlign w:val="center"/>
          </w:tcPr>
          <w:p w14:paraId="7963FAB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评标内容</w:t>
            </w:r>
          </w:p>
        </w:tc>
        <w:tc>
          <w:tcPr>
            <w:tcW w:w="9898" w:type="dxa"/>
            <w:gridSpan w:val="5"/>
            <w:vAlign w:val="center"/>
          </w:tcPr>
          <w:p w14:paraId="0B7F7C33">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说    明</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446" w:type="dxa"/>
            <w:vMerge w:val="restart"/>
            <w:vAlign w:val="center"/>
          </w:tcPr>
          <w:p w14:paraId="0C821BB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w:t>
            </w:r>
          </w:p>
        </w:tc>
        <w:tc>
          <w:tcPr>
            <w:tcW w:w="714" w:type="dxa"/>
            <w:vMerge w:val="restart"/>
            <w:vAlign w:val="center"/>
          </w:tcPr>
          <w:p w14:paraId="7A5EDAE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商务得分（50分）</w:t>
            </w:r>
          </w:p>
        </w:tc>
        <w:tc>
          <w:tcPr>
            <w:tcW w:w="949" w:type="dxa"/>
            <w:vMerge w:val="restart"/>
            <w:vAlign w:val="center"/>
          </w:tcPr>
          <w:p w14:paraId="35FFFB7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施工企业（17 分）</w:t>
            </w:r>
          </w:p>
        </w:tc>
        <w:tc>
          <w:tcPr>
            <w:tcW w:w="1109" w:type="dxa"/>
            <w:gridSpan w:val="2"/>
            <w:vAlign w:val="center"/>
          </w:tcPr>
          <w:p w14:paraId="3CB5FF0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项目经理综合素质（5分）</w:t>
            </w:r>
          </w:p>
        </w:tc>
        <w:tc>
          <w:tcPr>
            <w:tcW w:w="3869" w:type="dxa"/>
            <w:shd w:val="clear" w:color="auto" w:fill="auto"/>
            <w:vAlign w:val="center"/>
          </w:tcPr>
          <w:p w14:paraId="30D41FD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项目经理工程类技术职称情况：</w:t>
            </w:r>
          </w:p>
          <w:p w14:paraId="61BB266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1.具备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助理工程师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或以上职称的，得 5分；</w:t>
            </w:r>
          </w:p>
          <w:p w14:paraId="331D213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2.具备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技术员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职称的，得 2分；</w:t>
            </w:r>
          </w:p>
          <w:p w14:paraId="2B466038">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不具备以上职称的，不予计分</w:t>
            </w:r>
          </w:p>
        </w:tc>
        <w:tc>
          <w:tcPr>
            <w:tcW w:w="3971" w:type="dxa"/>
            <w:shd w:val="clear" w:color="auto" w:fill="auto"/>
            <w:vAlign w:val="center"/>
          </w:tcPr>
          <w:p w14:paraId="578CDED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需附职称证彩色扫描件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（或电子职称证），并加盖投标人公章</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446" w:type="dxa"/>
            <w:vMerge w:val="continue"/>
            <w:vAlign w:val="center"/>
          </w:tcPr>
          <w:p w14:paraId="7C7C715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3255E9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6236776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39951CA8">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企业业绩（5分）</w:t>
            </w:r>
          </w:p>
        </w:tc>
        <w:tc>
          <w:tcPr>
            <w:tcW w:w="3869" w:type="dxa"/>
            <w:vAlign w:val="center"/>
          </w:tcPr>
          <w:p w14:paraId="4DD7C4F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企业近5年来（2021年1月1日至今）业绩情况：</w:t>
            </w:r>
          </w:p>
          <w:p w14:paraId="03644E3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过类似工程的，每个得 2.5分；</w:t>
            </w:r>
          </w:p>
          <w:p w14:paraId="54A63A3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2.未</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过类似工程的，不予计分。</w:t>
            </w:r>
          </w:p>
          <w:p w14:paraId="2D55D4D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本项最高得5分。</w:t>
            </w:r>
          </w:p>
        </w:tc>
        <w:tc>
          <w:tcPr>
            <w:tcW w:w="3971" w:type="dxa"/>
            <w:vAlign w:val="center"/>
          </w:tcPr>
          <w:p w14:paraId="66ED951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1．类似工程指：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市政工程类项目（含施工总承包，设计施工总承包，勘察设计施工总承包项目）</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w:t>
            </w:r>
          </w:p>
          <w:p w14:paraId="2305D52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2．需附有关业绩中标通知书或合同协议书彩色扫描件。</w:t>
            </w:r>
          </w:p>
          <w:p w14:paraId="2190EAF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3．业绩时间以中标通知书或合同协议书日期为准。</w:t>
            </w:r>
          </w:p>
          <w:p w14:paraId="243B6BD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51F2586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①业绩不属于类似工程的；</w:t>
            </w:r>
          </w:p>
          <w:p w14:paraId="666BD66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②业绩时间不符合要求的。</w:t>
            </w:r>
          </w:p>
        </w:tc>
      </w:tr>
      <w:tr w14:paraId="298B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446" w:type="dxa"/>
            <w:vMerge w:val="continue"/>
            <w:vAlign w:val="center"/>
          </w:tcPr>
          <w:p w14:paraId="606CB25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7278AC0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2C0406E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669E33DA">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企业管理体系认证（3分）</w:t>
            </w:r>
          </w:p>
        </w:tc>
        <w:tc>
          <w:tcPr>
            <w:tcW w:w="3869" w:type="dxa"/>
            <w:vAlign w:val="center"/>
          </w:tcPr>
          <w:p w14:paraId="4D0233D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1.质量管理体系认证、职业健康安全管理体系认证、环境管理体系认证中，每获得1项认证得1分，最高得3分。</w:t>
            </w:r>
          </w:p>
        </w:tc>
        <w:tc>
          <w:tcPr>
            <w:tcW w:w="3971" w:type="dxa"/>
            <w:vAlign w:val="center"/>
          </w:tcPr>
          <w:p w14:paraId="2C15386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1.需附在有效期内的认证证书彩色扫描件。</w:t>
            </w:r>
          </w:p>
          <w:p w14:paraId="4BDF78F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2.任一认证证书有以下情形之一的，该认证证书视为无效，不予计分：</w:t>
            </w:r>
          </w:p>
          <w:p w14:paraId="1244C80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①认证证书不在有效期内的。</w:t>
            </w:r>
          </w:p>
        </w:tc>
      </w:tr>
      <w:tr w14:paraId="6D4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446" w:type="dxa"/>
            <w:vMerge w:val="continue"/>
            <w:vAlign w:val="center"/>
          </w:tcPr>
          <w:p w14:paraId="65D9872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F7825D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7924C9B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6AEA9659">
            <w:pPr>
              <w:keepNext w:val="0"/>
              <w:keepLines w:val="0"/>
              <w:pageBreakBefore w:val="0"/>
              <w:widowControl w:val="0"/>
              <w:kinsoku/>
              <w:wordWrap w:val="0"/>
              <w:overflowPunct/>
              <w:topLinePunct w:val="0"/>
              <w:autoSpaceDN/>
              <w:bidi w:val="0"/>
              <w:adjustRightInd w:val="0"/>
              <w:snapToGrid w:val="0"/>
              <w:spacing w:after="0" w:line="360" w:lineRule="exact"/>
              <w:jc w:val="center"/>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企业财务状况</w:t>
            </w:r>
          </w:p>
          <w:p w14:paraId="54764E4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（2分）</w:t>
            </w:r>
          </w:p>
        </w:tc>
        <w:tc>
          <w:tcPr>
            <w:tcW w:w="3869" w:type="dxa"/>
            <w:vAlign w:val="center"/>
          </w:tcPr>
          <w:p w14:paraId="509368E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企业连续</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年（其中必须有2024年）获得纳税信用A级纳税人的，得2分。</w:t>
            </w:r>
          </w:p>
        </w:tc>
        <w:tc>
          <w:tcPr>
            <w:tcW w:w="3971" w:type="dxa"/>
            <w:vAlign w:val="center"/>
          </w:tcPr>
          <w:p w14:paraId="314B76E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1.必须提供企业纳税信用A级纳税人证明材料（或证书）彩色扫描件及国家税务总局（或省级电子税务局）网上查询截图彩色扫描件，否则不得分。</w:t>
            </w:r>
          </w:p>
          <w:p w14:paraId="49F80453">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2.只计算投标人自身（不计算投标人的分公司、子公司及分值机构）</w:t>
            </w:r>
          </w:p>
        </w:tc>
      </w:tr>
      <w:tr w14:paraId="0C0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446" w:type="dxa"/>
            <w:vMerge w:val="continue"/>
            <w:vAlign w:val="center"/>
          </w:tcPr>
          <w:p w14:paraId="75762F8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533D77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0DB5C4E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59C0942A">
            <w:pPr>
              <w:keepNext w:val="0"/>
              <w:keepLines w:val="0"/>
              <w:pageBreakBefore w:val="0"/>
              <w:kinsoku/>
              <w:overflowPunct/>
              <w:topLinePunct w:val="0"/>
              <w:autoSpaceDN/>
              <w:bidi w:val="0"/>
              <w:spacing w:line="360" w:lineRule="exact"/>
              <w:jc w:val="center"/>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行业管理类</w:t>
            </w:r>
          </w:p>
          <w:p w14:paraId="1A70453E">
            <w:pPr>
              <w:keepNext w:val="0"/>
              <w:keepLines w:val="0"/>
              <w:pageBreakBefore w:val="0"/>
              <w:kinsoku/>
              <w:overflowPunct/>
              <w:topLinePunct w:val="0"/>
              <w:autoSpaceDN/>
              <w:bidi w:val="0"/>
              <w:spacing w:line="360" w:lineRule="exact"/>
              <w:jc w:val="center"/>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（2分）</w:t>
            </w:r>
          </w:p>
        </w:tc>
        <w:tc>
          <w:tcPr>
            <w:tcW w:w="3869" w:type="dxa"/>
            <w:vAlign w:val="center"/>
          </w:tcPr>
          <w:p w14:paraId="061E738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近5年来（2021年1月1日至今）投标人未发生事故等级为一般事故及以上的生产安全事故、一般质量事故及以上的工程质量事故的，得2分。</w:t>
            </w:r>
          </w:p>
        </w:tc>
        <w:tc>
          <w:tcPr>
            <w:tcW w:w="3971" w:type="dxa"/>
            <w:vAlign w:val="center"/>
          </w:tcPr>
          <w:p w14:paraId="57909AE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1.需提供本单位承诺书（格式自定）并加盖本单位公章。</w:t>
            </w:r>
          </w:p>
          <w:p w14:paraId="668B075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2.未提供本单位承诺书并加盖本单位公章的，不予得分。</w:t>
            </w:r>
          </w:p>
        </w:tc>
      </w:tr>
      <w:tr w14:paraId="34A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continue"/>
            <w:vAlign w:val="center"/>
          </w:tcPr>
          <w:p w14:paraId="34086E9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3C8AC9F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restart"/>
            <w:vAlign w:val="center"/>
          </w:tcPr>
          <w:p w14:paraId="2B5950CA">
            <w:pPr>
              <w:widowControl/>
              <w:jc w:val="cente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设计企</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业</w:t>
            </w:r>
          </w:p>
          <w:p w14:paraId="3A308127">
            <w:pPr>
              <w:widowControl/>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w:t>
            </w:r>
          </w:p>
        </w:tc>
        <w:tc>
          <w:tcPr>
            <w:tcW w:w="1109" w:type="dxa"/>
            <w:gridSpan w:val="2"/>
            <w:vAlign w:val="center"/>
          </w:tcPr>
          <w:p w14:paraId="3B7E0509">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企业</w:t>
            </w:r>
          </w:p>
          <w:p w14:paraId="77BCECBB">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奖项</w:t>
            </w:r>
          </w:p>
          <w:p w14:paraId="68407887">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2F7542B7">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r>
              <w:rPr>
                <w:rFonts w:hint="eastAsia" w:ascii="宋体" w:hAnsi="宋体" w:cs="宋体" w:eastAsiaTheme="minorEastAsia"/>
                <w:color w:val="000000" w:themeColor="text1"/>
                <w:sz w:val="22"/>
                <w:szCs w:val="22"/>
                <w:highlight w:val="none"/>
                <w:lang w:val="en-US" w:eastAsia="zh-CN"/>
                <w14:textFill>
                  <w14:solidFill>
                    <w14:schemeClr w14:val="tx1"/>
                  </w14:solidFill>
                </w14:textFill>
              </w:rPr>
              <w:t>2</w:t>
            </w:r>
            <w:r>
              <w:rPr>
                <w:rFonts w:hint="eastAsia" w:hAnsi="宋体" w:cs="宋体" w:eastAsiaTheme="minorEastAsia"/>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年1月1日至今获得工程类优秀工程勘察设计奖</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市政</w:t>
            </w:r>
            <w:r>
              <w:rPr>
                <w:rFonts w:hint="eastAsia" w:hAnsi="宋体" w:eastAsia="宋体" w:cs="宋体"/>
                <w:color w:val="000000" w:themeColor="text1"/>
                <w:sz w:val="22"/>
                <w:szCs w:val="22"/>
                <w:highlight w:val="none"/>
                <w:u w:val="single"/>
                <w:lang w:val="en-US" w:eastAsia="zh-CN"/>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类</w:t>
            </w:r>
            <w:r>
              <w:rPr>
                <w:rFonts w:hint="eastAsia" w:ascii="宋体" w:hAnsi="宋体" w:eastAsia="宋体" w:cs="宋体"/>
                <w:color w:val="000000" w:themeColor="text1"/>
                <w:sz w:val="22"/>
                <w:szCs w:val="22"/>
                <w:highlight w:val="none"/>
                <w14:textFill>
                  <w14:solidFill>
                    <w14:schemeClr w14:val="tx1"/>
                  </w14:solidFill>
                </w14:textFill>
              </w:rPr>
              <w:t>奖</w:t>
            </w:r>
            <w:r>
              <w:rPr>
                <w:rFonts w:hint="eastAsia" w:hAnsi="宋体" w:eastAsia="宋体" w:cs="宋体"/>
                <w:color w:val="000000" w:themeColor="text1"/>
                <w:sz w:val="22"/>
                <w:szCs w:val="22"/>
                <w:highlight w:val="none"/>
                <w:lang w:val="en-US" w:eastAsia="zh-CN"/>
                <w14:textFill>
                  <w14:solidFill>
                    <w14:schemeClr w14:val="tx1"/>
                  </w14:solidFill>
                </w14:textFill>
              </w:rPr>
              <w:t>项</w:t>
            </w:r>
            <w:r>
              <w:rPr>
                <w:rFonts w:hint="eastAsia" w:ascii="宋体" w:hAnsi="宋体" w:eastAsia="宋体" w:cs="宋体"/>
                <w:color w:val="000000" w:themeColor="text1"/>
                <w:sz w:val="22"/>
                <w:szCs w:val="22"/>
                <w:highlight w:val="none"/>
                <w14:textFill>
                  <w14:solidFill>
                    <w14:schemeClr w14:val="tx1"/>
                  </w14:solidFill>
                </w14:textFill>
              </w:rPr>
              <w:t>情况：</w:t>
            </w:r>
          </w:p>
          <w:p w14:paraId="2F44DE35">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1.获得国家级奖项的，每项得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5C03A64C">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2获得省级奖项的，每项得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1DF555A0">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3.获得地市级奖项的，每项得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2DEE3E30">
            <w:pPr>
              <w:keepNext w:val="0"/>
              <w:keepLines w:val="0"/>
              <w:pageBreakBefore w:val="0"/>
              <w:kinsoku/>
              <w:overflowPunct/>
              <w:topLinePunct w:val="0"/>
              <w:autoSpaceDN/>
              <w:bidi w:val="0"/>
              <w:spacing w:line="360" w:lineRule="auto"/>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44A9D1BC">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1.允许投标人提交多个业绩，但同一业绩只按最高级别奖项计分一次。</w:t>
            </w:r>
          </w:p>
          <w:p w14:paraId="4D87EA2E">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2.需附有关奖项证明彩色扫描件并加盖投标人公章。</w:t>
            </w:r>
          </w:p>
          <w:p w14:paraId="5674C402">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3．颁发机构限定以下范围：</w:t>
            </w:r>
          </w:p>
          <w:p w14:paraId="463A22ED">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①国家级奖项：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国务院、住建部、中国勘察设计协会或工程勘察设计行业协会、中国建筑业协会；</w:t>
            </w:r>
          </w:p>
          <w:p w14:paraId="62407E41">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②省级奖项：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省级人民政府、省级住建部门、省级勘察设计协会或工程勘察设计行业协会、省级建筑业协会；</w:t>
            </w:r>
          </w:p>
          <w:p w14:paraId="096C5D92">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③地市级奖项：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 xml:space="preserve"> 地市级人民政府、地市级勘察设计协会或工程勘察设计行业协会、地市级建筑协会</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18DD14A0">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4．获奖时间以奖项证明的落款日期为准。</w:t>
            </w:r>
          </w:p>
          <w:p w14:paraId="43668F62">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5．任一奖项有以下情形之一的，该奖项视为无效，不予计分：</w:t>
            </w:r>
          </w:p>
          <w:p w14:paraId="0AF4E343">
            <w:pPr>
              <w:keepNext w:val="0"/>
              <w:keepLines w:val="0"/>
              <w:pageBreakBefore w:val="0"/>
              <w:widowControl w:val="0"/>
              <w:kinsoku/>
              <w:overflowPunct/>
              <w:topLinePunct w:val="0"/>
              <w:autoSpaceDE/>
              <w:autoSpaceDN/>
              <w:bidi w:val="0"/>
              <w:spacing w:line="34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①奖项不属于指定类别的；</w:t>
            </w:r>
          </w:p>
          <w:p w14:paraId="133CDBE3">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②颁发机构不符合要求的；</w:t>
            </w:r>
          </w:p>
          <w:p w14:paraId="5D3CFB51">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③获奖时间不符合要求的。</w:t>
            </w:r>
          </w:p>
        </w:tc>
      </w:tr>
      <w:tr w14:paraId="2A2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446" w:type="dxa"/>
            <w:vMerge w:val="continue"/>
            <w:vAlign w:val="center"/>
          </w:tcPr>
          <w:p w14:paraId="3959F9A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A30FB9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8F3088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3D2C5E79">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企业</w:t>
            </w:r>
          </w:p>
          <w:p w14:paraId="088587C8">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业绩</w:t>
            </w:r>
          </w:p>
          <w:p w14:paraId="48DDCA1A">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276D6798">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cs="宋体"/>
                <w:color w:val="000000" w:themeColor="text1"/>
                <w:sz w:val="22"/>
                <w:szCs w:val="22"/>
                <w:highlight w:val="none"/>
                <w:lang w:val="en-US" w:eastAsia="zh-CN"/>
                <w14:textFill>
                  <w14:solidFill>
                    <w14:schemeClr w14:val="tx1"/>
                  </w14:solidFill>
                </w14:textFill>
              </w:rPr>
              <w:t>企业近5年来（2021</w:t>
            </w:r>
            <w:r>
              <w:rPr>
                <w:rFonts w:hint="eastAsia" w:ascii="宋体" w:hAnsi="宋体" w:eastAsia="宋体" w:cs="宋体"/>
                <w:color w:val="000000" w:themeColor="text1"/>
                <w:sz w:val="22"/>
                <w:szCs w:val="22"/>
                <w:highlight w:val="none"/>
                <w:lang w:eastAsia="zh-CN"/>
                <w14:textFill>
                  <w14:solidFill>
                    <w14:schemeClr w14:val="tx1"/>
                  </w14:solidFill>
                </w14:textFill>
              </w:rPr>
              <w:t>年1月1日至今</w:t>
            </w:r>
            <w:r>
              <w:rPr>
                <w:rFonts w:hint="eastAsia"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业绩情况：</w:t>
            </w:r>
          </w:p>
          <w:p w14:paraId="0C3F6C2B">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过类似项目的，每个得</w:t>
            </w:r>
            <w:r>
              <w:rPr>
                <w:rFonts w:hint="eastAsia" w:cs="宋体"/>
                <w:color w:val="000000" w:themeColor="text1"/>
                <w:sz w:val="22"/>
                <w:szCs w:val="22"/>
                <w:highlight w:val="none"/>
                <w:lang w:val="en-US" w:eastAsia="zh-CN"/>
                <w14:textFill>
                  <w14:solidFill>
                    <w14:schemeClr w14:val="tx1"/>
                  </w14:solidFill>
                </w14:textFill>
              </w:rPr>
              <w:t>2.5</w:t>
            </w:r>
            <w:r>
              <w:rPr>
                <w:rFonts w:hint="eastAsia" w:ascii="宋体" w:hAnsi="宋体" w:eastAsia="宋体" w:cs="宋体"/>
                <w:color w:val="000000" w:themeColor="text1"/>
                <w:sz w:val="22"/>
                <w:szCs w:val="22"/>
                <w:highlight w:val="none"/>
                <w:lang w:eastAsia="zh-CN"/>
                <w14:textFill>
                  <w14:solidFill>
                    <w14:schemeClr w14:val="tx1"/>
                  </w14:solidFill>
                </w14:textFill>
              </w:rPr>
              <w:t>分。</w:t>
            </w:r>
          </w:p>
          <w:p w14:paraId="6D8FC94C">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2．未</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过类似项目的，不予计分。</w:t>
            </w:r>
          </w:p>
          <w:p w14:paraId="035A67FE">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45DB908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1．类似项目指：</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市政工程类项目</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（含设计，勘察设计，勘察设计施工总承包项目、业绩成果）。</w:t>
            </w:r>
          </w:p>
          <w:p w14:paraId="0148F5D4">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2．需附有关业绩合同协议书关键页或中标通知书彩色扫描件，并加盖投标人公章。</w:t>
            </w:r>
          </w:p>
          <w:p w14:paraId="3C58D67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3．业绩时间以中标通知书或合同协议书为准。</w:t>
            </w:r>
          </w:p>
          <w:p w14:paraId="2F3807A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23B76BD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①业绩不属于类似工程的；</w:t>
            </w:r>
          </w:p>
          <w:p w14:paraId="071A5C7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②业绩时间不符合要求的。</w:t>
            </w:r>
          </w:p>
        </w:tc>
      </w:tr>
      <w:tr w14:paraId="19E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46" w:type="dxa"/>
            <w:vMerge w:val="continue"/>
            <w:vAlign w:val="center"/>
          </w:tcPr>
          <w:p w14:paraId="034ABE9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248317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3AD3F7E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5E3CDC08">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设计负责人综合素质</w:t>
            </w:r>
          </w:p>
          <w:p w14:paraId="43C5EE27">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tc>
        <w:tc>
          <w:tcPr>
            <w:tcW w:w="3869" w:type="dxa"/>
            <w:vAlign w:val="center"/>
          </w:tcPr>
          <w:p w14:paraId="4D621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1.同时具有注册土木工程师（道路工程）及高级</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工程师</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（或以上）</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技术</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职称</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得</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p w14:paraId="771FE4E0">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本项最高得</w:t>
            </w:r>
            <w:r>
              <w:rPr>
                <w:rFonts w:hint="eastAsia"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tc>
        <w:tc>
          <w:tcPr>
            <w:tcW w:w="3971" w:type="dxa"/>
            <w:vAlign w:val="top"/>
          </w:tcPr>
          <w:p w14:paraId="794406EE">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证书彩色扫描件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打印件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）并加盖投标人公章。</w:t>
            </w:r>
          </w:p>
          <w:p w14:paraId="10D7BB77">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2.需提供</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设计负责人</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在本单位缴纳近三个月社保的证明（其中必须有202</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年</w:t>
            </w:r>
            <w:r>
              <w:rPr>
                <w:rFonts w:hint="eastAsia" w:ascii="宋体"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0</w:t>
            </w:r>
            <w:r>
              <w:rPr>
                <w:rFonts w:hint="eastAsia"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kern w:val="0"/>
                <w:sz w:val="22"/>
                <w:szCs w:val="22"/>
                <w:highlight w:val="none"/>
                <w14:textFill>
                  <w14:solidFill>
                    <w14:schemeClr w14:val="tx1"/>
                  </w14:solidFill>
                </w14:textFill>
              </w:rPr>
              <w:t>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若是退休人员需提供退休证和返聘合同（协议）彩色扫描件。</w:t>
            </w:r>
          </w:p>
          <w:p w14:paraId="6822F484">
            <w:pPr>
              <w:pStyle w:val="2"/>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val="0"/>
                <w:snapToGrid w:val="0"/>
                <w:color w:val="000000" w:themeColor="text1"/>
                <w:kern w:val="0"/>
                <w:sz w:val="22"/>
                <w:szCs w:val="22"/>
                <w:highlight w:val="none"/>
                <w:lang w:val="en-US" w:eastAsia="zh-CN" w:bidi="ar-SA"/>
                <w14:textFill>
                  <w14:solidFill>
                    <w14:schemeClr w14:val="tx1"/>
                  </w14:solidFill>
                </w14:textFill>
              </w:rPr>
              <w:t>3.非独立法人分支机构出具社保，予以认可</w:t>
            </w:r>
          </w:p>
        </w:tc>
      </w:tr>
      <w:tr w14:paraId="1D6C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446" w:type="dxa"/>
            <w:vMerge w:val="continue"/>
            <w:vAlign w:val="center"/>
          </w:tcPr>
          <w:p w14:paraId="7FE410C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908FF7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FF07C7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4A329C46">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其他人员综合素质</w:t>
            </w:r>
          </w:p>
          <w:p w14:paraId="59CF55F2">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780DE481">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拟投入本项目的</w:t>
            </w:r>
            <w:r>
              <w:rPr>
                <w:rFonts w:hint="eastAsia" w:hAnsi="宋体" w:eastAsia="宋体" w:cs="宋体"/>
                <w:color w:val="000000" w:themeColor="text1"/>
                <w:sz w:val="22"/>
                <w:szCs w:val="22"/>
                <w:highlight w:val="none"/>
                <w:lang w:val="en-US" w:eastAsia="zh-CN"/>
                <w14:textFill>
                  <w14:solidFill>
                    <w14:schemeClr w14:val="tx1"/>
                  </w14:solidFill>
                </w14:textFill>
              </w:rPr>
              <w:t>专业技术</w:t>
            </w:r>
            <w:r>
              <w:rPr>
                <w:rFonts w:hint="eastAsia" w:ascii="宋体" w:hAnsi="宋体" w:eastAsia="宋体" w:cs="宋体"/>
                <w:color w:val="000000" w:themeColor="text1"/>
                <w:sz w:val="22"/>
                <w:szCs w:val="22"/>
                <w:highlight w:val="none"/>
                <w14:textFill>
                  <w14:solidFill>
                    <w14:schemeClr w14:val="tx1"/>
                  </w14:solidFill>
                </w14:textFill>
              </w:rPr>
              <w:t>人员（设计负责人除外）情况：</w:t>
            </w:r>
          </w:p>
          <w:p w14:paraId="5032DFD9">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00C462A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2.给排水专业负责人：具有给排水</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67166A1B">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3.结构专业负责人：具有结构</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19BE2F2C">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4.电气专业负责人：具有电气</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3F9073DC">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40208C59">
            <w:pPr>
              <w:keepNext w:val="0"/>
              <w:keepLines w:val="0"/>
              <w:pageBreakBefore w:val="0"/>
              <w:kinsoku/>
              <w:overflowPunct/>
              <w:topLinePunct w:val="0"/>
              <w:autoSpaceDN/>
              <w:bidi w:val="0"/>
              <w:spacing w:line="360" w:lineRule="exact"/>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3FE8435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1.需附职称证</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（或电子职称证</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书</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），并加盖投标人公章。</w:t>
            </w:r>
          </w:p>
          <w:p w14:paraId="6EDDB94B">
            <w:pPr>
              <w:keepNext w:val="0"/>
              <w:keepLines w:val="0"/>
              <w:pageBreakBefore w:val="0"/>
              <w:kinsoku/>
              <w:overflowPunct/>
              <w:topLinePunct w:val="0"/>
              <w:autoSpaceDN/>
              <w:bidi w:val="0"/>
              <w:spacing w:line="360" w:lineRule="exact"/>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2.需提供各专业人员在本单位缴纳近三个月社保的证明（其中必须有</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202</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eastAsiaTheme="minorEastAsia"/>
                <w:snapToGrid w:val="0"/>
                <w:color w:val="000000" w:themeColor="text1"/>
                <w:kern w:val="0"/>
                <w:sz w:val="22"/>
                <w:szCs w:val="22"/>
                <w:highlight w:val="none"/>
                <w:lang w:val="en-US" w:eastAsia="zh-CN"/>
                <w14:textFill>
                  <w14:solidFill>
                    <w14:schemeClr w14:val="tx1"/>
                  </w14:solidFill>
                </w14:textFill>
              </w:rPr>
              <w:t>0</w:t>
            </w:r>
            <w:r>
              <w:rPr>
                <w:rFonts w:hint="eastAsia" w:hAnsi="宋体" w:cs="宋体" w:eastAsiaTheme="minorEastAsia"/>
                <w:snapToGrid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14:textFill>
                  <w14:solidFill>
                    <w14:schemeClr w14:val="tx1"/>
                  </w14:solidFill>
                </w14:textFill>
              </w:rPr>
              <w:t>月）彩色扫描件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2"/>
                <w:szCs w:val="22"/>
                <w:highlight w:val="none"/>
                <w14:textFill>
                  <w14:solidFill>
                    <w14:schemeClr w14:val="tx1"/>
                  </w14:solidFill>
                </w14:textFill>
              </w:rPr>
              <w:t>，若是退休人员需提供退休证和返聘合同（协议）扫描件。</w:t>
            </w:r>
          </w:p>
          <w:p w14:paraId="1504E102">
            <w:pPr>
              <w:keepNext w:val="0"/>
              <w:keepLines w:val="0"/>
              <w:pageBreakBefore w:val="0"/>
              <w:kinsoku/>
              <w:overflowPunct/>
              <w:topLinePunct w:val="0"/>
              <w:autoSpaceDN/>
              <w:bidi w:val="0"/>
              <w:spacing w:line="360" w:lineRule="exact"/>
              <w:textAlignment w:val="auto"/>
              <w:rPr>
                <w:rFonts w:hint="default"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3.</w:t>
            </w: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非独立法人分支机构出具社保，予以认可</w:t>
            </w:r>
          </w:p>
        </w:tc>
      </w:tr>
      <w:tr w14:paraId="3DE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46" w:type="dxa"/>
            <w:vMerge w:val="continue"/>
            <w:vAlign w:val="center"/>
          </w:tcPr>
          <w:p w14:paraId="512CBC5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2F2202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2B225EF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shd w:val="clear" w:color="auto" w:fill="auto"/>
            <w:vAlign w:val="center"/>
          </w:tcPr>
          <w:p w14:paraId="7960F0DC">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2"/>
                <w:szCs w:val="22"/>
                <w:highlight w:val="none"/>
                <w14:textFill>
                  <w14:solidFill>
                    <w14:schemeClr w14:val="tx1"/>
                  </w14:solidFill>
                </w14:textFill>
              </w:rPr>
              <w:t>企业信用</w:t>
            </w:r>
          </w:p>
          <w:p w14:paraId="18A414FE">
            <w:pPr>
              <w:widowControl/>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r>
              <w:rPr>
                <w:rFonts w:hint="eastAsia" w:hAnsi="宋体" w:cs="宋体" w:eastAsiaTheme="minorEastAsia"/>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tc>
        <w:tc>
          <w:tcPr>
            <w:tcW w:w="3869" w:type="dxa"/>
            <w:vAlign w:val="center"/>
          </w:tcPr>
          <w:p w14:paraId="00BB857B">
            <w:pPr>
              <w:keepNext w:val="0"/>
              <w:keepLines w:val="0"/>
              <w:pageBreakBefore w:val="0"/>
              <w:kinsoku/>
              <w:overflowPunct/>
              <w:topLinePunct w:val="0"/>
              <w:autoSpaceDN/>
              <w:bidi w:val="0"/>
              <w:spacing w:line="360" w:lineRule="exact"/>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近3年度（202</w:t>
            </w:r>
            <w:r>
              <w:rPr>
                <w:rFonts w:hint="eastAsia"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年度至今）获得过“中国</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市政工程</w:t>
            </w:r>
            <w:r>
              <w:rPr>
                <w:rFonts w:hint="eastAsia" w:ascii="宋体" w:hAnsi="宋体" w:eastAsia="宋体" w:cs="宋体"/>
                <w:color w:val="000000" w:themeColor="text1"/>
                <w:sz w:val="22"/>
                <w:szCs w:val="22"/>
                <w:highlight w:val="none"/>
                <w14:textFill>
                  <w14:solidFill>
                    <w14:schemeClr w14:val="tx1"/>
                  </w14:solidFill>
                </w14:textFill>
              </w:rPr>
              <w:t>协会”颁发的企业信用等级AAA级证书的</w:t>
            </w:r>
            <w:r>
              <w:rPr>
                <w:rFonts w:hint="eastAsia"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06152F55">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1.证书由“中国市政工程协会”颁发，须提供有关证书彩色扫描件，并加盖投标人公章。</w:t>
            </w:r>
          </w:p>
          <w:p w14:paraId="3455283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2．颁发机构不符合要求的，</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颁发时间不符合要求的，</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不予计分：</w:t>
            </w:r>
          </w:p>
        </w:tc>
      </w:tr>
      <w:tr w14:paraId="470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46" w:type="dxa"/>
            <w:vMerge w:val="continue"/>
            <w:vAlign w:val="center"/>
          </w:tcPr>
          <w:p w14:paraId="5C14511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B753D6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3945AAB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09AEC98F">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 xml:space="preserve">企业管理 </w:t>
            </w:r>
          </w:p>
          <w:p w14:paraId="778FBDE2">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体系认证</w:t>
            </w:r>
          </w:p>
          <w:p w14:paraId="6063364F">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hAnsi="宋体" w:cs="宋体" w:eastAsiaTheme="minorEastAsia"/>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7536A572">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1．质量管理体系认证、职业健康安全管理体系认证、环境管理体系认证中</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，每获得1项认证得1分，最高</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得</w:t>
            </w:r>
            <w:r>
              <w:rPr>
                <w:rFonts w:hint="eastAsia"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分</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33F6F119">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2．未获得以上认证的，不予计分。</w:t>
            </w:r>
          </w:p>
        </w:tc>
        <w:tc>
          <w:tcPr>
            <w:tcW w:w="3971" w:type="dxa"/>
            <w:vAlign w:val="center"/>
          </w:tcPr>
          <w:p w14:paraId="55E9A437">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1.需附在有效期内的认证证书彩色扫描件。</w:t>
            </w:r>
          </w:p>
          <w:p w14:paraId="1231C9A1">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2.任一认证证书有以下情形之一的，该认证证书视为无效，不予计分：</w:t>
            </w:r>
          </w:p>
          <w:p w14:paraId="4AE10580">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①认证证书不在有效期内的。</w:t>
            </w:r>
          </w:p>
        </w:tc>
      </w:tr>
      <w:tr w14:paraId="51BE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446" w:type="dxa"/>
            <w:vAlign w:val="center"/>
          </w:tcPr>
          <w:p w14:paraId="6A856E5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09E74CA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restart"/>
            <w:vAlign w:val="center"/>
          </w:tcPr>
          <w:p w14:paraId="38647EF9">
            <w:pPr>
              <w:widowControl/>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勘察企业（6分）</w:t>
            </w:r>
          </w:p>
        </w:tc>
        <w:tc>
          <w:tcPr>
            <w:tcW w:w="1109" w:type="dxa"/>
            <w:gridSpan w:val="2"/>
            <w:vAlign w:val="center"/>
          </w:tcPr>
          <w:p w14:paraId="533889B0">
            <w:pPr>
              <w:keepNext w:val="0"/>
              <w:keepLines w:val="0"/>
              <w:pageBreakBefore w:val="0"/>
              <w:kinsoku/>
              <w:overflowPunct/>
              <w:topLinePunct w:val="0"/>
              <w:autoSpaceDN/>
              <w:bidi w:val="0"/>
              <w:spacing w:line="3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hAnsi="宋体" w:eastAsia="宋体" w:cs="宋体"/>
                <w:color w:val="000000" w:themeColor="text1"/>
                <w:sz w:val="22"/>
                <w:szCs w:val="22"/>
                <w:highlight w:val="none"/>
                <w:lang w:val="en-US" w:eastAsia="zh-CN"/>
                <w14:textFill>
                  <w14:solidFill>
                    <w14:schemeClr w14:val="tx1"/>
                  </w14:solidFill>
                </w14:textFill>
              </w:rPr>
              <w:t>勘察负责人综合素质（3分）</w:t>
            </w:r>
          </w:p>
        </w:tc>
        <w:tc>
          <w:tcPr>
            <w:tcW w:w="3869" w:type="dxa"/>
            <w:vAlign w:val="center"/>
          </w:tcPr>
          <w:p w14:paraId="271C5E73">
            <w:pPr>
              <w:keepNext w:val="0"/>
              <w:keepLines w:val="0"/>
              <w:pageBreakBefore w:val="0"/>
              <w:widowControl w:val="0"/>
              <w:numPr>
                <w:ilvl w:val="0"/>
                <w:numId w:val="3"/>
              </w:numPr>
              <w:kinsoku/>
              <w:wordWrap w:val="0"/>
              <w:overflowPunct/>
              <w:topLinePunct w:val="0"/>
              <w:autoSpaceDN/>
              <w:bidi w:val="0"/>
              <w:adjustRightInd w:val="0"/>
              <w:snapToGrid w:val="0"/>
              <w:spacing w:after="0" w:line="360" w:lineRule="auto"/>
              <w:jc w:val="both"/>
              <w:textAlignment w:val="auto"/>
              <w:rPr>
                <w:rFonts w:hint="default"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拟委派本项目的勘察负责人具备岩土类高级工程师（或以上）技术职称的得3分；</w:t>
            </w:r>
          </w:p>
          <w:p w14:paraId="031B7EF7">
            <w:pPr>
              <w:keepNext w:val="0"/>
              <w:keepLines w:val="0"/>
              <w:pageBreakBefore w:val="0"/>
              <w:widowControl w:val="0"/>
              <w:numPr>
                <w:ilvl w:val="0"/>
                <w:numId w:val="3"/>
              </w:numPr>
              <w:kinsoku/>
              <w:wordWrap w:val="0"/>
              <w:overflowPunct/>
              <w:topLinePunct w:val="0"/>
              <w:autoSpaceDN/>
              <w:bidi w:val="0"/>
              <w:adjustRightInd w:val="0"/>
              <w:snapToGrid w:val="0"/>
              <w:spacing w:after="0" w:line="360" w:lineRule="auto"/>
              <w:jc w:val="both"/>
              <w:textAlignment w:val="auto"/>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拟委派本项目的勘察负责人具备岩土类工程师技术职称的得2分；</w:t>
            </w:r>
          </w:p>
          <w:p w14:paraId="251E1A0B">
            <w:pPr>
              <w:keepNext w:val="0"/>
              <w:keepLines w:val="0"/>
              <w:pageBreakBefore w:val="0"/>
              <w:widowControl w:val="0"/>
              <w:numPr>
                <w:ilvl w:val="0"/>
                <w:numId w:val="3"/>
              </w:numPr>
              <w:kinsoku/>
              <w:wordWrap w:val="0"/>
              <w:overflowPunct/>
              <w:topLinePunct w:val="0"/>
              <w:autoSpaceDN/>
              <w:bidi w:val="0"/>
              <w:adjustRightInd w:val="0"/>
              <w:snapToGrid w:val="0"/>
              <w:spacing w:after="0" w:line="360" w:lineRule="auto"/>
              <w:jc w:val="both"/>
              <w:textAlignment w:val="auto"/>
              <w:rPr>
                <w:rFonts w:hint="default"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拟委派本项目的勘察负责人具备岩土类助理工程师技术职称的得1分；</w:t>
            </w:r>
          </w:p>
          <w:p w14:paraId="1E57C2DD">
            <w:pPr>
              <w:keepNext w:val="0"/>
              <w:keepLines w:val="0"/>
              <w:pageBreakBefore w:val="0"/>
              <w:widowControl w:val="0"/>
              <w:numPr>
                <w:ilvl w:val="0"/>
                <w:numId w:val="3"/>
              </w:numPr>
              <w:kinsoku/>
              <w:wordWrap w:val="0"/>
              <w:overflowPunct/>
              <w:topLinePunct w:val="0"/>
              <w:autoSpaceDN/>
              <w:bidi w:val="0"/>
              <w:adjustRightInd w:val="0"/>
              <w:snapToGrid w:val="0"/>
              <w:spacing w:after="0" w:line="360" w:lineRule="auto"/>
              <w:jc w:val="both"/>
              <w:textAlignment w:val="auto"/>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其他情形的，不予计分。</w:t>
            </w:r>
          </w:p>
          <w:p w14:paraId="440F943A">
            <w:pPr>
              <w:keepNext w:val="0"/>
              <w:keepLines w:val="0"/>
              <w:pageBreakBefore w:val="0"/>
              <w:widowControl w:val="0"/>
              <w:numPr>
                <w:ilvl w:val="0"/>
                <w:numId w:val="3"/>
              </w:numPr>
              <w:kinsoku/>
              <w:wordWrap w:val="0"/>
              <w:overflowPunct/>
              <w:topLinePunct w:val="0"/>
              <w:autoSpaceDN/>
              <w:bidi w:val="0"/>
              <w:adjustRightInd w:val="0"/>
              <w:snapToGrid w:val="0"/>
              <w:spacing w:after="0" w:line="360" w:lineRule="auto"/>
              <w:jc w:val="both"/>
              <w:textAlignment w:val="auto"/>
              <w:rPr>
                <w:rFonts w:hint="default"/>
                <w:color w:val="000000" w:themeColor="text1"/>
                <w:highlight w:val="none"/>
                <w:lang w:val="en-US" w:eastAsia="zh-CN"/>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本项最高得3分。</w:t>
            </w:r>
          </w:p>
        </w:tc>
        <w:tc>
          <w:tcPr>
            <w:tcW w:w="3971" w:type="dxa"/>
            <w:vAlign w:val="center"/>
          </w:tcPr>
          <w:p w14:paraId="0321582A">
            <w:pPr>
              <w:keepNext w:val="0"/>
              <w:keepLines w:val="0"/>
              <w:pageBreakBefore w:val="0"/>
              <w:widowControl w:val="0"/>
              <w:numPr>
                <w:ilvl w:val="0"/>
                <w:numId w:val="4"/>
              </w:numPr>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需附职称证彩色扫描件（或电子职称证书）。</w:t>
            </w:r>
          </w:p>
          <w:p w14:paraId="00ACF714">
            <w:pPr>
              <w:keepNext w:val="0"/>
              <w:keepLines w:val="0"/>
              <w:pageBreakBefore w:val="0"/>
              <w:widowControl w:val="0"/>
              <w:numPr>
                <w:ilvl w:val="0"/>
                <w:numId w:val="4"/>
              </w:numPr>
              <w:kinsoku/>
              <w:wordWrap w:val="0"/>
              <w:overflowPunct/>
              <w:topLinePunct w:val="0"/>
              <w:autoSpaceDN/>
              <w:bidi w:val="0"/>
              <w:adjustRightInd w:val="0"/>
              <w:snapToGrid w:val="0"/>
              <w:spacing w:line="360" w:lineRule="exact"/>
              <w:jc w:val="both"/>
              <w:textAlignment w:val="auto"/>
              <w:rPr>
                <w:rFonts w:hint="default"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需提供勘察负责人在本单位缴纳连续3个月社保的证明（其中必须有2026年2月）彩色扫描件，返聘人员除外；若是退休人员需提供退休证和返聘合同（协议）彩色扫描件。</w:t>
            </w:r>
          </w:p>
          <w:p w14:paraId="4BEFBEF4">
            <w:pPr>
              <w:keepNext w:val="0"/>
              <w:keepLines w:val="0"/>
              <w:pageBreakBefore w:val="0"/>
              <w:widowControl w:val="0"/>
              <w:numPr>
                <w:ilvl w:val="0"/>
                <w:numId w:val="4"/>
              </w:numPr>
              <w:kinsoku/>
              <w:wordWrap w:val="0"/>
              <w:overflowPunct/>
              <w:topLinePunct w:val="0"/>
              <w:autoSpaceDN/>
              <w:bidi w:val="0"/>
              <w:adjustRightInd w:val="0"/>
              <w:snapToGrid w:val="0"/>
              <w:spacing w:line="360" w:lineRule="exact"/>
              <w:jc w:val="both"/>
              <w:textAlignment w:val="auto"/>
              <w:rPr>
                <w:rFonts w:hint="default"/>
                <w:color w:val="000000" w:themeColor="text1"/>
                <w:highlight w:val="none"/>
                <w:lang w:val="en-US" w:eastAsia="zh-CN"/>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非独立法人分支机构出具社保，予以认可。</w:t>
            </w:r>
          </w:p>
        </w:tc>
      </w:tr>
      <w:tr w14:paraId="6E3A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446" w:type="dxa"/>
            <w:vAlign w:val="center"/>
          </w:tcPr>
          <w:p w14:paraId="4E07F7B3">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582638F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5E55346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5D4E3F0E">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hAnsi="宋体" w:eastAsia="宋体" w:cs="宋体"/>
                <w:color w:val="000000" w:themeColor="text1"/>
                <w:sz w:val="22"/>
                <w:szCs w:val="22"/>
                <w:highlight w:val="none"/>
                <w:lang w:val="en-US" w:eastAsia="zh-CN"/>
                <w14:textFill>
                  <w14:solidFill>
                    <w14:schemeClr w14:val="tx1"/>
                  </w14:solidFill>
                </w14:textFill>
              </w:rPr>
              <w:t>企业业绩（3分）</w:t>
            </w:r>
          </w:p>
        </w:tc>
        <w:tc>
          <w:tcPr>
            <w:tcW w:w="3869" w:type="dxa"/>
            <w:vAlign w:val="center"/>
          </w:tcPr>
          <w:p w14:paraId="0B456EA5">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企业近5年来（2021年1月1日至今）业绩情况：</w:t>
            </w:r>
          </w:p>
          <w:p w14:paraId="1FF755D2">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1.</w:t>
            </w:r>
            <w:r>
              <w:rPr>
                <w:rFonts w:hint="eastAsia" w:hAnsi="宋体" w:eastAsia="宋体" w:cs="宋体"/>
                <w:b/>
                <w:bCs/>
                <w:color w:val="000000" w:themeColor="text1"/>
                <w:kern w:val="0"/>
                <w:sz w:val="22"/>
                <w:szCs w:val="22"/>
                <w:highlight w:val="none"/>
                <w:u w:val="single"/>
                <w:lang w:val="en-US" w:eastAsia="zh-CN" w:bidi="ar-SA"/>
                <w14:textFill>
                  <w14:solidFill>
                    <w14:schemeClr w14:val="tx1"/>
                  </w14:solidFill>
                </w14:textFill>
              </w:rPr>
              <w:t>承接</w:t>
            </w: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过类似项目的，每个得3分。</w:t>
            </w:r>
          </w:p>
          <w:p w14:paraId="38ACB428">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default"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2.</w:t>
            </w:r>
            <w:r>
              <w:rPr>
                <w:rFonts w:hint="eastAsia" w:hAnsi="宋体" w:eastAsia="宋体" w:cs="宋体"/>
                <w:b/>
                <w:bCs/>
                <w:color w:val="000000" w:themeColor="text1"/>
                <w:kern w:val="0"/>
                <w:sz w:val="22"/>
                <w:szCs w:val="22"/>
                <w:highlight w:val="none"/>
                <w:u w:val="single"/>
                <w:lang w:val="en-US" w:eastAsia="zh-CN" w:bidi="ar-SA"/>
                <w14:textFill>
                  <w14:solidFill>
                    <w14:schemeClr w14:val="tx1"/>
                  </w14:solidFill>
                </w14:textFill>
              </w:rPr>
              <w:t>未承接</w:t>
            </w: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过类似项目的，不予计分。</w:t>
            </w:r>
          </w:p>
          <w:p w14:paraId="3FC021FB">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default"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3.本项最高得3分。</w:t>
            </w:r>
          </w:p>
        </w:tc>
        <w:tc>
          <w:tcPr>
            <w:tcW w:w="3971" w:type="dxa"/>
            <w:vAlign w:val="center"/>
          </w:tcPr>
          <w:p w14:paraId="2F2900D9">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1.类似项目指：</w:t>
            </w:r>
            <w:r>
              <w:rPr>
                <w:rFonts w:hint="eastAsia" w:hAnsi="宋体" w:eastAsia="宋体" w:cs="宋体"/>
                <w:color w:val="000000" w:themeColor="text1"/>
                <w:kern w:val="0"/>
                <w:sz w:val="22"/>
                <w:szCs w:val="22"/>
                <w:highlight w:val="none"/>
                <w:u w:val="single"/>
                <w:lang w:val="en-US" w:eastAsia="zh-CN" w:bidi="ar-SA"/>
                <w14:textFill>
                  <w14:solidFill>
                    <w14:schemeClr w14:val="tx1"/>
                  </w14:solidFill>
                </w14:textFill>
              </w:rPr>
              <w:t>市政工程类勘察项目（含勘察、勘察设计、勘察设计施工总承包项目）</w:t>
            </w: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w:t>
            </w:r>
          </w:p>
          <w:p w14:paraId="1D26B7DF">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2.需附业绩合同协议书关键页或中标通知书彩色扫描件。</w:t>
            </w:r>
          </w:p>
          <w:p w14:paraId="335FBCA5">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3.业绩时间以中标通知书或合同协议书日期为准。</w:t>
            </w:r>
          </w:p>
          <w:p w14:paraId="6ABD3CBA">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7CC0B2E5">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①业绩不属于类似项目的；</w:t>
            </w:r>
          </w:p>
          <w:p w14:paraId="53A04D8A">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default"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②业绩时间不符合要求的。</w:t>
            </w:r>
          </w:p>
        </w:tc>
      </w:tr>
      <w:tr w14:paraId="3BA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446" w:type="dxa"/>
            <w:vMerge w:val="restart"/>
            <w:vAlign w:val="center"/>
          </w:tcPr>
          <w:p w14:paraId="3E264406">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t>2</w:t>
            </w:r>
          </w:p>
        </w:tc>
        <w:tc>
          <w:tcPr>
            <w:tcW w:w="714" w:type="dxa"/>
            <w:vMerge w:val="restart"/>
            <w:vAlign w:val="center"/>
          </w:tcPr>
          <w:p w14:paraId="46E63E80">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技术</w:t>
            </w:r>
            <w:r>
              <w:rPr>
                <w:rFonts w:hint="eastAsia" w:hAnsi="宋体" w:eastAsia="宋体" w:cs="宋体"/>
                <w:b/>
                <w:bCs/>
                <w:color w:val="000000" w:themeColor="text1"/>
                <w:kern w:val="0"/>
                <w:sz w:val="24"/>
                <w:szCs w:val="24"/>
                <w:highlight w:val="none"/>
                <w:lang w:val="en-US" w:eastAsia="zh-CN"/>
                <w14:textFill>
                  <w14:solidFill>
                    <w14:schemeClr w14:val="tx1"/>
                  </w14:solidFill>
                </w14:textFill>
              </w:rPr>
              <w:t>建议书</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highlight w:val="none"/>
                <w14:textFill>
                  <w14:solidFill>
                    <w14:schemeClr w14:val="tx1"/>
                  </w14:solidFill>
                </w14:textFill>
              </w:rPr>
              <w:t>分</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tc>
        <w:tc>
          <w:tcPr>
            <w:tcW w:w="1349" w:type="dxa"/>
            <w:gridSpan w:val="2"/>
            <w:shd w:val="clear" w:color="auto" w:fill="auto"/>
            <w:vAlign w:val="center"/>
          </w:tcPr>
          <w:p w14:paraId="79B6A492">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对项目的概况</w:t>
            </w:r>
            <w:r>
              <w:rPr>
                <w:rFonts w:hint="eastAsia" w:eastAsia="宋体" w:cs="宋体"/>
                <w:color w:val="000000" w:themeColor="text1"/>
                <w:sz w:val="21"/>
                <w:szCs w:val="21"/>
                <w:highlight w:val="none"/>
                <w:lang w:val="en-US" w:eastAsia="zh-CN"/>
                <w14:textFill>
                  <w14:solidFill>
                    <w14:schemeClr w14:val="tx1"/>
                  </w14:solidFill>
                </w14:textFill>
              </w:rPr>
              <w:t>及建设条件</w:t>
            </w:r>
            <w:r>
              <w:rPr>
                <w:rFonts w:hint="eastAsia" w:ascii="宋体" w:hAnsi="宋体" w:eastAsia="宋体" w:cs="宋体"/>
                <w:color w:val="000000" w:themeColor="text1"/>
                <w:sz w:val="21"/>
                <w:szCs w:val="21"/>
                <w:highlight w:val="none"/>
                <w14:textFill>
                  <w14:solidFill>
                    <w14:schemeClr w14:val="tx1"/>
                  </w14:solidFill>
                </w14:textFill>
              </w:rPr>
              <w:t>的了解</w:t>
            </w:r>
          </w:p>
          <w:p w14:paraId="270F1E4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549" w:type="dxa"/>
            <w:gridSpan w:val="3"/>
            <w:shd w:val="clear" w:color="auto" w:fill="auto"/>
            <w:vAlign w:val="center"/>
          </w:tcPr>
          <w:p w14:paraId="0EC8A938">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对本次招标项目的概况、规模</w:t>
            </w:r>
            <w:r>
              <w:rPr>
                <w:rFonts w:hint="eastAsia" w:eastAsia="宋体" w:cs="宋体"/>
                <w:color w:val="000000" w:themeColor="text1"/>
                <w:sz w:val="21"/>
                <w:szCs w:val="21"/>
                <w:highlight w:val="none"/>
                <w:lang w:val="en-US" w:eastAsia="zh-CN"/>
                <w14:textFill>
                  <w14:solidFill>
                    <w14:schemeClr w14:val="tx1"/>
                  </w14:solidFill>
                </w14:textFill>
              </w:rPr>
              <w:t>及建设条件</w:t>
            </w:r>
            <w:r>
              <w:rPr>
                <w:rFonts w:hint="eastAsia" w:ascii="宋体" w:hAnsi="宋体" w:eastAsia="宋体" w:cs="宋体"/>
                <w:color w:val="000000" w:themeColor="text1"/>
                <w:sz w:val="21"/>
                <w:szCs w:val="21"/>
                <w:highlight w:val="none"/>
                <w14:textFill>
                  <w14:solidFill>
                    <w14:schemeClr w14:val="tx1"/>
                  </w14:solidFill>
                </w14:textFill>
              </w:rPr>
              <w:t>等描述详尽、透彻的。有此项描述得基本分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3E0195F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2EB382E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4C68C9C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0C04482C">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33DB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446" w:type="dxa"/>
            <w:vMerge w:val="continue"/>
            <w:vAlign w:val="center"/>
          </w:tcPr>
          <w:p w14:paraId="4D4456F0">
            <w:pPr>
              <w:widowControl/>
              <w:jc w:val="cente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pPr>
          </w:p>
        </w:tc>
        <w:tc>
          <w:tcPr>
            <w:tcW w:w="714" w:type="dxa"/>
            <w:vMerge w:val="continue"/>
            <w:vAlign w:val="center"/>
          </w:tcPr>
          <w:p w14:paraId="1513B995">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349" w:type="dxa"/>
            <w:gridSpan w:val="2"/>
            <w:shd w:val="clear" w:color="auto" w:fill="auto"/>
            <w:vAlign w:val="center"/>
          </w:tcPr>
          <w:p w14:paraId="7853F92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设计方案思路</w:t>
            </w:r>
          </w:p>
          <w:p w14:paraId="7291A670">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549" w:type="dxa"/>
            <w:gridSpan w:val="3"/>
            <w:shd w:val="clear" w:color="auto" w:fill="auto"/>
            <w:vAlign w:val="center"/>
          </w:tcPr>
          <w:p w14:paraId="603F973A">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方案能对项目设计所涉及的相关方面问题提出合理设计思路、经济性及可行性分析详细的，符合现场客观情况的。有此项描述得基本分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47B283B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3C23E746">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666ED37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51F3EAE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177C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446" w:type="dxa"/>
            <w:vMerge w:val="continue"/>
            <w:vAlign w:val="center"/>
          </w:tcPr>
          <w:p w14:paraId="0B976F38">
            <w:pPr>
              <w:widowControl/>
              <w:jc w:val="cente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pPr>
          </w:p>
        </w:tc>
        <w:tc>
          <w:tcPr>
            <w:tcW w:w="714" w:type="dxa"/>
            <w:vMerge w:val="continue"/>
            <w:vAlign w:val="center"/>
          </w:tcPr>
          <w:p w14:paraId="42578125">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349" w:type="dxa"/>
            <w:gridSpan w:val="2"/>
            <w:shd w:val="clear" w:color="auto" w:fill="auto"/>
            <w:vAlign w:val="center"/>
          </w:tcPr>
          <w:p w14:paraId="68AE76E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进度计划安排及保证措施</w:t>
            </w:r>
          </w:p>
          <w:p w14:paraId="599C255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549" w:type="dxa"/>
            <w:gridSpan w:val="3"/>
            <w:shd w:val="clear" w:color="auto" w:fill="auto"/>
            <w:vAlign w:val="center"/>
          </w:tcPr>
          <w:p w14:paraId="38F2209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w:t>
            </w:r>
            <w:r>
              <w:rPr>
                <w:rFonts w:hint="eastAsia" w:eastAsia="宋体" w:cs="宋体"/>
                <w:color w:val="000000" w:themeColor="text1"/>
                <w:sz w:val="21"/>
                <w:szCs w:val="21"/>
                <w:highlight w:val="none"/>
                <w:lang w:val="en-US" w:eastAsia="zh-CN"/>
                <w14:textFill>
                  <w14:solidFill>
                    <w14:schemeClr w14:val="tx1"/>
                  </w14:solidFill>
                </w14:textFill>
              </w:rPr>
              <w:t>计划安排及保证</w:t>
            </w:r>
            <w:r>
              <w:rPr>
                <w:rFonts w:hint="eastAsia" w:ascii="宋体" w:hAnsi="宋体" w:eastAsia="宋体" w:cs="宋体"/>
                <w:color w:val="000000" w:themeColor="text1"/>
                <w:sz w:val="21"/>
                <w:szCs w:val="21"/>
                <w:highlight w:val="none"/>
                <w14:textFill>
                  <w14:solidFill>
                    <w14:schemeClr w14:val="tx1"/>
                  </w14:solidFill>
                </w14:textFill>
              </w:rPr>
              <w:t>措施具体、针对性强。有此项描述得基本分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2FB7F8B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2FB7DC0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0418EE9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1E3BE7C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49D8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46" w:type="dxa"/>
            <w:vMerge w:val="continue"/>
            <w:vAlign w:val="center"/>
          </w:tcPr>
          <w:p w14:paraId="14269C2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409BC27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9" w:type="dxa"/>
            <w:gridSpan w:val="2"/>
            <w:shd w:val="clear" w:color="auto" w:fill="auto"/>
            <w:vAlign w:val="center"/>
          </w:tcPr>
          <w:p w14:paraId="61C313C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保证措施</w:t>
            </w:r>
          </w:p>
          <w:p w14:paraId="3D5F7A9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549" w:type="dxa"/>
            <w:gridSpan w:val="3"/>
            <w:shd w:val="clear" w:color="auto" w:fill="auto"/>
            <w:vAlign w:val="center"/>
          </w:tcPr>
          <w:p w14:paraId="15C952A1">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保证措施具体、针对性强。有此项描述得基本分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54B17C3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5939405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7CF9527C">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77EFB9D1">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50E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446" w:type="dxa"/>
            <w:vMerge w:val="continue"/>
            <w:vAlign w:val="center"/>
          </w:tcPr>
          <w:p w14:paraId="7152278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02E7636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9" w:type="dxa"/>
            <w:gridSpan w:val="2"/>
            <w:shd w:val="clear" w:color="auto" w:fill="auto"/>
            <w:vAlign w:val="center"/>
          </w:tcPr>
          <w:p w14:paraId="5F7F507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后续服务内容及承诺</w:t>
            </w:r>
          </w:p>
          <w:p w14:paraId="0D35692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549" w:type="dxa"/>
            <w:gridSpan w:val="3"/>
            <w:shd w:val="clear" w:color="auto" w:fill="auto"/>
            <w:vAlign w:val="center"/>
          </w:tcPr>
          <w:p w14:paraId="2A21CC0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后续服务安排措施合理、全面、切实可行并提供合理、可靠的承诺。有此项描述得基本分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2F1DCEE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74392D9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559DF8D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32B760A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color w:val="000000" w:themeColor="text1"/>
                <w:spacing w:val="-2"/>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3" w:hRule="atLeast"/>
          <w:jc w:val="center"/>
        </w:trPr>
        <w:tc>
          <w:tcPr>
            <w:tcW w:w="446" w:type="dxa"/>
            <w:vMerge w:val="restart"/>
            <w:vAlign w:val="center"/>
          </w:tcPr>
          <w:p w14:paraId="0D342AE1">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714" w:type="dxa"/>
            <w:vMerge w:val="restart"/>
            <w:vAlign w:val="center"/>
          </w:tcPr>
          <w:p w14:paraId="615DACAA">
            <w:pPr>
              <w:widowControl w:val="0"/>
              <w:spacing w:line="360" w:lineRule="exact"/>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投标报价得分</w:t>
            </w:r>
          </w:p>
          <w:p w14:paraId="27287938">
            <w:pPr>
              <w:widowControl w:val="0"/>
              <w:spacing w:line="3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（30分）</w:t>
            </w:r>
          </w:p>
        </w:tc>
        <w:tc>
          <w:tcPr>
            <w:tcW w:w="1349" w:type="dxa"/>
            <w:gridSpan w:val="2"/>
            <w:vAlign w:val="center"/>
          </w:tcPr>
          <w:p w14:paraId="2B9993C9">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评标基准价D</w:t>
            </w:r>
          </w:p>
        </w:tc>
        <w:tc>
          <w:tcPr>
            <w:tcW w:w="8549" w:type="dxa"/>
            <w:gridSpan w:val="3"/>
            <w:vAlign w:val="center"/>
          </w:tcPr>
          <w:p w14:paraId="2BEE2AE9">
            <w:pPr>
              <w:numPr>
                <w:ilvl w:val="0"/>
                <w:numId w:val="0"/>
              </w:numPr>
              <w:wordWrap w:val="0"/>
              <w:adjustRightInd w:val="0"/>
              <w:snapToGrid w:val="0"/>
              <w:spacing w:line="400" w:lineRule="exact"/>
              <w:ind w:leftChars="0"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确定</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下浮系数n：用1～21号球分别代表一个下浮系数，由评委代表从这21个号码中随机抽取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次，每次抽取1个号码，抽出的号球不参与下次抽取。所抽取的3个号码对应下浮系数的算术平均值作为</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下浮系数n。具体号码对应的下浮系数可参考下表。</w:t>
            </w:r>
          </w:p>
          <w:tbl>
            <w:tblPr>
              <w:tblStyle w:val="21"/>
              <w:tblW w:w="7856" w:type="dxa"/>
              <w:tblInd w:w="0" w:type="dxa"/>
              <w:tblLayout w:type="fixed"/>
              <w:tblCellMar>
                <w:top w:w="0" w:type="dxa"/>
                <w:left w:w="108" w:type="dxa"/>
                <w:bottom w:w="0" w:type="dxa"/>
                <w:right w:w="108" w:type="dxa"/>
              </w:tblCellMar>
            </w:tblPr>
            <w:tblGrid>
              <w:gridCol w:w="1555"/>
              <w:gridCol w:w="986"/>
              <w:gridCol w:w="853"/>
              <w:gridCol w:w="802"/>
              <w:gridCol w:w="903"/>
              <w:gridCol w:w="800"/>
              <w:gridCol w:w="974"/>
              <w:gridCol w:w="983"/>
            </w:tblGrid>
            <w:tr w14:paraId="7B372E2D">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8D4EF2C">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C8E834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4EF48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E8777E9">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3</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4E02BF3B">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45A59B1">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D05B20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6</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4096EB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7</w:t>
                  </w:r>
                </w:p>
              </w:tc>
            </w:tr>
            <w:tr w14:paraId="15250B50">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6B67B8C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7BFC3E74">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0.1</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731688D">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0.2</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1F6F0E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0.3</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6A609514">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2FA7549">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231F241">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0.6</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6A2E8A7">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0.7</w:t>
                  </w:r>
                </w:p>
              </w:tc>
            </w:tr>
            <w:tr w14:paraId="5F90AA0E">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713C55CE">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1FFA5D7">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8</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2D7B8B">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9</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1BBEFF6">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10</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41AE778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55F5721">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12</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716AFC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13</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01FF5F5">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14</w:t>
                  </w:r>
                </w:p>
              </w:tc>
            </w:tr>
            <w:tr w14:paraId="21E8271C">
              <w:tblPrEx>
                <w:tblCellMar>
                  <w:top w:w="0" w:type="dxa"/>
                  <w:left w:w="108" w:type="dxa"/>
                  <w:bottom w:w="0" w:type="dxa"/>
                  <w:right w:w="108" w:type="dxa"/>
                </w:tblCellMar>
              </w:tblPrEx>
              <w:trPr>
                <w:trHeight w:val="31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4934013">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EB537F9">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0.8</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E68112">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0.9</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B7C9418">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1.0</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18B1C33B">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06E4CF5">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1.2</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416BD88">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1.3</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7E1C810">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1.4</w:t>
                  </w:r>
                </w:p>
              </w:tc>
            </w:tr>
            <w:tr w14:paraId="400BB301">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2020F29">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68FBC18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15</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FCBEC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16</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B4F69D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17</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003300CD">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DD5693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19</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043091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16AB4E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21</w:t>
                  </w:r>
                </w:p>
              </w:tc>
            </w:tr>
            <w:tr w14:paraId="2D09B307">
              <w:tblPrEx>
                <w:tblCellMar>
                  <w:top w:w="0" w:type="dxa"/>
                  <w:left w:w="108" w:type="dxa"/>
                  <w:bottom w:w="0" w:type="dxa"/>
                  <w:right w:w="108" w:type="dxa"/>
                </w:tblCellMar>
              </w:tblPrEx>
              <w:trPr>
                <w:trHeight w:val="345"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50D6724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5D8BF7D0">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1.5</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07A7F70">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1.6</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16F7A500">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1.7</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3A4F9854">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633875B">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1.9</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8081083">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01BE5A6">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2.1</w:t>
                  </w:r>
                </w:p>
              </w:tc>
            </w:tr>
          </w:tbl>
          <w:p w14:paraId="0EF6AC0B">
            <w:pPr>
              <w:spacing w:line="360" w:lineRule="auto"/>
              <w:ind w:firstLine="210" w:firstLineChars="10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（2）评标基准价D＝最高投标限价×（1－n）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446" w:type="dxa"/>
            <w:vMerge w:val="continue"/>
            <w:vAlign w:val="center"/>
          </w:tcPr>
          <w:p w14:paraId="5FA6219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441B142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9" w:type="dxa"/>
            <w:gridSpan w:val="2"/>
            <w:vAlign w:val="center"/>
          </w:tcPr>
          <w:p w14:paraId="289A3014">
            <w:pPr>
              <w:widowControl w:val="0"/>
              <w:wordWrap w:val="0"/>
              <w:adjustRightInd w:val="0"/>
              <w:snapToGrid w:val="0"/>
              <w:spacing w:line="400" w:lineRule="exact"/>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投标报价</w:t>
            </w:r>
          </w:p>
          <w:p w14:paraId="79B9B832">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得分</w:t>
            </w:r>
          </w:p>
        </w:tc>
        <w:tc>
          <w:tcPr>
            <w:tcW w:w="8549" w:type="dxa"/>
            <w:gridSpan w:val="3"/>
            <w:vAlign w:val="center"/>
          </w:tcPr>
          <w:p w14:paraId="7AC6ECAF">
            <w:pPr>
              <w:wordWrap w:val="0"/>
              <w:adjustRightInd w:val="0"/>
              <w:snapToGrid w:val="0"/>
              <w:spacing w:line="400" w:lineRule="exact"/>
              <w:ind w:firstLine="420" w:firstLineChars="200"/>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采用内插法计算某投标人的投标报价得分，即当投标人的投标总价等于评标基准价时得</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分，每高于评标基准价一个百分点扣</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 每低于评标基准价一个百分点扣</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分，扣完为止。公式如下：</w:t>
            </w:r>
          </w:p>
          <w:p w14:paraId="03302634">
            <w:pPr>
              <w:widowControl w:val="0"/>
              <w:wordWrap w:val="0"/>
              <w:adjustRightInd w:val="0"/>
              <w:snapToGrid w:val="0"/>
              <w:spacing w:line="400" w:lineRule="exact"/>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投标报价</w:t>
            </w:r>
            <w:r>
              <w:rPr>
                <w:rFonts w:hint="eastAsia" w:ascii="宋体" w:hAnsi="宋体" w:eastAsia="宋体" w:cs="宋体"/>
                <w:snapToGrid w:val="0"/>
                <w:color w:val="000000" w:themeColor="text1"/>
                <w:kern w:val="0"/>
                <w:sz w:val="21"/>
                <w:szCs w:val="21"/>
                <w:highlight w:val="none"/>
                <w14:textFill>
                  <w14:solidFill>
                    <w14:schemeClr w14:val="tx1"/>
                  </w14:solidFill>
                </w14:textFill>
              </w:rPr>
              <w:t>得分＝</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1"/>
                <w:highlight w:val="none"/>
                <w14:textFill>
                  <w14:solidFill>
                    <w14:schemeClr w14:val="tx1"/>
                  </w14:solidFill>
                </w14:textFill>
              </w:rPr>
              <w:t>－（| Di－D | ÷D）×100×E</w:t>
            </w:r>
          </w:p>
          <w:p w14:paraId="19518A56">
            <w:pPr>
              <w:spacing w:line="360" w:lineRule="auto"/>
              <w:ind w:firstLine="21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式中：D为评标基准价；Di为某投标人的投标总价；E为扣分因子，当Di＞D时，E＝</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14:textFill>
                  <w14:solidFill>
                    <w14:schemeClr w14:val="tx1"/>
                  </w14:solidFill>
                </w14:textFill>
              </w:rPr>
              <w:t>；当Di＜D时，E＝0.</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09" w:type="dxa"/>
            <w:gridSpan w:val="4"/>
            <w:vAlign w:val="center"/>
          </w:tcPr>
          <w:p w14:paraId="7955603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549" w:type="dxa"/>
            <w:gridSpan w:val="3"/>
            <w:vAlign w:val="center"/>
          </w:tcPr>
          <w:p w14:paraId="70022D64">
            <w:pPr>
              <w:spacing w:line="3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商务部分得分+技术部分得分+经济部分得分</w:t>
            </w:r>
          </w:p>
        </w:tc>
      </w:tr>
    </w:tbl>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203939C">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综合评分表中注明“扫描件”为原件扫描件。</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5C6B5B48">
      <w:pPr>
        <w:rPr>
          <w:rFonts w:hint="eastAsia"/>
          <w:color w:val="000000" w:themeColor="text1"/>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8"/>
        <w:spacing w:line="400" w:lineRule="exact"/>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7"/>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29BE2436">
      <w:pPr>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4" w:name="_Toc3248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p>
    <w:p w14:paraId="7A32DAC8">
      <w:pPr>
        <w:keepNext w:val="0"/>
        <w:keepLines w:val="0"/>
        <w:pageBreakBefore w:val="0"/>
        <w:widowControl/>
        <w:kinsoku w:val="0"/>
        <w:wordWrap w:val="0"/>
        <w:overflowPunct/>
        <w:topLinePunct w:val="0"/>
        <w:autoSpaceDE w:val="0"/>
        <w:autoSpaceDN w:val="0"/>
        <w:bidi w:val="0"/>
        <w:adjustRightInd w:val="0"/>
        <w:snapToGrid w:val="0"/>
        <w:spacing w:before="78" w:line="220" w:lineRule="auto"/>
        <w:jc w:val="left"/>
        <w:textAlignment w:val="baseline"/>
        <w:outlineLvl w:val="1"/>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bookmarkStart w:id="295" w:name="_Toc152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bookmarkEnd w:id="294"/>
      <w:r>
        <w:rPr>
          <w:rFonts w:hint="eastAsia" w:ascii="宋体" w:hAnsi="宋体" w:eastAsia="宋体" w:cs="宋体"/>
          <w:b/>
          <w:bCs/>
          <w:snapToGrid w:val="0"/>
          <w:color w:val="000000" w:themeColor="text1"/>
          <w:spacing w:val="0"/>
          <w:kern w:val="0"/>
          <w:sz w:val="24"/>
          <w:szCs w:val="24"/>
          <w:highlight w:val="none"/>
          <w:lang w:eastAsia="zh-CN"/>
          <w14:textFill>
            <w14:solidFill>
              <w14:schemeClr w14:val="tx1"/>
            </w14:solidFill>
          </w14:textFill>
        </w:rPr>
        <w:t>评标结果公示</w:t>
      </w:r>
      <w:bookmarkEnd w:id="295"/>
    </w:p>
    <w:p w14:paraId="36E0651D">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2" w:right="105" w:firstLine="494"/>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lang w:eastAsia="en-US"/>
          <w14:textFill>
            <w14:solidFill>
              <w14:schemeClr w14:val="tx1"/>
            </w14:solidFill>
          </w14:textFill>
        </w:rPr>
        <w:t>1</w:t>
      </w:r>
      <w:r>
        <w:rPr>
          <w:rFonts w:hint="eastAsia" w:ascii="宋体" w:hAnsi="宋体" w:eastAsia="宋体" w:cs="宋体"/>
          <w:b/>
          <w:bCs/>
          <w:snapToGrid w:val="0"/>
          <w:color w:val="000000" w:themeColor="text1"/>
          <w:spacing w:val="0"/>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spacing w:val="0"/>
          <w:kern w:val="0"/>
          <w:sz w:val="24"/>
          <w:szCs w:val="24"/>
          <w:highlight w:val="none"/>
          <w:lang w:eastAsia="en-US"/>
          <w14:textFill>
            <w14:solidFill>
              <w14:schemeClr w14:val="tx1"/>
            </w14:solidFill>
          </w14:textFill>
        </w:rPr>
        <w:t xml:space="preserve">.1  </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评标委员会按照投标人评审综合总得分由高到低的原则,向招标人推荐已明确的定标候选人数量（不标明排序）。评标委员会推荐定标候选人后，招标人应于评标会结束后3个</w:t>
      </w:r>
      <w:r>
        <w:rPr>
          <w:rFonts w:hint="eastAsia" w:ascii="宋体" w:hAnsi="宋体" w:eastAsia="宋体" w:cs="宋体"/>
          <w:snapToGrid w:val="0"/>
          <w:color w:val="000000" w:themeColor="text1"/>
          <w:spacing w:val="0"/>
          <w:kern w:val="0"/>
          <w:sz w:val="24"/>
          <w:szCs w:val="24"/>
          <w:highlight w:val="none"/>
          <w:lang w:val="en-US" w:eastAsia="zh-CN"/>
          <w14:textFill>
            <w14:solidFill>
              <w14:schemeClr w14:val="tx1"/>
            </w14:solidFill>
          </w14:textFill>
        </w:rPr>
        <w:t>日历天</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内将定标候选人和评标情况在广东省招标投标监管网和韶关市公共资源交易中心建设工程交易系统上公示，公示时间不少于3个</w:t>
      </w:r>
      <w:r>
        <w:rPr>
          <w:rFonts w:hint="eastAsia" w:ascii="宋体" w:hAnsi="宋体" w:eastAsia="宋体" w:cs="宋体"/>
          <w:snapToGrid w:val="0"/>
          <w:color w:val="000000" w:themeColor="text1"/>
          <w:spacing w:val="0"/>
          <w:kern w:val="0"/>
          <w:sz w:val="24"/>
          <w:szCs w:val="24"/>
          <w:highlight w:val="none"/>
          <w:lang w:val="en-US" w:eastAsia="zh-CN"/>
          <w14:textFill>
            <w14:solidFill>
              <w14:schemeClr w14:val="tx1"/>
            </w14:solidFill>
          </w14:textFill>
        </w:rPr>
        <w:t>日历天</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。公示主要内容包括：</w:t>
      </w:r>
    </w:p>
    <w:p w14:paraId="4A1D4141">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2" w:right="105" w:firstLine="494"/>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（1）定标候选人名称、投标报价、业绩奖项、质量、工期、拟派驻招标项目管理机构人员信息等；</w:t>
      </w:r>
    </w:p>
    <w:p w14:paraId="3130B6A0">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（2）定标候选人按照招标文件要求承诺的项目负责人姓名及相关证书名称和编号；</w:t>
      </w:r>
    </w:p>
    <w:p w14:paraId="44CAB5F6">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（3）响应招标文件要求的资格能力条件；</w:t>
      </w:r>
    </w:p>
    <w:p w14:paraId="0308086C">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（4）提出异议的渠道和方式；</w:t>
      </w:r>
    </w:p>
    <w:p w14:paraId="0F8E2045">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0" w:leftChars="0" w:right="105" w:firstLine="480" w:firstLineChars="20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（5）评标专家代码（评标专家姓名可用代码进行标示，如专家一、专家二等）及其对应的具体评标意见（含对否决投标人相关意见等）以及评标报告；</w:t>
      </w:r>
    </w:p>
    <w:p w14:paraId="6DCA342C">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（6）投标文件；</w:t>
      </w:r>
    </w:p>
    <w:p w14:paraId="338AB6D2">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（7）招标文件确认公示的其他内容。</w:t>
      </w:r>
    </w:p>
    <w:p w14:paraId="1D69F928">
      <w:pPr>
        <w:wordWrap w:val="0"/>
        <w:spacing w:line="440" w:lineRule="exact"/>
        <w:ind w:firstLine="482"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lang w:val="en-US" w:eastAsia="zh-CN" w:bidi="ar-SA"/>
          <w14:textFill>
            <w14:solidFill>
              <w14:schemeClr w14:val="tx1"/>
            </w14:solidFill>
          </w14:textFill>
        </w:rPr>
        <w:t>15.2</w:t>
      </w:r>
      <w:r>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28D10876">
      <w:pP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6" w:name="_Hlt112206772"/>
      <w:bookmarkEnd w:id="296"/>
      <w:bookmarkStart w:id="297" w:name="_Hlt69669771"/>
      <w:bookmarkEnd w:id="297"/>
      <w:bookmarkStart w:id="298" w:name="_Toc9083"/>
      <w:bookmarkStart w:id="299" w:name="_Toc16300"/>
      <w:bookmarkStart w:id="300" w:name="_Toc21045"/>
      <w:bookmarkStart w:id="301" w:name="_Toc24184"/>
      <w:bookmarkStart w:id="302" w:name="_Toc16649"/>
      <w:bookmarkStart w:id="303" w:name="_Toc11519"/>
      <w:bookmarkStart w:id="304" w:name="_Toc16203"/>
      <w:bookmarkStart w:id="305" w:name="_Toc13416"/>
      <w:bookmarkStart w:id="306" w:name="_Hlt69698713"/>
      <w:bookmarkStart w:id="307" w:name="_Hlt69698765"/>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308" w:name="_Toc1187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bookmarkEnd w:id="308"/>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09" w:name="_Toc3613"/>
      <w:bookmarkStart w:id="310"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309"/>
      <w:bookmarkEnd w:id="310"/>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7FB3C7A4">
      <w:pPr>
        <w:wordWrap w:val="0"/>
        <w:adjustRightInd w:val="0"/>
        <w:snapToGrid w:val="0"/>
        <w:spacing w:line="440" w:lineRule="exact"/>
        <w:ind w:firstLine="723" w:firstLineChars="30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鉴于目前继续教育开展的实际情况，建筑和市政工程施工现场专业人员（例如：施工员、质量员、材料员、资料员）的岗位证书或培训证书不审查其证书的有效期。</w:t>
      </w:r>
    </w:p>
    <w:p w14:paraId="3E6E6AC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1" w:name="_Toc16862"/>
      <w:bookmarkStart w:id="312" w:name="_Toc8904"/>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311"/>
      <w:bookmarkEnd w:id="312"/>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left="0" w:leftChars="0"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3" w:name="_Toc11607"/>
      <w:bookmarkStart w:id="314" w:name="_Toc1952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313"/>
      <w:bookmarkEnd w:id="314"/>
    </w:p>
    <w:p w14:paraId="7F5913C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5" w:name="_Toc29578"/>
      <w:bookmarkStart w:id="316" w:name="_Toc2043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315"/>
      <w:bookmarkEnd w:id="316"/>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5CAEFA06">
      <w:pPr>
        <w:rPr>
          <w:rFonts w:hint="eastAsia"/>
          <w:color w:val="000000" w:themeColor="text1"/>
          <w:highlight w:val="none"/>
          <w14:textFill>
            <w14:solidFill>
              <w14:schemeClr w14:val="tx1"/>
            </w14:solidFill>
          </w14:textFill>
        </w:rPr>
      </w:pP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720" w:right="720" w:bottom="720" w:left="720" w:header="850" w:footer="992" w:gutter="0"/>
          <w:pgNumType w:fmt="decimal" w:start="1"/>
          <w:cols w:space="720" w:num="1"/>
          <w:docGrid w:linePitch="327" w:charSpace="0"/>
        </w:sectPr>
      </w:pPr>
    </w:p>
    <w:p w14:paraId="51CBB9E2">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317" w:name="_Toc28716"/>
      <w:bookmarkStart w:id="318" w:name="_Toc25049"/>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五</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定标规定</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及细则（本项目采用票决数量法定标）</w:t>
      </w:r>
      <w:bookmarkEnd w:id="317"/>
      <w:bookmarkEnd w:id="318"/>
    </w:p>
    <w:p w14:paraId="5B875869">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确定定标时间</w:t>
      </w:r>
    </w:p>
    <w:p w14:paraId="49CC2337">
      <w:pPr>
        <w:widowControl/>
        <w:kinsoku/>
        <w:autoSpaceDE/>
        <w:autoSpaceDN/>
        <w:adjustRightInd/>
        <w:snapToGrid/>
        <w:spacing w:line="360" w:lineRule="auto"/>
        <w:ind w:left="-720" w:leftChars="-300" w:right="0" w:rightChars="0" w:firstLine="480" w:firstLineChars="200"/>
        <w:jc w:val="both"/>
        <w:textAlignment w:val="baseline"/>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招标人应自</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定标候选人</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公示期满后</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个工作日内进入公共资源交易平台（与评标阶段公共资源交易平台相同）进行定标。定标会议全过程录音录像。招标人需要延期定标的，应通过公共资源交易平台公布延期原因和定标时间。</w:t>
      </w:r>
    </w:p>
    <w:p w14:paraId="6CEED4FC">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.定标委员会</w:t>
      </w:r>
    </w:p>
    <w:p w14:paraId="1EE09482">
      <w:pPr>
        <w:widowControl/>
        <w:kinsoku/>
        <w:autoSpaceDE/>
        <w:autoSpaceDN/>
        <w:adjustRightInd/>
        <w:snapToGrid/>
        <w:spacing w:line="360" w:lineRule="auto"/>
        <w:ind w:left="-720" w:leftChars="-300" w:right="0" w:rightChars="0" w:firstLine="480" w:firstLineChars="2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406A2FF4">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09FC277C">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0C86C24B">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组建招标监督小组</w:t>
      </w:r>
    </w:p>
    <w:p w14:paraId="23CCA432">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165900B">
      <w:pPr>
        <w:widowControl/>
        <w:kinsoku/>
        <w:autoSpaceDE/>
        <w:autoSpaceDN/>
        <w:adjustRightInd/>
        <w:snapToGrid/>
        <w:spacing w:line="360" w:lineRule="auto"/>
        <w:ind w:firstLine="482" w:firstLineChars="200"/>
        <w:jc w:val="left"/>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.定标办法</w:t>
      </w:r>
    </w:p>
    <w:p w14:paraId="375D6E12">
      <w:pPr>
        <w:widowControl/>
        <w:kinsoku/>
        <w:autoSpaceDE/>
        <w:autoSpaceDN/>
        <w:adjustRightInd/>
        <w:snapToGrid/>
        <w:spacing w:line="360" w:lineRule="auto"/>
        <w:ind w:left="0" w:leftChars="-100" w:hanging="240" w:hangingChars="1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定标办法由招标人按本投标人须知前附表的规定确定（只能选定其中一种定标办法）。</w:t>
      </w:r>
    </w:p>
    <w:p w14:paraId="2AF86B54">
      <w:pPr>
        <w:widowControl/>
        <w:kinsoku/>
        <w:autoSpaceDE/>
        <w:autoSpaceDN/>
        <w:adjustRightInd/>
        <w:snapToGrid/>
        <w:spacing w:line="360" w:lineRule="auto"/>
        <w:ind w:left="1" w:leftChars="-100" w:hanging="241" w:hangingChars="100"/>
        <w:jc w:val="both"/>
        <w:textAlignment w:val="baseline"/>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bookmarkStart w:id="319" w:name="OLE_LINK3"/>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本项目</w:t>
      </w:r>
      <w:bookmarkEnd w:id="319"/>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采用票决数量法定标。</w:t>
      </w:r>
    </w:p>
    <w:p w14:paraId="65386231">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5.定标细则</w:t>
      </w:r>
    </w:p>
    <w:p w14:paraId="7CE9102B">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5.1票决数量法程序</w:t>
      </w:r>
    </w:p>
    <w:p w14:paraId="7313CBF1">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进行票决排名确定排序的中标候选人。即各定标委员会成员对定标候选人进行投票，按得票高低推荐排序的前三名中标候选人。</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snapToGrid/>
          <w:color w:val="000000" w:themeColor="text1"/>
          <w:kern w:val="2"/>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票决采用记名方式并注明投票理由。</w:t>
      </w:r>
    </w:p>
    <w:p w14:paraId="325447AA">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5.1.1.</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项目情况介绍</w:t>
      </w:r>
    </w:p>
    <w:p w14:paraId="669C01C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66A7ACF">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5.1.2.</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审阅定标资料</w:t>
      </w:r>
    </w:p>
    <w:p w14:paraId="786F17DB">
      <w:pPr>
        <w:keepNext w:val="0"/>
        <w:keepLines w:val="0"/>
        <w:pageBreakBefore w:val="0"/>
        <w:widowControl w:val="0"/>
        <w:kinsoku/>
        <w:wordWrap/>
        <w:overflowPunct/>
        <w:topLinePunct w:val="0"/>
        <w:autoSpaceDE/>
        <w:autoSpaceDN/>
        <w:bidi w:val="0"/>
        <w:adjustRightInd/>
        <w:snapToGrid/>
        <w:spacing w:line="400" w:lineRule="exact"/>
        <w:ind w:left="-806" w:leftChars="-336"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w:t>
      </w:r>
    </w:p>
    <w:p w14:paraId="4638C29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1" w:leftChars="-100" w:right="0" w:hanging="241" w:hangingChars="100"/>
        <w:jc w:val="both"/>
        <w:textAlignment w:val="auto"/>
        <w:outlineLvl w:val="9"/>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snapToGrid w:val="0"/>
          <w:color w:val="000000" w:themeColor="text1"/>
          <w:spacing w:val="0"/>
          <w:kern w:val="0"/>
          <w:position w:val="0"/>
          <w:sz w:val="24"/>
          <w:szCs w:val="24"/>
          <w:highlight w:val="none"/>
          <w:u w:val="none" w:color="auto"/>
          <w:lang w:val="en-US" w:eastAsia="zh-CN" w:bidi="ar"/>
          <w14:textFill>
            <w14:solidFill>
              <w14:schemeClr w14:val="tx1"/>
            </w14:solidFill>
          </w14:textFill>
        </w:rPr>
        <w:t>5.1.3.</w:t>
      </w:r>
      <w:r>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t>疑问澄清</w:t>
      </w:r>
    </w:p>
    <w:p w14:paraId="0E5CD66B">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7DD58DDA">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5.1.4.投票，收票，点票和汇总</w:t>
      </w:r>
    </w:p>
    <w:p w14:paraId="7F549008">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0869BC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5.1.5.公布结果和出具定标报告</w:t>
      </w:r>
    </w:p>
    <w:p w14:paraId="1D8B8BD6">
      <w:pPr>
        <w:keepNext w:val="0"/>
        <w:keepLines w:val="0"/>
        <w:pageBreakBefore w:val="0"/>
        <w:widowControl w:val="0"/>
        <w:kinsoku/>
        <w:wordWrap/>
        <w:overflowPunct/>
        <w:topLinePunct w:val="0"/>
        <w:autoSpaceDE/>
        <w:autoSpaceDN/>
        <w:bidi w:val="0"/>
        <w:adjustRightInd/>
        <w:snapToGrid/>
        <w:spacing w:line="400" w:lineRule="exact"/>
        <w:ind w:left="-480" w:leftChars="-300" w:right="0" w:rightChars="0" w:hanging="240"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4D4983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482" w:leftChars="0" w:right="0" w:hanging="482" w:hangingChars="200"/>
        <w:jc w:val="both"/>
        <w:textAlignment w:val="auto"/>
        <w:outlineLvl w:val="9"/>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snapToGrid w:val="0"/>
          <w:color w:val="000000" w:themeColor="text1"/>
          <w:spacing w:val="0"/>
          <w:kern w:val="0"/>
          <w:position w:val="0"/>
          <w:sz w:val="24"/>
          <w:szCs w:val="24"/>
          <w:highlight w:val="none"/>
          <w:u w:val="none" w:color="auto"/>
          <w:lang w:val="en-US" w:eastAsia="zh-CN" w:bidi="ar"/>
          <w14:textFill>
            <w14:solidFill>
              <w14:schemeClr w14:val="tx1"/>
            </w14:solidFill>
          </w14:textFill>
        </w:rPr>
        <w:t>5.1.6.</w:t>
      </w:r>
      <w:r>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t>全程监督</w:t>
      </w:r>
    </w:p>
    <w:p w14:paraId="14B5573E">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招标监督小组对集体议定的全过程进行监督，确保程序合规、讨论充分、记录完整，结论形成过程公正、透明。</w:t>
      </w:r>
    </w:p>
    <w:p w14:paraId="57D6AE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5.2定标因素</w:t>
      </w:r>
    </w:p>
    <w:p w14:paraId="7700FF7E">
      <w:pPr>
        <w:keepNext w:val="0"/>
        <w:keepLines w:val="0"/>
        <w:pageBreakBefore w:val="0"/>
        <w:widowControl w:val="0"/>
        <w:kinsoku/>
        <w:wordWrap/>
        <w:overflowPunct/>
        <w:topLinePunct w:val="0"/>
        <w:autoSpaceDE/>
        <w:autoSpaceDN/>
        <w:bidi w:val="0"/>
        <w:adjustRightInd/>
        <w:snapToGrid/>
        <w:spacing w:line="400" w:lineRule="exact"/>
        <w:ind w:left="0" w:leftChars="-100" w:right="0" w:rightChars="0" w:hanging="240" w:hangingChars="100"/>
        <w:jc w:val="both"/>
        <w:textAlignment w:val="auto"/>
        <w:outlineLvl w:val="9"/>
        <w:rPr>
          <w:rFonts w:hint="eastAsia" w:ascii="宋体" w:hAnsi="宋体" w:eastAsia="宋体" w:cs="宋体"/>
          <w:b w:val="0"/>
          <w:bCs w:val="0"/>
          <w:i/>
          <w:i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23CFDF67">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（1）拟派团队管理能力与水平（履约能力）</w:t>
      </w:r>
    </w:p>
    <w:p w14:paraId="1204373E">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相对标准：拟派团队管理能力与水平（履约能力）强的定标候选人优于拟派团队管理能力与水平（履约能力）一般的定标候选人。</w:t>
      </w:r>
    </w:p>
    <w:p w14:paraId="3559E500">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（2）企业信誉</w:t>
      </w:r>
    </w:p>
    <w:p w14:paraId="1C57CFFD">
      <w:pPr>
        <w:keepNext w:val="0"/>
        <w:keepLines w:val="0"/>
        <w:pageBreakBefore w:val="0"/>
        <w:widowControl w:val="0"/>
        <w:kinsoku/>
        <w:wordWrap/>
        <w:overflowPunct/>
        <w:topLinePunct w:val="0"/>
        <w:autoSpaceDE/>
        <w:autoSpaceDN/>
        <w:bidi w:val="0"/>
        <w:adjustRightInd/>
        <w:snapToGrid/>
        <w:spacing w:line="400" w:lineRule="exact"/>
        <w:ind w:left="0" w:leftChars="-100" w:right="0" w:rightChars="0" w:hanging="240"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4EF399CE">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（3）评标报告</w:t>
      </w:r>
    </w:p>
    <w:p w14:paraId="24D27562">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240" w:firstLine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低</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高</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定标候选人（</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的优势、风险等评审情况</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w:t>
      </w:r>
    </w:p>
    <w:p w14:paraId="4E8003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（4）农民工工资保障情况</w:t>
      </w:r>
    </w:p>
    <w:p w14:paraId="5885E7DF">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相对标准：农民工工资保障情况好的定标候选人优于农民工工资保障情况差的定标候选人（结合</w:t>
      </w: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定标候选人提交的证明材料和招标人查询的材料进行评审）。</w:t>
      </w:r>
    </w:p>
    <w:p w14:paraId="377D3A7C">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6.定标结果公示</w:t>
      </w:r>
    </w:p>
    <w:p w14:paraId="1908F2A3">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定标委员会完成定标</w:t>
      </w:r>
      <w:r>
        <w:rPr>
          <w:rFonts w:hint="eastAsia" w:ascii="宋体" w:hAnsi="宋体" w:eastAsia="宋体" w:cs="宋体"/>
          <w:b w:val="0"/>
          <w:bCs w:val="0"/>
          <w:snapToGrid/>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于定标会结束后3个日历天内将中标候选人和定标情况在广东省招标投标监管网和韶关市公共资源交易中心工程交易系统上公示，公示时间不少于3个日历天。公示主要内容包括：公示主要内容包括：定标报告（定标成员信息除外）、中标人名单、中标价和拟投入本项目的项目负责人、技术负责人及各专业负责人（如有）等内容。</w:t>
      </w:r>
    </w:p>
    <w:p w14:paraId="3184E74E">
      <w:pPr>
        <w:widowControl/>
        <w:kinsoku/>
        <w:autoSpaceDE/>
        <w:autoSpaceDN/>
        <w:adjustRightInd/>
        <w:snapToGrid/>
        <w:spacing w:line="360" w:lineRule="auto"/>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p>
    <w:p w14:paraId="09A07B38">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320" w:name="_Toc209"/>
      <w:bookmarkStart w:id="321" w:name="_Toc16282"/>
      <w:bookmarkStart w:id="322" w:name="_Toc13023"/>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六</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中标确认</w:t>
      </w:r>
      <w:bookmarkEnd w:id="320"/>
      <w:bookmarkEnd w:id="321"/>
      <w:bookmarkEnd w:id="322"/>
    </w:p>
    <w:p w14:paraId="4CEA48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1.中标人确定</w:t>
      </w:r>
    </w:p>
    <w:p w14:paraId="52C9AF25">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1.1 中标人确定。中标结果公示期满无异议的，招标人确认排名第一的中标候选人为中标人，中标人的投标报价即为中标价。</w:t>
      </w:r>
    </w:p>
    <w:p w14:paraId="1AEC508F">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1.2 中标人确定后，招标人应当于7日内完成加盖招标人</w:t>
      </w:r>
      <w:r>
        <w:rPr>
          <w:rFonts w:hint="eastAsia"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单位</w:t>
      </w: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在中标通知书发出后5个工作日内，韶关市公共资源交易中心将投标保证金（或银行保函）退还给中标候选人以外的投标人。</w:t>
      </w:r>
    </w:p>
    <w:p w14:paraId="2996DA3B">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4275480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.异议和投诉</w:t>
      </w:r>
    </w:p>
    <w:p w14:paraId="18457C24">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2.1 投标人或者其他利害关系人对招标项目的评标和中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4638B37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2.2在定标候选人和中标候选人公示期间有关评标结果的异议成立的，招标人原则上应当组织原评标委员会和原定标委员会对有关的问题予以纠正，问题纠正后再公示定标候选人和中标候选人。</w:t>
      </w:r>
    </w:p>
    <w:p w14:paraId="5AEF184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E487B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Lines="0" w:beforeAutospacing="0" w:after="0" w:afterLines="0" w:afterAutospacing="0" w:line="340" w:lineRule="exact"/>
        <w:ind w:left="0" w:leftChars="0" w:right="0" w:firstLine="0" w:firstLineChars="0"/>
        <w:jc w:val="both"/>
        <w:textAlignment w:val="auto"/>
        <w:outlineLvl w:val="9"/>
        <w:rPr>
          <w:rFonts w:hint="eastAsia" w:ascii="宋体" w:hAnsi="宋体" w:eastAsia="宋体" w:cs="宋体"/>
          <w:b/>
          <w:bCs/>
          <w:i/>
          <w:snapToGrid w:val="0"/>
          <w:color w:val="000000" w:themeColor="text1"/>
          <w:kern w:val="0"/>
          <w:sz w:val="24"/>
          <w:szCs w:val="24"/>
          <w:highlight w:val="none"/>
          <w:lang w:val="en-US" w:eastAsia="zh-CN" w:bidi="ar"/>
          <w14:textFill>
            <w14:solidFill>
              <w14:schemeClr w14:val="tx1"/>
            </w14:solidFill>
          </w14:textFill>
        </w:rPr>
      </w:pPr>
      <w:bookmarkStart w:id="323" w:name="_Toc236550039"/>
      <w:r>
        <w:rPr>
          <w:rStyle w:val="26"/>
          <w:rFonts w:hint="eastAsia" w:ascii="宋体" w:hAnsi="宋体" w:eastAsia="宋体" w:cs="宋体"/>
          <w:b/>
          <w:bCs/>
          <w:i w:val="0"/>
          <w:snapToGrid w:val="0"/>
          <w:color w:val="000000" w:themeColor="text1"/>
          <w:kern w:val="2"/>
          <w:sz w:val="24"/>
          <w:szCs w:val="24"/>
          <w:highlight w:val="none"/>
          <w:lang w:val="en-US" w:eastAsia="zh-CN" w:bidi="ar-SA"/>
          <w14:textFill>
            <w14:solidFill>
              <w14:schemeClr w14:val="tx1"/>
            </w14:solidFill>
          </w14:textFill>
        </w:rPr>
        <w:t>3．废除授标</w:t>
      </w:r>
      <w:bookmarkEnd w:id="323"/>
      <w:r>
        <w:rPr>
          <w:rStyle w:val="26"/>
          <w:rFonts w:hint="eastAsia" w:ascii="宋体" w:hAnsi="宋体" w:eastAsia="宋体" w:cs="宋体"/>
          <w:b/>
          <w:bCs/>
          <w:i w:val="0"/>
          <w:snapToGrid w:val="0"/>
          <w:color w:val="000000" w:themeColor="text1"/>
          <w:kern w:val="2"/>
          <w:sz w:val="24"/>
          <w:szCs w:val="24"/>
          <w:highlight w:val="none"/>
          <w:lang w:val="en-US" w:eastAsia="zh-CN" w:bidi="ar-SA"/>
          <w14:textFill>
            <w14:solidFill>
              <w14:schemeClr w14:val="tx1"/>
            </w14:solidFill>
          </w14:textFill>
        </w:rPr>
        <w:t>及授标</w:t>
      </w:r>
    </w:p>
    <w:p w14:paraId="052289D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3.1评定标完成后，中标候选人有下列情形之一的，招标人应按规定取消中标候选人资格或废除授标：</w:t>
      </w:r>
    </w:p>
    <w:p w14:paraId="4B7A9C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（1）以他人名义投标或者以其他方式弄虚作假骗取中标的；</w:t>
      </w:r>
    </w:p>
    <w:p w14:paraId="138834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（2）与其他投标人串通投标或以行贿的手段谋取中标的；</w:t>
      </w:r>
    </w:p>
    <w:p w14:paraId="518C90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（3）不是从本投标企业基本账户提交投标担保或以虚假方式提交投标保证金保函（保单）的；</w:t>
      </w:r>
    </w:p>
    <w:p w14:paraId="5D02D9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（4）中标人于投标有效期终止之前撤回投标文件，或者排名第一的中标候选人放弃中标资格的；</w:t>
      </w:r>
    </w:p>
    <w:p w14:paraId="573568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（5）因中标人过错而未能按照规定与招标人签订工程承包合同或中标人因不可抗力提出不能履行合同的；</w:t>
      </w:r>
    </w:p>
    <w:p w14:paraId="034597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（6）因中标人过错而未能按照招标文件要求向招标人提交履约担保的；</w:t>
      </w:r>
    </w:p>
    <w:p w14:paraId="39E3E2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（7）中标单位拟派的项目负责人从投标截止时间起在其他建设工程担任项目负责人；</w:t>
      </w:r>
    </w:p>
    <w:p w14:paraId="1B1F37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（8）中标人被有关部门查实存在影响中标结果的违法行为，不符合中标条件的；</w:t>
      </w:r>
    </w:p>
    <w:p w14:paraId="496E3E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（9）中标人在参加本项目投标时有本企业投标承诺书所列被依法限制或暂停承揽业务或停业的处罚的；</w:t>
      </w:r>
    </w:p>
    <w:p w14:paraId="6E84A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（10）招标文件明确规定可以废除授标的其他情形。</w:t>
      </w:r>
    </w:p>
    <w:p w14:paraId="718AB063">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757EF3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3.3 招标人有下列情形之一的，应依法承担相应的责任：</w:t>
      </w:r>
    </w:p>
    <w:p w14:paraId="3238B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（1）无正当理由不发出中标通知书的；</w:t>
      </w:r>
    </w:p>
    <w:p w14:paraId="66685B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（2）招标人不按照规定确定中标人的；</w:t>
      </w:r>
    </w:p>
    <w:p w14:paraId="5893B8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（3）中标通知书发出后无正当理由改变中标结果的；</w:t>
      </w:r>
    </w:p>
    <w:p w14:paraId="248065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（4）无正当理由不与中标人签订工程承包合同的；</w:t>
      </w:r>
    </w:p>
    <w:p w14:paraId="747C94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（5）在签订工程承包合同时向中标人提出附加条件或者更改合同实质性内容的。</w:t>
      </w:r>
    </w:p>
    <w:p w14:paraId="764ACF96">
      <w:pP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2680555D">
      <w:pPr>
        <w:pStyle w:val="39"/>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324" w:name="_Toc31341"/>
      <w:bookmarkStart w:id="325" w:name="_Toc2789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326" w:name="_Hlt87793831"/>
      <w:bookmarkEnd w:id="32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98"/>
      <w:bookmarkEnd w:id="299"/>
      <w:bookmarkEnd w:id="300"/>
      <w:bookmarkEnd w:id="301"/>
      <w:bookmarkEnd w:id="302"/>
      <w:bookmarkEnd w:id="303"/>
      <w:bookmarkEnd w:id="304"/>
      <w:bookmarkEnd w:id="305"/>
      <w:bookmarkEnd w:id="324"/>
      <w:bookmarkEnd w:id="325"/>
    </w:p>
    <w:p w14:paraId="028A984B">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06"/>
    <w:bookmarkEnd w:id="307"/>
    <w:p w14:paraId="5B0BC685">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27" w:name="_Toc19055"/>
      <w:bookmarkStart w:id="328" w:name="_Toc326916629"/>
      <w:bookmarkStart w:id="329" w:name="_Toc19931"/>
      <w:bookmarkStart w:id="330" w:name="_Toc18454"/>
      <w:bookmarkStart w:id="331" w:name="_Toc12651"/>
      <w:bookmarkStart w:id="332" w:name="_Toc7347"/>
      <w:bookmarkStart w:id="333" w:name="_Toc26552"/>
      <w:bookmarkStart w:id="334" w:name="_Toc322793288"/>
      <w:bookmarkStart w:id="335" w:name="_Toc28378"/>
      <w:bookmarkStart w:id="336" w:name="_Toc8407"/>
      <w:bookmarkStart w:id="337" w:name="_Toc26565"/>
      <w:bookmarkStart w:id="338" w:name="_Toc22879"/>
      <w:bookmarkStart w:id="339" w:name="_Toc21667"/>
      <w:bookmarkStart w:id="340" w:name="_Hlt69698722"/>
      <w:bookmarkStart w:id="341" w:name="_Hlt69698769"/>
      <w:bookmarkStart w:id="342" w:name="_Hlt696987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27D77C7">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highlight w:val="none"/>
          <w14:textFill>
            <w14:solidFill>
              <w14:schemeClr w14:val="tx1"/>
            </w14:solidFill>
          </w14:textFill>
        </w:rPr>
        <w:t>设计、施工（包工</w:t>
      </w:r>
      <w:bookmarkStart w:id="343" w:name="_Hlt87948212"/>
      <w:bookmarkEnd w:id="343"/>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ascii="宋体" w:hAnsi="宋体" w:cs="宋体"/>
          <w:bCs/>
          <w:color w:val="000000" w:themeColor="text1"/>
          <w:szCs w:val="21"/>
          <w:highlight w:val="none"/>
          <w14:textFill>
            <w14:solidFill>
              <w14:schemeClr w14:val="tx1"/>
            </w14:solidFill>
          </w14:textFill>
        </w:rPr>
        <w:t>勘察、设计、施工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DC2B7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0C3537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初步设计概算中的建安工程费不得超过招标文件明确的建安工程估算金额，</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施工图预算中的建安工程费不得超过初步设计概算中的建安工程费且不得超过建安工程费的中标价。</w:t>
      </w:r>
    </w:p>
    <w:p w14:paraId="6C5E2BD5">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78691A86">
      <w:pPr>
        <w:pStyle w:val="53"/>
        <w:keepNext/>
        <w:keepLines/>
        <w:ind w:firstLine="480"/>
        <w:jc w:val="both"/>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344" w:name="_Toc469940920"/>
      <w:bookmarkStart w:id="345" w:name="_Toc27815"/>
      <w:bookmarkStart w:id="346" w:name="_Toc20951"/>
      <w:bookmarkStart w:id="347" w:name="_Toc16000"/>
      <w:bookmarkStart w:id="348" w:name="_Toc16582"/>
      <w:bookmarkStart w:id="349" w:name="_Toc4817"/>
      <w:bookmarkStart w:id="350" w:name="_Toc1359"/>
      <w:bookmarkStart w:id="351" w:name="_Toc10533"/>
      <w:bookmarkStart w:id="352" w:name="_Toc3936"/>
      <w:bookmarkStart w:id="353" w:name="_Toc5382"/>
      <w:bookmarkStart w:id="354" w:name="_Toc467587699"/>
      <w:bookmarkStart w:id="355" w:name="_Toc13383"/>
      <w:bookmarkStart w:id="356" w:name="_Toc16679"/>
      <w:r>
        <w:rPr>
          <w:rFonts w:hint="eastAsia" w:asciiTheme="minorEastAsia" w:hAnsiTheme="minorEastAsia" w:eastAsiaTheme="minorEastAsia" w:cstheme="minorEastAsia"/>
          <w:b/>
          <w:color w:val="000000" w:themeColor="text1"/>
          <w:highlight w:val="none"/>
          <w14:textFill>
            <w14:solidFill>
              <w14:schemeClr w14:val="tx1"/>
            </w14:solidFill>
          </w14:textFill>
        </w:rPr>
        <w:t>2 施工图工程量清单预算的编制原则</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09A1E1C1">
      <w:pPr>
        <w:pStyle w:val="54"/>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。否则，承包人必须进行调整，直至符合限额设计要求为止。</w:t>
      </w:r>
    </w:p>
    <w:p w14:paraId="6FED40E9">
      <w:pPr>
        <w:spacing w:line="360" w:lineRule="auto"/>
        <w:ind w:firstLine="480" w:firstLineChars="200"/>
        <w:jc w:val="left"/>
        <w:rPr>
          <w:rFonts w:hint="eastAsia" w:asciiTheme="minorEastAsia" w:hAnsiTheme="minorEastAsia" w:eastAsiaTheme="minorEastAsia" w:cstheme="minorEastAsia"/>
          <w:i/>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施工图工程量清单预算价的编制：承包人根据招标文件及设计任务书等相关的文件完成本项目的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设计工作，承包人设计的施工图经发包人确认后由发包人委托有资质的审图公司审查，施工图经审查合格后，由承包人编制的施工图工程量清单预算</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需经过发包人委托的第三方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造价咨询单位审核</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通过后，并报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审核</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。施工图工程量清单预算的编制依据为：（1）</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工程量按施工图计算，主要材料价格按预算编制时（招标文件所规定的设计预算编制工期内）当季</w:t>
      </w:r>
      <w:r>
        <w:rPr>
          <w:rFonts w:hint="eastAsia" w:asciiTheme="minorEastAsia" w:hAnsiTheme="minorEastAsia" w:eastAsiaTheme="minorEastAsia" w:cstheme="minorEastAsia"/>
          <w:color w:val="000000" w:themeColor="text1"/>
          <w:kern w:val="0"/>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工程造价管理机构发布的人工、材料、机械台班综合单价（若</w:t>
      </w:r>
      <w:r>
        <w:rPr>
          <w:rFonts w:hint="eastAsia" w:asciiTheme="minorEastAsia" w:hAnsiTheme="minorEastAsia" w:eastAsiaTheme="minorEastAsia" w:cstheme="minorEastAsia"/>
          <w:color w:val="000000" w:themeColor="text1"/>
          <w:kern w:val="0"/>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p>
    <w:p w14:paraId="34CE21CF">
      <w:pPr>
        <w:pStyle w:val="4"/>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57" w:name="_Toc6675"/>
      <w:bookmarkStart w:id="358" w:name="_Toc4412"/>
      <w:bookmarkStart w:id="359" w:name="_Toc11307"/>
      <w:bookmarkStart w:id="360" w:name="_Toc755"/>
      <w:bookmarkStart w:id="361" w:name="_Toc2286"/>
      <w:bookmarkStart w:id="362" w:name="_Toc30405"/>
      <w:bookmarkStart w:id="363" w:name="_Toc28537"/>
      <w:bookmarkStart w:id="364" w:name="_Toc3958"/>
      <w:bookmarkStart w:id="365" w:name="_Toc176"/>
      <w:bookmarkStart w:id="366" w:name="_Toc466640604"/>
      <w:bookmarkStart w:id="367" w:name="_Toc25565"/>
      <w:bookmarkStart w:id="368" w:name="_Toc13437"/>
      <w:bookmarkStart w:id="369" w:name="_Hlt87948449"/>
      <w:bookmarkStart w:id="370" w:name="_Hlt8794844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3 工程结算原则</w:t>
      </w:r>
      <w:bookmarkEnd w:id="357"/>
      <w:bookmarkEnd w:id="358"/>
      <w:bookmarkEnd w:id="359"/>
      <w:bookmarkEnd w:id="360"/>
      <w:bookmarkEnd w:id="361"/>
      <w:bookmarkEnd w:id="362"/>
      <w:bookmarkEnd w:id="363"/>
      <w:bookmarkEnd w:id="364"/>
      <w:bookmarkEnd w:id="365"/>
      <w:bookmarkEnd w:id="366"/>
      <w:bookmarkEnd w:id="367"/>
      <w:bookmarkEnd w:id="368"/>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设计费结算原则</w:t>
      </w:r>
    </w:p>
    <w:p w14:paraId="73EDBF7F">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3.1.1勘察费结算价：投标人在勘察费（含测绘费）的最高投标限价范围内进行自主报价，结算时勘察费、测绘费按实结算。</w:t>
      </w:r>
    </w:p>
    <w:p w14:paraId="12A55B10">
      <w:pPr>
        <w:spacing w:line="360" w:lineRule="auto"/>
        <w:ind w:firstLine="960" w:firstLineChars="40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费结算价：按经审定的建安工程费最高投标限价×设计费中标费率进行结算</w:t>
      </w:r>
      <w:r>
        <w:rPr>
          <w:rFonts w:hint="eastAsia"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300B2F64">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3.1.2勘察设计费在中标价范围内按实结算，结算价超中标价时按中标价结算。</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3.2工程费用结算基准价的确定：以</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本章</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第2条工程预算价编制原则编制的经审核后的预算价乘以（1－承包人中标下浮率）作为此工程项目的建安工程结算基准价，其分部分项工程量清单对应的综合单价即为结算基准单价。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仁化县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仁化县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3.4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20EAC7DF">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3.7本工程结算不另行计取高温补贴费用、预算编制费、专业分包总包服务及配合费、设计优化及修改增加的费用。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3.9 因本项目为设计、施工总承包，如果设计图纸、施工图预算由于设计深度原因导致的设计变更，不另行增加费用。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3.10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69"/>
    <w:bookmarkEnd w:id="370"/>
    <w:p w14:paraId="70D6157D">
      <w:pPr>
        <w:pStyle w:val="40"/>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71" w:name="_Hlt112206782"/>
      <w:bookmarkEnd w:id="371"/>
      <w:bookmarkStart w:id="372" w:name="_Toc16793"/>
      <w:bookmarkStart w:id="373" w:name="_Toc24211"/>
      <w:bookmarkStart w:id="374" w:name="_Toc322793290"/>
      <w:bookmarkStart w:id="375" w:name="_Toc15300"/>
      <w:bookmarkStart w:id="376" w:name="_Toc3897"/>
      <w:bookmarkStart w:id="377" w:name="_Toc14810"/>
      <w:bookmarkStart w:id="378" w:name="_Toc326916631"/>
      <w:bookmarkStart w:id="379" w:name="_Toc29998"/>
      <w:bookmarkStart w:id="380" w:name="_Toc30894"/>
      <w:bookmarkStart w:id="381" w:name="_Toc11208"/>
      <w:bookmarkStart w:id="382" w:name="_Toc2973"/>
      <w:bookmarkStart w:id="383" w:name="_Toc23408"/>
      <w:bookmarkStart w:id="384" w:name="_Toc20983"/>
      <w:bookmarkStart w:id="385" w:name="_Hlt8795177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4 工程付款办法</w:t>
      </w:r>
      <w:bookmarkEnd w:id="372"/>
      <w:bookmarkEnd w:id="373"/>
      <w:bookmarkEnd w:id="374"/>
      <w:bookmarkEnd w:id="375"/>
      <w:bookmarkEnd w:id="376"/>
      <w:bookmarkEnd w:id="377"/>
      <w:bookmarkEnd w:id="378"/>
      <w:bookmarkEnd w:id="379"/>
      <w:bookmarkEnd w:id="380"/>
      <w:bookmarkEnd w:id="381"/>
      <w:bookmarkEnd w:id="382"/>
      <w:bookmarkEnd w:id="383"/>
      <w:bookmarkEnd w:id="384"/>
    </w:p>
    <w:bookmarkEnd w:id="385"/>
    <w:p w14:paraId="321EF06C">
      <w:pPr>
        <w:pStyle w:val="38"/>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86" w:name="_Hlt66608388"/>
      <w:bookmarkEnd w:id="386"/>
      <w:bookmarkStart w:id="387" w:name="_Hlt70150985"/>
      <w:bookmarkEnd w:id="387"/>
      <w:bookmarkStart w:id="388" w:name="_Hlt69700007"/>
      <w:bookmarkEnd w:id="388"/>
      <w:bookmarkStart w:id="389" w:name="_Hlt66591689"/>
      <w:bookmarkEnd w:id="389"/>
      <w:bookmarkStart w:id="390" w:name="_Hlt69114106"/>
      <w:bookmarkEnd w:id="390"/>
      <w:bookmarkStart w:id="391" w:name="_Hlt88976467"/>
      <w:bookmarkEnd w:id="391"/>
      <w:bookmarkStart w:id="392" w:name="_Hlt69669774"/>
      <w:bookmarkEnd w:id="392"/>
      <w:bookmarkStart w:id="393" w:name="_Hlt66593437"/>
      <w:bookmarkEnd w:id="393"/>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4.1</w:t>
      </w:r>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015A0E1F">
      <w:pPr>
        <w:pStyle w:val="38"/>
        <w:spacing w:line="440" w:lineRule="exact"/>
        <w:ind w:firstLine="48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4.1.1</w:t>
      </w:r>
      <w:r>
        <w:rPr>
          <w:rFonts w:hint="eastAsia" w:ascii="宋体" w:hAnsi="宋体" w:eastAsia="宋体" w:cs="宋体"/>
          <w:color w:val="000000" w:themeColor="text1"/>
          <w:sz w:val="24"/>
          <w:szCs w:val="24"/>
          <w:highlight w:val="none"/>
          <w:u w:val="none"/>
          <w14:textFill>
            <w14:solidFill>
              <w14:schemeClr w14:val="tx1"/>
            </w14:solidFill>
          </w14:textFill>
        </w:rPr>
        <w:t>合同签定后发包人付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u w:val="none"/>
          <w14:textFill>
            <w14:solidFill>
              <w14:schemeClr w14:val="tx1"/>
            </w14:solidFill>
          </w14:textFill>
        </w:rPr>
        <w:t>设计费</w:t>
      </w:r>
      <w:r>
        <w:rPr>
          <w:rFonts w:hint="eastAsia" w:asciiTheme="minorEastAsia" w:hAnsiTheme="minorEastAsia" w:eastAsiaTheme="minorEastAsia" w:cstheme="minorEastAsia"/>
          <w:color w:val="000000" w:themeColor="text1"/>
          <w:highlight w:val="none"/>
          <w14:textFill>
            <w14:solidFill>
              <w14:schemeClr w14:val="tx1"/>
            </w14:solidFill>
          </w14:textFill>
        </w:rPr>
        <w:t>合同价款</w:t>
      </w:r>
      <w:r>
        <w:rPr>
          <w:rFonts w:hint="eastAsia" w:ascii="宋体" w:hAnsi="宋体" w:eastAsia="宋体" w:cs="宋体"/>
          <w:color w:val="000000" w:themeColor="text1"/>
          <w:sz w:val="24"/>
          <w:szCs w:val="24"/>
          <w:highlight w:val="none"/>
          <w:u w:val="none"/>
          <w14:textFill>
            <w14:solidFill>
              <w14:schemeClr w14:val="tx1"/>
            </w14:solidFill>
          </w14:textFill>
        </w:rPr>
        <w:t>的30%</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0075D262">
      <w:pPr>
        <w:pStyle w:val="38"/>
        <w:spacing w:line="440" w:lineRule="exact"/>
        <w:ind w:firstLine="48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4.1.2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提交初步勘察报告、初步</w:t>
      </w:r>
      <w:r>
        <w:rPr>
          <w:rFonts w:hint="eastAsia" w:asciiTheme="minorEastAsia" w:hAnsiTheme="minorEastAsia" w:eastAsiaTheme="minorEastAsia" w:cstheme="minorEastAsia"/>
          <w:color w:val="000000" w:themeColor="text1"/>
          <w:highlight w:val="none"/>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文件及工程概算</w:t>
      </w:r>
      <w:r>
        <w:rPr>
          <w:rFonts w:hint="eastAsia" w:asciiTheme="minorEastAsia" w:hAnsiTheme="minorEastAsia" w:eastAsiaTheme="minorEastAsia" w:cstheme="minorEastAsia"/>
          <w:color w:val="000000" w:themeColor="text1"/>
          <w:highlight w:val="none"/>
          <w14:textFill>
            <w14:solidFill>
              <w14:schemeClr w14:val="tx1"/>
            </w14:solidFill>
          </w14:textFill>
        </w:rPr>
        <w:t>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highlight w:val="none"/>
          <w14:textFill>
            <w14:solidFill>
              <w14:schemeClr w14:val="tx1"/>
            </w14:solidFill>
          </w14:textFill>
        </w:rPr>
        <w:t>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p>
    <w:p w14:paraId="360E13A3">
      <w:pPr>
        <w:pStyle w:val="38"/>
        <w:spacing w:line="44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4.1.3提交详细勘察报告、</w:t>
      </w:r>
      <w:r>
        <w:rPr>
          <w:rFonts w:hint="eastAsia" w:asciiTheme="minorEastAsia" w:hAnsiTheme="minorEastAsia" w:eastAsiaTheme="minorEastAsia" w:cstheme="minorEastAsia"/>
          <w:color w:val="000000" w:themeColor="text1"/>
          <w:highlight w:val="none"/>
          <w14:textFill>
            <w14:solidFill>
              <w14:schemeClr w14:val="tx1"/>
            </w14:solidFill>
          </w14:textFill>
        </w:rPr>
        <w:t>施工图设计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文件和施工图预算</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且</w:t>
      </w:r>
      <w:r>
        <w:rPr>
          <w:rFonts w:hint="eastAsia" w:asciiTheme="minorEastAsia" w:hAnsiTheme="minorEastAsia" w:eastAsiaTheme="minorEastAsia" w:cstheme="minorEastAsia"/>
          <w:color w:val="000000" w:themeColor="text1"/>
          <w:highlight w:val="none"/>
          <w14:textFill>
            <w14:solidFill>
              <w14:schemeClr w14:val="tx1"/>
            </w14:solidFill>
          </w14:textFill>
        </w:rPr>
        <w:t>本项目工程施工图设计经发包人委托具有资质的第三方审图机构审查合格并提交合格的完整施工图设计成果文件后，相关请款资料经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highlight w:val="none"/>
          <w14:textFill>
            <w14:solidFill>
              <w14:schemeClr w14:val="tx1"/>
            </w14:solidFill>
          </w14:textFill>
        </w:rPr>
        <w:t>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0A548E9B">
      <w:pPr>
        <w:pStyle w:val="38"/>
        <w:spacing w:line="44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4.1.4工</w:t>
      </w:r>
      <w:r>
        <w:rPr>
          <w:rFonts w:hint="eastAsia" w:asciiTheme="minorEastAsia" w:hAnsiTheme="minorEastAsia" w:eastAsiaTheme="minorEastAsia" w:cstheme="minorEastAsia"/>
          <w:color w:val="000000" w:themeColor="text1"/>
          <w:highlight w:val="none"/>
          <w14:textFill>
            <w14:solidFill>
              <w14:schemeClr w14:val="tx1"/>
            </w14:solidFill>
          </w14:textFill>
        </w:rPr>
        <w:t>程竣工验收合格后，相关请款资料经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财政局审批后10个工作日内支付剩余的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highlight w:val="none"/>
          <w14:textFill>
            <w14:solidFill>
              <w14:schemeClr w14:val="tx1"/>
            </w14:solidFill>
          </w14:textFill>
        </w:rPr>
        <w:t>设计费余额。</w:t>
      </w:r>
    </w:p>
    <w:p w14:paraId="67BD3E49">
      <w:pPr>
        <w:pStyle w:val="38"/>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4.2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8558E75">
      <w:pPr>
        <w:pStyle w:val="38"/>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0174964">
      <w:pPr>
        <w:pStyle w:val="38"/>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4.2.2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w:t>
      </w:r>
    </w:p>
    <w:p w14:paraId="4A4F23D6">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75193BA4">
      <w:pPr>
        <w:pStyle w:val="38"/>
        <w:ind w:firstLine="480" w:firstLineChars="200"/>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（3）预付款应从每支付期应支付给承包人的工程进度款中扣回，扣回比例为每支付期的工程进度款的50%，直到扣回的金额达到合同约定的预付款金额为止。</w:t>
      </w:r>
    </w:p>
    <w:p w14:paraId="24B08995">
      <w:pPr>
        <w:pStyle w:val="38"/>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4.2.3</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施工过程中按月支付工程进度款：承包人每月按工程实际完成工程量（含变更及增加工程）申报，承包人必须将《已完成工程量报表》和《工程付款申请书》于当月26日前报监理单位核</w:t>
      </w:r>
      <w:bookmarkStart w:id="394" w:name="_Hlt127094354"/>
      <w:bookmarkEnd w:id="394"/>
      <w:r>
        <w:rPr>
          <w:rFonts w:hint="eastAsia" w:ascii="宋体" w:hAnsi="宋体" w:eastAsia="宋体" w:cs="宋体"/>
          <w:snapToGrid w:val="0"/>
          <w:color w:val="000000" w:themeColor="text1"/>
          <w:kern w:val="0"/>
          <w:sz w:val="24"/>
          <w:szCs w:val="24"/>
          <w:highlight w:val="none"/>
          <w14:textFill>
            <w14:solidFill>
              <w14:schemeClr w14:val="tx1"/>
            </w14:solidFill>
          </w14:textFill>
        </w:rPr>
        <w:t>实。经监理单位审核、发包人审定后的工程进度款（指已经按照合同约定，扣除该支付期内因承包人违约而应扣除的管理费），于申报次月支付。</w:t>
      </w:r>
    </w:p>
    <w:p w14:paraId="09E8B826">
      <w:pPr>
        <w:pStyle w:val="38"/>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每月的工程进度款按应付金额的</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80 % </w:t>
      </w:r>
      <w:r>
        <w:rPr>
          <w:rFonts w:hint="eastAsia" w:ascii="宋体" w:hAnsi="宋体" w:eastAsia="宋体" w:cs="宋体"/>
          <w:snapToGrid w:val="0"/>
          <w:color w:val="000000" w:themeColor="text1"/>
          <w:kern w:val="0"/>
          <w:sz w:val="24"/>
          <w:szCs w:val="24"/>
          <w:highlight w:val="none"/>
          <w14:textFill>
            <w14:solidFill>
              <w14:schemeClr w14:val="tx1"/>
            </w14:solidFill>
          </w14:textFill>
        </w:rPr>
        <w:t>支付，进度款不能超过合同价的80%。工程进度款中的作业工人工资款项由发包人单独足额拨付到承包人的工资专户。</w:t>
      </w:r>
    </w:p>
    <w:p w14:paraId="53D4001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w:t>
      </w:r>
      <w:r>
        <w:rPr>
          <w:rFonts w:hint="eastAsia" w:ascii="宋体" w:hAnsi="宋体" w:eastAsia="宋体" w:cs="宋体"/>
          <w:snapToGrid w:val="0"/>
          <w:color w:val="000000" w:themeColor="text1"/>
          <w:kern w:val="0"/>
          <w:sz w:val="24"/>
          <w:szCs w:val="24"/>
          <w:highlight w:val="none"/>
          <w14:textFill>
            <w14:solidFill>
              <w14:schemeClr w14:val="tx1"/>
            </w14:solidFill>
          </w14:textFill>
        </w:rPr>
        <w:t>措施项目费中的“</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安全生产措施费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安全生产措施费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4.4</w:t>
      </w:r>
      <w:r>
        <w:rPr>
          <w:rFonts w:hint="eastAsia" w:ascii="宋体" w:hAnsi="宋体" w:eastAsia="宋体" w:cs="宋体"/>
          <w:snapToGrid w:val="0"/>
          <w:color w:val="000000" w:themeColor="text1"/>
          <w:kern w:val="0"/>
          <w:sz w:val="24"/>
          <w:szCs w:val="24"/>
          <w:highlight w:val="none"/>
          <w14:textFill>
            <w14:solidFill>
              <w14:schemeClr w14:val="tx1"/>
            </w14:solidFill>
          </w14:textFill>
        </w:rPr>
        <w:t>变更工程造价必须经监理单位核实，并经发包人核定后方可支付。</w:t>
      </w:r>
    </w:p>
    <w:p w14:paraId="16EADF1F">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4.5 工程完工后可支付至</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合同价的</w:t>
      </w:r>
      <w:r>
        <w:rPr>
          <w:rFonts w:hint="eastAsia" w:asciiTheme="minorEastAsia" w:hAnsiTheme="minorEastAsia" w:eastAsiaTheme="minorEastAsia" w:cstheme="minorEastAsia"/>
          <w:color w:val="000000" w:themeColor="text1"/>
          <w:highlight w:val="none"/>
          <w14:textFill>
            <w14:solidFill>
              <w14:schemeClr w14:val="tx1"/>
            </w14:solidFill>
          </w14:textFill>
        </w:rPr>
        <w:t>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41A5B087">
      <w:pPr>
        <w:pStyle w:val="38"/>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4.6 </w:t>
      </w:r>
      <w:r>
        <w:rPr>
          <w:rFonts w:hint="eastAsia" w:ascii="宋体" w:hAnsi="宋体" w:eastAsia="宋体" w:cs="宋体"/>
          <w:snapToGrid w:val="0"/>
          <w:color w:val="000000" w:themeColor="text1"/>
          <w:kern w:val="0"/>
          <w:sz w:val="24"/>
          <w:szCs w:val="24"/>
          <w:highlight w:val="none"/>
          <w14:textFill>
            <w14:solidFill>
              <w14:schemeClr w14:val="tx1"/>
            </w14:solidFill>
          </w14:textFill>
        </w:rPr>
        <w:t>结算审核完成后，于次月支付至合同价格的97%，剩余3%转为质量保证金；承包人提交了等额</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质量保证担保或质量保证保险的，于次月一次性结清合同价格。</w:t>
      </w:r>
    </w:p>
    <w:p w14:paraId="38E063D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4.7</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本招标项目缺陷责任期为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2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年（自通过竣工验收之日起计）。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14 </w:t>
      </w:r>
      <w:r>
        <w:rPr>
          <w:rFonts w:hint="eastAsia" w:ascii="宋体" w:hAnsi="宋体" w:eastAsia="宋体" w:cs="宋体"/>
          <w:snapToGrid w:val="0"/>
          <w:color w:val="000000" w:themeColor="text1"/>
          <w:kern w:val="0"/>
          <w:sz w:val="24"/>
          <w:szCs w:val="24"/>
          <w:highlight w:val="none"/>
          <w14:textFill>
            <w14:solidFill>
              <w14:schemeClr w14:val="tx1"/>
            </w14:solidFill>
          </w14:textFill>
        </w:rPr>
        <w:t>天内将应返保证金（或银行保函）退还承包人。</w:t>
      </w:r>
    </w:p>
    <w:p w14:paraId="3E9DAAB8">
      <w:pPr>
        <w:pStyle w:val="38"/>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发包人每次支付工程款前，承包人均应提供有效的增值税专用发票。如果承包人无法提供符合要求的发票，由此造成的相应损失由承包人承担。</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7E13DF6A">
      <w:pPr>
        <w:wordWrap w:val="0"/>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4.9</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暂列金额支付方式：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与每个月的工程进度款一并报送，在暂列金额的范围内由监理单位进行签认，造价咨询单位审核，发包人确认，需要列明涉及暂列金额的部分。在暂列金额的范围内由监理单位进行签证，造价咨询单位审核后，经发包人确认后按支付节点支付该款项的50％，其余部分待结算完成审核后支付至97%，剩余3%为工程质量保修金</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8092894">
      <w:pPr>
        <w:pStyle w:val="38"/>
        <w:numPr>
          <w:ilvl w:val="0"/>
          <w:numId w:val="5"/>
        </w:numPr>
        <w:ind w:firstLine="361" w:firstLineChars="15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施工部分</w:t>
      </w:r>
    </w:p>
    <w:p w14:paraId="7C85417A">
      <w:pPr>
        <w:pStyle w:val="55"/>
        <w:widowControl/>
        <w:spacing w:line="360" w:lineRule="auto"/>
        <w:ind w:firstLine="420"/>
        <w:jc w:val="left"/>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5.1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项目管理</w:t>
      </w:r>
    </w:p>
    <w:p w14:paraId="78BB4858">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5.1.1项目经理要求：</w:t>
      </w:r>
    </w:p>
    <w:p w14:paraId="102046D0">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项目经理与投标文件承诺不一致或未及时到位，发包人将按照下列方式对承包人进行处罚：</w:t>
      </w:r>
    </w:p>
    <w:p w14:paraId="20177E41">
      <w:pPr>
        <w:pStyle w:val="55"/>
        <w:widowControl/>
        <w:numPr>
          <w:ilvl w:val="0"/>
          <w:numId w:val="6"/>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擅自更换本工程项目经理的，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即使发包人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事后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批准同意更换，承包人仍需支付每换一次15万元的违约金（仅被羁押或判处刑罚、身亡可免责）。</w:t>
      </w:r>
    </w:p>
    <w:p w14:paraId="328A740C">
      <w:pPr>
        <w:pStyle w:val="55"/>
        <w:widowControl/>
        <w:numPr>
          <w:ilvl w:val="0"/>
          <w:numId w:val="6"/>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项目经理每延迟到位一天承包人应向发包人支付违约金5万元/天，超过10天（含10天）发包人有权单方解除合同，并要求承包人承担由此造成的一切损失。</w:t>
      </w:r>
    </w:p>
    <w:p w14:paraId="4D33B316">
      <w:pPr>
        <w:pStyle w:val="55"/>
        <w:widowControl/>
        <w:numPr>
          <w:ilvl w:val="0"/>
          <w:numId w:val="6"/>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5"/>
        <w:widowControl/>
        <w:numPr>
          <w:ilvl w:val="0"/>
          <w:numId w:val="6"/>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5"/>
        <w:widowControl/>
        <w:spacing w:line="360" w:lineRule="auto"/>
        <w:ind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上述违约金由承包人直接向发包人支付，未付清之前，发包人有权暂停支付工程款。</w:t>
      </w:r>
    </w:p>
    <w:p w14:paraId="103D7D44">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5.1.2承包人必须遵守国家相关法律法规、政府相关规定及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仁化县融鑫文化旅游投资有限公司</w:t>
      </w:r>
      <w:r>
        <w:rPr>
          <w:rFonts w:hint="eastAsia" w:asciiTheme="minorEastAsia" w:hAnsiTheme="minorEastAsia" w:eastAsiaTheme="minorEastAsia" w:cstheme="minorEastAsia"/>
          <w:color w:val="000000" w:themeColor="text1"/>
          <w:highlight w:val="none"/>
          <w14:textFill>
            <w14:solidFill>
              <w14:schemeClr w14:val="tx1"/>
            </w14:solidFill>
          </w14:textFill>
        </w:rPr>
        <w:t>的工程管理制度。</w:t>
      </w:r>
    </w:p>
    <w:p w14:paraId="1C814542">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5.1.3承包人应根据工程实际需要，配备满足进度要求的施工机械，自备发电机保证供电稳定，所有费用已包含在合同价中。</w:t>
      </w:r>
    </w:p>
    <w:p w14:paraId="2239CEC0">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0FB0B478">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5.1.5在合同履行中如发包人、承包人双方发生争议，承包人不得以争议未解决为由擅自停工，否则将视为违约，由此产生工期的延误不予顺延。</w:t>
      </w:r>
    </w:p>
    <w:p w14:paraId="1ED02A19">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wordWrap w:val="0"/>
        <w:adjustRightInd w:val="0"/>
        <w:snapToGrid w:val="0"/>
        <w:spacing w:line="44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承包人未及时通知监理人到场检查，私自将隐蔽部位覆盖，监理人有权指示承包人采用钻孔探测揭开进行检查，由此增加的费用和工期延误责任由承包人承担。</w:t>
      </w:r>
    </w:p>
    <w:p w14:paraId="4743ECAB">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5.1.7承包人必须编制合理的交通维护方案并负责实施，保证施工期间的交通组织符合</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公安交通管理的有关规定，确保施工安全，其费用包含在合同价中。</w:t>
      </w:r>
    </w:p>
    <w:p w14:paraId="776AEB15">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（4）重伤事故、造成10人及以上集体中毒住院、经济损失重大的火灾、设备及交通事故，依法由承包人承担责任，并支付惩罚性违约金3万元。</w:t>
      </w:r>
    </w:p>
    <w:p w14:paraId="2A4F27DB">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（5）因施工造成的道路交通中断、通讯中断、管线漏水漏气等全部责任事故，依法由承包人承担责任，并支付惩罚性违约金2万元。</w:t>
      </w:r>
    </w:p>
    <w:p w14:paraId="5183712F">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5.1.10 工程竣工验收合格后30天内，承包人必须及时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5.3施工准备工作</w:t>
      </w:r>
    </w:p>
    <w:p w14:paraId="57C4C8F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5.4工程变更</w:t>
      </w:r>
    </w:p>
    <w:p w14:paraId="1E334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1E4F8A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5.4.3承包人应按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人民政府办公室《关于加强市本级政府投资项目财政投资评审监督管理的实施意见》的规定及时申报办理工程变更审批手续，并于申请当期工程款之前或一并申报完整的工程变更资料予以备案；凡不符合实施意见要求的变更均为无效变更。</w:t>
      </w:r>
    </w:p>
    <w:p w14:paraId="4413A9BD">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5.5工程量计量的约定：</w:t>
      </w:r>
    </w:p>
    <w:p w14:paraId="1B9138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⑤发包人书面通知承包人取消的工程量，不予计量。</w:t>
      </w:r>
    </w:p>
    <w:p w14:paraId="006747B2">
      <w:pPr>
        <w:pStyle w:val="32"/>
        <w:spacing w:line="360" w:lineRule="auto"/>
        <w:jc w:val="left"/>
        <w:rPr>
          <w:rFonts w:hint="eastAsia"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承包人编制的工程量预算清单中的综合单价为按技术规范与技术要求完成一个规定计量单位的工程所需的人工费、材料费、机械使用费、管理费、利润并考虑风险因素。按技术规范、招标文件、设计图纸、《</w:t>
      </w:r>
      <w:r>
        <w:rPr>
          <w:rFonts w:hint="eastAsia" w:asciiTheme="minorEastAsia" w:hAnsiTheme="minorEastAsia" w:eastAsiaTheme="minorEastAsia" w:cstheme="minorEastAsia"/>
          <w:b w:val="0"/>
          <w:bCs/>
          <w:snapToGrid w:val="0"/>
          <w:color w:val="000000" w:themeColor="text1"/>
          <w:kern w:val="0"/>
          <w:sz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b w:val="0"/>
          <w:bCs/>
          <w:snapToGrid w:val="0"/>
          <w:color w:val="000000" w:themeColor="text1"/>
          <w:kern w:val="0"/>
          <w:sz w:val="24"/>
          <w:highlight w:val="none"/>
          <w:lang w:eastAsia="zh-CN"/>
          <w14:textFill>
            <w14:solidFill>
              <w14:schemeClr w14:val="tx1"/>
            </w14:solidFill>
          </w14:textFill>
        </w:rPr>
        <w:t>GB/T50500-2024</w:t>
      </w: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）、省市现行计价规程等要求为完成一个规定计量单位的工程量所需的其他一切费用，承包人不得以综合单价和措施费所含工作内容缺漏项为由，向发包人提出任何变更工程价款的要求。</w:t>
      </w:r>
    </w:p>
    <w:p w14:paraId="5B66EE1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5.6.2若承包人的施工承包资质缺少本工程的专业承包资质，应按照有关规定事先报发包人和监理工程师审查并取得发包人批准后分包给具有相应资质的专业承包人（如果分包工程按规定需要进行招标的，由承包人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5.7 措施项目</w:t>
      </w:r>
    </w:p>
    <w:p w14:paraId="5E1F995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5.7.1现场安全文明设计必须满足国家、省市相关的要求，除此之外，尚应满足如下要求：</w:t>
      </w:r>
    </w:p>
    <w:p w14:paraId="7BC26F82">
      <w:pPr>
        <w:numPr>
          <w:ilvl w:val="0"/>
          <w:numId w:val="7"/>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④施工期间，承包人应随时根据现场情况对围挡进行维修和保护，确保施工界面达到韶关市、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⑦施工现场的施工区、 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⑨要建立治安保卫制度，责任要分解到人。承包人在施工过程中的施工人员应配备必要的劳动、安全保护用品并佩戴工作证，以及满足招标文件中其他相关规定。</w:t>
      </w:r>
    </w:p>
    <w:p w14:paraId="3DF1D3AE">
      <w:pPr>
        <w:numPr>
          <w:ilvl w:val="0"/>
          <w:numId w:val="7"/>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②大气污染防治措施：采用洒水湿法抑尘；重点时段防护如：对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工地进出运输</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4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5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⑤</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6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⑥</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5.7.2已完工程及设备保护费</w:t>
      </w:r>
    </w:p>
    <w:p w14:paraId="3F98CB8B">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①承包人应充分考虑本工程的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已完工程及设备保护，其费用已包含在合同价内，结算不再调整；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②承包人应充分考虑施工影响范围内的地上、地下设施，建筑物的临时保护等措施，</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5.7.3施工降排水</w:t>
      </w:r>
    </w:p>
    <w:p w14:paraId="6546BEE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保证护栏的安全性。</w:t>
      </w:r>
    </w:p>
    <w:p w14:paraId="77FB826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9A8D46D">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以上有关费用已含在合同价中，结算不作调整。</w:t>
      </w:r>
    </w:p>
    <w:p w14:paraId="7928913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5.7.4水土保持</w:t>
      </w:r>
    </w:p>
    <w:p w14:paraId="64FD2D2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AC489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5.7.5施工用水、用电等</w:t>
      </w:r>
    </w:p>
    <w:p w14:paraId="77846A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5.7.6与其他工程的衔接、管理与配合费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5.7.7因承包人原因而引起的罚款、索赔和指控等责任由承包人自行承担。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5.7.8工程完工后需要恢复的建筑物、构筑物，承包人必须及时恢复，并使监理工程师和发包人满意，满足政府管理部门的规定和要求。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06D651C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73A270B4">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5.7.12根据广东省、韶关市、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5.8.4承包人的已完工程结算时间由发包人确定。按本合同结算条款约定办理结算，同时必须按合同约定扣除违约金、赔偿金。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5.9.1工程质量达不到合同约定的质量标准承包人违约责任：如未达到合格标准，除则按合同价款的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5.11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本工程具备竣工验收条件后14天内，承包人按国家建设部、广东省及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5.12工程移交及档案管理</w:t>
      </w:r>
    </w:p>
    <w:p w14:paraId="0F3C57F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5.14.5若承包人按照发包人的要求及时履行了保修义务，并能提供证据说明质量缺陷非承包人的责任，保修费用及相关损失由缺陷责任方承担。</w:t>
      </w:r>
    </w:p>
    <w:p w14:paraId="62CF27DC">
      <w:pPr>
        <w:pStyle w:val="57"/>
        <w:adjustRightInd w:val="0"/>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5.15发包人有权根据有关管理制度对承包人的履约情况纳入履约信用评价和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第三方质量安全评估</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体系进行履约信用评价和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第三方质量安全评估按发包人履约信用评价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评估</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管理规定执行，评价内容包含人员到位情况、服务配合程度、工程质量、安全、项目后期服务及信用评价结果、评估结果的运用等。</w:t>
      </w:r>
    </w:p>
    <w:p w14:paraId="6EA2CC4B">
      <w:pPr>
        <w:tabs>
          <w:tab w:val="left" w:pos="1260"/>
        </w:tabs>
        <w:snapToGrid w:val="0"/>
        <w:spacing w:line="360" w:lineRule="auto"/>
        <w:ind w:firstLine="442" w:firstLineChars="200"/>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t>6.设计部分：</w:t>
      </w:r>
    </w:p>
    <w:p w14:paraId="7F0A5DBC">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6.2 承包人必须严格按有关设计规范设</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95" w:name="_Toc39061383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6.4.知识产权和专利权</w:t>
      </w:r>
      <w:bookmarkEnd w:id="395"/>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6.4.4承包人提交给发包人的设计文件，其著作权、版权、专利权和使用权归发包人所有（署名权除外）。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70"/>
        <w:ind w:firstLine="602"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6.7.1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工程变更的程序和管理按</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项目所在地的</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政府投资项目财政投资评审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相关文件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执行。如因设计人的责任引起变更造成投资规模增加，按如下规定追究设计人的违约责任：</w:t>
      </w:r>
    </w:p>
    <w:p w14:paraId="36AB7623">
      <w:pPr>
        <w:pStyle w:val="70"/>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（1）因设计人责任引起变更造成投资规模增加10%以上的，扣减设计人设计合同价20%的违约金；</w:t>
      </w:r>
    </w:p>
    <w:p w14:paraId="1B80E621">
      <w:pPr>
        <w:pStyle w:val="70"/>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D5B2D9E">
      <w:pPr>
        <w:pStyle w:val="8"/>
        <w:snapToGrid w:val="0"/>
        <w:spacing w:line="360" w:lineRule="auto"/>
        <w:ind w:left="63" w:right="63" w:firstLine="482" w:firstLineChars="200"/>
        <w:jc w:val="left"/>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t>6.10 除招标文件规定的服务内容外，承包人还须完成以下各阶段服务内容：</w:t>
      </w:r>
    </w:p>
    <w:p w14:paraId="05A389AA">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6.10.1 施工图设计阶段</w:t>
      </w:r>
    </w:p>
    <w:p w14:paraId="17150E23">
      <w:pPr>
        <w:pStyle w:val="38"/>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（1）负责完成并制作总图、建筑、结构、</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建筑装饰装修、给排水、电气、照明、消防、节能、无障碍设计、安防及智能系统、充电桩、</w:t>
      </w:r>
      <w:r>
        <w:rPr>
          <w:rFonts w:hint="eastAsia" w:asciiTheme="minorEastAsia" w:hAnsiTheme="minorEastAsia" w:eastAsiaTheme="minorEastAsia" w:cstheme="minorEastAsia"/>
          <w:snapToGrid w:val="0"/>
          <w:color w:val="000000" w:themeColor="text1"/>
          <w:kern w:val="0"/>
          <w:highlight w:val="none"/>
          <w:u w:val="none" w:color="auto"/>
          <w14:textFill>
            <w14:solidFill>
              <w14:schemeClr w14:val="tx1"/>
            </w14:solidFill>
          </w14:textFill>
        </w:rPr>
        <w:t>海绵城市</w:t>
      </w:r>
      <w:r>
        <w:rPr>
          <w:rFonts w:hint="eastAsia" w:asciiTheme="minorEastAsia" w:hAnsiTheme="minorEastAsia" w:eastAsiaTheme="minorEastAsia" w:cstheme="minorEastAsia"/>
          <w:snapToGrid w:val="0"/>
          <w:color w:val="000000" w:themeColor="text1"/>
          <w:kern w:val="0"/>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雨污分流、道路、综合管网等所有专项设计及红线范围内的所有工程及相关配套工程、设施等本项目涉及的全部专业的施工图设计文件；</w:t>
      </w:r>
    </w:p>
    <w:p w14:paraId="1956F6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（2）对发包人的审核修改意见进行修改、完善，保证其设计意图的最终实现； </w:t>
      </w:r>
    </w:p>
    <w:p w14:paraId="743FBD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ADCC5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（4）协助发包人进行工程招标答疑。</w:t>
      </w:r>
    </w:p>
    <w:p w14:paraId="0383F98F">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6.10.2 施工配合阶段</w:t>
      </w:r>
    </w:p>
    <w:p w14:paraId="4A574B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（1）负责工程设计交底，解答施工过程中施工承包人有关施工图的问题，项目负责人及各专业设计负责人，及时对施工中与设计有关的问题做出回应，保证设计满足施工要求； </w:t>
      </w:r>
    </w:p>
    <w:p w14:paraId="2472C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（2）根据发包人要求，及时参加与设计有关的专题会，现场解决技术问题； </w:t>
      </w:r>
    </w:p>
    <w:p w14:paraId="4B44A9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（3）协助发包人处理工程洽商和设计变更，负责有关设计修改，及时办理相关手续； </w:t>
      </w:r>
    </w:p>
    <w:p w14:paraId="420862F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（4）参与与承包人相关的必要的验收以及项目竣工验收工作，并及时办理相关手续； </w:t>
      </w:r>
    </w:p>
    <w:p w14:paraId="5EDF068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（5）提供产品选型、设备加工订货、建筑材料选择以及分包商考察等技术咨询工作； </w:t>
      </w:r>
    </w:p>
    <w:p w14:paraId="0888DE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（6）应发包人要求协助审核各分包商的设计文件是否满足接口条件并签署意见，以保证其与总体设计协调一致，并满足工程要求。</w:t>
      </w:r>
    </w:p>
    <w:p w14:paraId="76F4A36F">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6.11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承包人义务及违约责任</w:t>
      </w:r>
    </w:p>
    <w:p w14:paraId="2C3A3EBA">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（9）承包人驻</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仁化县</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（11）承包人要按照批准的设计任务书，按照批准的总概算控制施工图设计，即限额设计。承包人要无条件对设计文件出现的遗漏或错误负责修改或补充，直到满足要求。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 xml:space="preserve"> （12）发包人及咨询</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位、上级</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主</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管部门对设计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（13）中标通知书发出后三天内，中标单位法定代表人及主要负责人、项目经理、设计负责人应积极主动与发包人接洽工作，迅速有效推动工程前期工作顺利开展，逾期未履行，作违约处理。</w:t>
      </w:r>
    </w:p>
    <w:p w14:paraId="1AA5A9B9">
      <w:pPr>
        <w:adjustRightInd w:val="0"/>
        <w:snapToGrid w:val="0"/>
        <w:spacing w:line="360" w:lineRule="auto"/>
        <w:ind w:firstLine="120" w:firstLineChars="5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6.11.2 </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承包人违约的处理</w:t>
      </w:r>
    </w:p>
    <w:p w14:paraId="4D58CA9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（1）承包人发生合同约定的违约情况时，无论发包人是否解除合同，发包人均有权按相关规定</w:t>
      </w:r>
      <w:r>
        <w:rPr>
          <w:rFonts w:hint="eastAsia" w:asciiTheme="minorEastAsia" w:hAnsiTheme="minorEastAsia" w:eastAsiaTheme="minorEastAsia" w:cstheme="minorEastAsia"/>
          <w:color w:val="000000" w:themeColor="text1"/>
          <w:highlight w:val="none"/>
          <w14:textFill>
            <w14:solidFill>
              <w14:schemeClr w14:val="tx1"/>
            </w14:solidFill>
          </w14:textFill>
        </w:rPr>
        <w:t>扣除</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的违约行为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开出的任何违约金，除合同另有规定外，均从发包人应向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支付的</w:t>
      </w:r>
      <w:r>
        <w:rPr>
          <w:rFonts w:hint="eastAsia" w:asciiTheme="minorEastAsia" w:hAnsiTheme="minorEastAsia" w:eastAsiaTheme="minorEastAsia" w:cstheme="minorEastAsia"/>
          <w:color w:val="000000" w:themeColor="text1"/>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中直接扣除。除非合同另有规定，发包人向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开出的任何违约金将导致承包人最终的应得结算价款相应地减少。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的违约金由发包人掌握使用。</w:t>
      </w:r>
    </w:p>
    <w:p w14:paraId="0598E51B">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6.12</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履约信用评价按发包人履约信用评价管理规定执行，评价内容包含人员到位情况、服务配合程度、服务成果质量、项目后期服务及履约信用评价结果的运用等。</w:t>
      </w:r>
    </w:p>
    <w:p w14:paraId="478708A0">
      <w:pP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396" w:name="_Toc11306"/>
      <w:bookmarkStart w:id="397" w:name="_Toc18208"/>
      <w:bookmarkStart w:id="398" w:name="_Toc15865"/>
      <w:bookmarkStart w:id="399" w:name="_Toc16036"/>
      <w:bookmarkStart w:id="400" w:name="_Toc5081"/>
      <w:bookmarkStart w:id="401" w:name="_Toc10003"/>
      <w:bookmarkStart w:id="402" w:name="_Toc31905"/>
      <w:bookmarkStart w:id="403" w:name="_Toc2895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3DA6AA42">
      <w:pPr>
        <w:pStyle w:val="39"/>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404" w:name="_Toc11167"/>
      <w:bookmarkStart w:id="405" w:name="_Toc529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406" w:name="_Hlt69669171"/>
      <w:bookmarkEnd w:id="40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407" w:name="_Hlt87793839"/>
      <w:bookmarkEnd w:id="40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96"/>
      <w:bookmarkEnd w:id="397"/>
      <w:bookmarkEnd w:id="398"/>
      <w:bookmarkEnd w:id="399"/>
      <w:bookmarkEnd w:id="400"/>
      <w:bookmarkEnd w:id="401"/>
      <w:bookmarkEnd w:id="402"/>
      <w:bookmarkEnd w:id="403"/>
      <w:bookmarkEnd w:id="404"/>
      <w:bookmarkEnd w:id="405"/>
    </w:p>
    <w:p w14:paraId="5E0C751A">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40"/>
    <w:bookmarkEnd w:id="341"/>
    <w:bookmarkEnd w:id="342"/>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08"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408"/>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409" w:name="_Hlt66261069"/>
      <w:bookmarkEnd w:id="40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410" w:name="_Hlt66508904"/>
      <w:bookmarkEnd w:id="410"/>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8"/>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产生</w:t>
      </w: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定</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标候选人后，招标人应将</w:t>
      </w: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定</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8"/>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5"/>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A27A3">
      <w:pPr>
        <w:pStyle w:val="55"/>
        <w:widowControl/>
        <w:spacing w:line="360" w:lineRule="auto"/>
        <w:ind w:firstLine="48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w:t>
      </w:r>
      <w:bookmarkStart w:id="411" w:name="_Hlt69698776"/>
      <w:r>
        <w:rPr>
          <w:rFonts w:hint="eastAsia" w:asciiTheme="minorEastAsia" w:hAnsiTheme="minorEastAsia" w:eastAsiaTheme="minorEastAsia" w:cstheme="minorEastAsia"/>
          <w:bCs/>
          <w:color w:val="000000" w:themeColor="text1"/>
          <w:highlight w:val="none"/>
          <w14:textFill>
            <w14:solidFill>
              <w14:schemeClr w14:val="tx1"/>
            </w14:solidFill>
          </w14:textFill>
        </w:rPr>
        <w:t>工资保证金的缴存比例、存储形式、减免措施以及使用返还等所有相关事项，必须按照《广东省人力资源和 社会保障厅 广东省住房和城乡建设厅 广东省交通运输厅 广东 省水利厅关于建设工程领域农民工工资支付保证金管理办法》（粤人社规〔2019〕10 号）和《韶关市工程建设领域农民工工资保证金管理实施细则》（韶法审〔2023〕2 号）的具体规定执行。中标人必须按照上述办法和实施细则中关于施工单位（包括工程总包企业和专业分包企业）责任义务的具体规定执行，否则将按照上述办法和实施细则中有关规定接受处理。</w:t>
      </w:r>
    </w:p>
    <w:p w14:paraId="0ED1C48F">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7"/>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7"/>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8"/>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2"/>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仁化县</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8"/>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9"/>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412" w:name="_Toc29153"/>
      <w:bookmarkStart w:id="413" w:name="_Toc27728"/>
      <w:bookmarkStart w:id="414" w:name="_Toc20219"/>
      <w:bookmarkStart w:id="415" w:name="_Toc16593"/>
      <w:bookmarkStart w:id="416" w:name="_Toc28287"/>
      <w:bookmarkStart w:id="417" w:name="_Toc12315"/>
      <w:bookmarkStart w:id="418" w:name="_Toc24187"/>
      <w:bookmarkStart w:id="419" w:name="_Toc25756"/>
      <w:bookmarkStart w:id="420" w:name="_Toc18638"/>
      <w:bookmarkStart w:id="421" w:name="_Toc2142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422" w:name="_Hlt69669176"/>
      <w:bookmarkEnd w:id="42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423" w:name="_Hlt87793847"/>
      <w:bookmarkEnd w:id="42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412"/>
      <w:bookmarkEnd w:id="413"/>
      <w:bookmarkEnd w:id="414"/>
      <w:bookmarkEnd w:id="415"/>
      <w:bookmarkEnd w:id="416"/>
      <w:bookmarkEnd w:id="417"/>
      <w:bookmarkEnd w:id="418"/>
      <w:bookmarkEnd w:id="419"/>
      <w:bookmarkEnd w:id="420"/>
      <w:bookmarkEnd w:id="421"/>
    </w:p>
    <w:p w14:paraId="4A978215">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11"/>
    <w:p w14:paraId="19AA2CE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24" w:name="_Hlt66104911"/>
      <w:bookmarkEnd w:id="424"/>
      <w:bookmarkStart w:id="425" w:name="_Hlt66531751"/>
      <w:bookmarkEnd w:id="425"/>
      <w:bookmarkStart w:id="426" w:name="_Toc1109"/>
      <w:bookmarkStart w:id="427" w:name="_Toc18673"/>
      <w:bookmarkStart w:id="428" w:name="_Toc5733"/>
      <w:bookmarkStart w:id="429" w:name="_Toc21505"/>
      <w:bookmarkStart w:id="430" w:name="_Toc5747"/>
      <w:bookmarkStart w:id="431" w:name="_Toc28975"/>
      <w:bookmarkStart w:id="432" w:name="_Toc19932"/>
      <w:bookmarkStart w:id="433" w:name="_Toc16527"/>
      <w:bookmarkStart w:id="434" w:name="_Toc5994"/>
      <w:bookmarkStart w:id="435" w:name="_Toc3117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436" w:name="_Hlt69356768"/>
      <w:bookmarkEnd w:id="436"/>
      <w:bookmarkStart w:id="437"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426"/>
      <w:bookmarkEnd w:id="427"/>
      <w:bookmarkEnd w:id="428"/>
      <w:bookmarkEnd w:id="429"/>
      <w:bookmarkEnd w:id="430"/>
      <w:bookmarkEnd w:id="431"/>
      <w:bookmarkEnd w:id="432"/>
      <w:bookmarkEnd w:id="433"/>
      <w:bookmarkEnd w:id="434"/>
      <w:bookmarkEnd w:id="435"/>
      <w:bookmarkEnd w:id="437"/>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8"/>
        <w:keepNext w:val="0"/>
        <w:keepLines w:val="0"/>
        <w:pageBreakBefore w:val="0"/>
        <w:widowControl w:val="0"/>
        <w:kinsoku/>
        <w:wordWrap w:val="0"/>
        <w:overflowPunct/>
        <w:topLinePunct w:val="0"/>
        <w:autoSpaceDE/>
        <w:autoSpaceDN/>
        <w:bidi w:val="0"/>
        <w:adjustRightInd/>
        <w:snapToGrid w:val="0"/>
        <w:ind w:firstLine="573"/>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38" w:name="_Hlt87792499"/>
      <w:bookmarkEnd w:id="438"/>
      <w:bookmarkStart w:id="439" w:name="_Hlt87793359"/>
      <w:bookmarkEnd w:id="439"/>
      <w:bookmarkStart w:id="440" w:name="_Toc20998"/>
      <w:bookmarkStart w:id="441" w:name="_Toc29872"/>
      <w:bookmarkStart w:id="442" w:name="_Toc985"/>
      <w:bookmarkStart w:id="443" w:name="_Toc6058"/>
      <w:bookmarkStart w:id="444" w:name="_Toc23304"/>
      <w:bookmarkStart w:id="445" w:name="_Toc19536"/>
      <w:bookmarkStart w:id="446" w:name="_Toc10164"/>
      <w:bookmarkStart w:id="447" w:name="_Toc3284"/>
      <w:bookmarkStart w:id="448" w:name="_Toc3054"/>
      <w:bookmarkStart w:id="449" w:name="_Toc2244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440"/>
      <w:bookmarkEnd w:id="441"/>
      <w:bookmarkEnd w:id="442"/>
      <w:bookmarkEnd w:id="443"/>
      <w:bookmarkEnd w:id="444"/>
      <w:bookmarkEnd w:id="445"/>
      <w:bookmarkEnd w:id="446"/>
      <w:bookmarkEnd w:id="447"/>
      <w:bookmarkEnd w:id="448"/>
      <w:bookmarkEnd w:id="449"/>
    </w:p>
    <w:bookmarkEnd w:id="2"/>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50"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51" w:name="_Toc7456"/>
      <w:bookmarkStart w:id="452" w:name="_Toc1081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51"/>
      <w:bookmarkEnd w:id="452"/>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39"/>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53" w:name="_Toc25046"/>
      <w:bookmarkStart w:id="454" w:name="_Toc803"/>
      <w:bookmarkStart w:id="455" w:name="_Toc26916"/>
      <w:bookmarkStart w:id="456" w:name="_Toc4262"/>
      <w:bookmarkStart w:id="457" w:name="_Toc16873"/>
      <w:bookmarkStart w:id="458" w:name="_Toc17661"/>
      <w:bookmarkStart w:id="459" w:name="_Toc22105"/>
      <w:bookmarkStart w:id="460" w:name="_Toc19544"/>
      <w:bookmarkStart w:id="461" w:name="_Toc12936"/>
      <w:bookmarkStart w:id="462" w:name="_Toc2923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招标工程的技术要求和前期文件</w:t>
      </w:r>
      <w:bookmarkEnd w:id="450"/>
      <w:bookmarkEnd w:id="453"/>
      <w:bookmarkEnd w:id="454"/>
      <w:bookmarkEnd w:id="455"/>
      <w:bookmarkEnd w:id="456"/>
      <w:bookmarkEnd w:id="457"/>
      <w:bookmarkEnd w:id="458"/>
      <w:bookmarkEnd w:id="459"/>
      <w:bookmarkEnd w:id="460"/>
      <w:bookmarkEnd w:id="461"/>
      <w:bookmarkEnd w:id="462"/>
    </w:p>
    <w:p w14:paraId="1EE2FAAA">
      <w:pPr>
        <w:spacing w:line="360" w:lineRule="auto"/>
        <w:ind w:firstLine="241" w:firstLineChars="100"/>
        <w:outlineLvl w:val="9"/>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63" w:name="_Hlt69357851"/>
      <w:bookmarkEnd w:id="463"/>
      <w:bookmarkStart w:id="464" w:name="_Hlt68774758"/>
      <w:bookmarkEnd w:id="464"/>
      <w:bookmarkStart w:id="465" w:name="_Hlt69265216"/>
      <w:bookmarkEnd w:id="465"/>
      <w:bookmarkStart w:id="466" w:name="_Hlt69358207"/>
      <w:bookmarkEnd w:id="466"/>
      <w:bookmarkStart w:id="467" w:name="_Hlt69116854"/>
      <w:bookmarkEnd w:id="467"/>
      <w:bookmarkStart w:id="468" w:name="_Hlt75685840"/>
      <w:bookmarkEnd w:id="468"/>
      <w:bookmarkStart w:id="469" w:name="_Hlt80411122"/>
      <w:bookmarkEnd w:id="469"/>
      <w:bookmarkStart w:id="470" w:name="_Hlt87793346"/>
      <w:bookmarkEnd w:id="470"/>
      <w:bookmarkStart w:id="471" w:name="_Hlt87793370"/>
      <w:bookmarkEnd w:id="471"/>
      <w:bookmarkStart w:id="472" w:name="_Hlt66104926"/>
      <w:bookmarkEnd w:id="472"/>
      <w:bookmarkStart w:id="473" w:name="_Hlt69359335"/>
      <w:bookmarkEnd w:id="473"/>
      <w:bookmarkStart w:id="474" w:name="_Toc7837"/>
      <w:bookmarkStart w:id="475" w:name="_Toc31511"/>
      <w:bookmarkStart w:id="476" w:name="_Toc1436"/>
      <w:bookmarkStart w:id="477" w:name="_Toc466640611"/>
      <w:bookmarkStart w:id="478" w:name="_Toc8935"/>
      <w:bookmarkStart w:id="479" w:name="_Toc5215"/>
      <w:bookmarkStart w:id="480" w:name="_Toc1173"/>
      <w:bookmarkStart w:id="481" w:name="_Toc25463"/>
      <w:bookmarkStart w:id="482" w:name="_Toc21545"/>
    </w:p>
    <w:bookmarkEnd w:id="474"/>
    <w:bookmarkEnd w:id="475"/>
    <w:bookmarkEnd w:id="476"/>
    <w:bookmarkEnd w:id="477"/>
    <w:bookmarkEnd w:id="478"/>
    <w:bookmarkEnd w:id="479"/>
    <w:bookmarkEnd w:id="480"/>
    <w:bookmarkEnd w:id="481"/>
    <w:bookmarkEnd w:id="482"/>
    <w:p w14:paraId="5F8AE2EF">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83" w:name="_Toc13218"/>
      <w:bookmarkStart w:id="484" w:name="_Toc24768"/>
      <w:bookmarkStart w:id="485" w:name="_Toc30934"/>
      <w:bookmarkStart w:id="486" w:name="_Toc32359"/>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1．工程勘察标准规范</w:t>
      </w:r>
      <w:bookmarkEnd w:id="483"/>
      <w:bookmarkEnd w:id="484"/>
      <w:bookmarkEnd w:id="485"/>
      <w:bookmarkEnd w:id="486"/>
    </w:p>
    <w:p w14:paraId="2F4AE765">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本项目勘察、测量文件必须符合现行国家、行业和地方的一切法规、规范和标准关于工程勘察、测量的要求，包括但不限于： </w:t>
      </w:r>
    </w:p>
    <w:p w14:paraId="44AEC4BC">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《工程测量规范 》(GB 50026-2007)；</w:t>
      </w:r>
    </w:p>
    <w:p w14:paraId="20E67C5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《全球定位系统（GPS）测量规范》（GB/T18314-2001）；</w:t>
      </w:r>
    </w:p>
    <w:p w14:paraId="04DC318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《1:500、1:1000、1:2000地形图图式》（GB/T20257.1-2007）；</w:t>
      </w:r>
    </w:p>
    <w:p w14:paraId="2048493F">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《岩土工程勘察规范》（GB50021-2001，2009版）；</w:t>
      </w:r>
    </w:p>
    <w:p w14:paraId="0F6B680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《建筑地基基础设计规范》（GB50007-2011）； </w:t>
      </w:r>
    </w:p>
    <w:p w14:paraId="0A27A2E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《建筑地基基础设计规范》（DBJ15-31-2016）；</w:t>
      </w:r>
    </w:p>
    <w:p w14:paraId="23D2C6C0">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《中国地震动参数区划图》（GB18306-2015）；</w:t>
      </w:r>
    </w:p>
    <w:p w14:paraId="762062D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《建筑工程地质勘探与取样技术规程》(JGJ/T87-2012)；</w:t>
      </w:r>
    </w:p>
    <w:p w14:paraId="750810EB">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《土工试验方法标准》（GB/T50123-2019）；</w:t>
      </w:r>
    </w:p>
    <w:p w14:paraId="05CD164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《工程岩体分级标准》（GB/T50218-2014）；</w:t>
      </w:r>
    </w:p>
    <w:p w14:paraId="7AE6325C">
      <w:pPr>
        <w:shd w:val="clear" w:color="auto" w:fill="auto"/>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备注：若有相关主管部门颁发新的标准规范则按新的标准规范执行。</w:t>
      </w:r>
    </w:p>
    <w:p w14:paraId="72BE354E">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87" w:name="_Toc4951"/>
      <w:bookmarkStart w:id="488" w:name="_Toc10113"/>
      <w:bookmarkStart w:id="489" w:name="_Toc16309"/>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2．工程设计标准规范</w:t>
      </w:r>
      <w:bookmarkEnd w:id="487"/>
      <w:bookmarkEnd w:id="488"/>
      <w:bookmarkEnd w:id="489"/>
    </w:p>
    <w:p w14:paraId="169B9AED">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《城市居住区规划设计规范》GB50180-2018）</w:t>
      </w:r>
      <w:r>
        <w:rPr>
          <w:rFonts w:hint="eastAsia" w:ascii="宋体" w:hAnsi="宋体" w:eastAsia="宋体" w:cs="宋体"/>
          <w:color w:val="000000" w:themeColor="text1"/>
          <w:sz w:val="24"/>
          <w:szCs w:val="24"/>
          <w:highlight w:val="none"/>
          <w14:textFill>
            <w14:solidFill>
              <w14:schemeClr w14:val="tx1"/>
            </w14:solidFill>
          </w14:textFill>
        </w:rPr>
        <w:t>；</w:t>
      </w:r>
    </w:p>
    <w:p w14:paraId="4B12B10A">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《城市道路工程设计规》（CJJ37-2012）；</w:t>
      </w:r>
    </w:p>
    <w:p w14:paraId="20F1C05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《城市道路路线设计规范》（CJJ 193-2012）；</w:t>
      </w:r>
    </w:p>
    <w:p w14:paraId="5B45031C">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《城市道路路基设计规范》（CJJ194-2013）；</w:t>
      </w:r>
    </w:p>
    <w:p w14:paraId="18809B13">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《城镇道路路面设计规范》（CJJ169-2012）；</w:t>
      </w:r>
    </w:p>
    <w:p w14:paraId="5C1D06B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《城市道路交通规划与设计规范》（GB0220-95）；</w:t>
      </w:r>
    </w:p>
    <w:p w14:paraId="1C9B8A0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《无障碍设计规范》（GB 50763-2012）；</w:t>
      </w:r>
    </w:p>
    <w:p w14:paraId="79F91A6B">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《城镇道路工程施工与质量验收规范》（CJJ 1-2008)；</w:t>
      </w:r>
    </w:p>
    <w:p w14:paraId="1A0D7B58">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《混凝土结构设计规范》（GB50010-2010）；</w:t>
      </w:r>
    </w:p>
    <w:p w14:paraId="17AB41F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490" w:name="_Hlt69359243"/>
      <w:bookmarkEnd w:id="490"/>
      <w:bookmarkStart w:id="491" w:name="_Hlt69358458"/>
      <w:bookmarkEnd w:id="491"/>
      <w:bookmarkStart w:id="492" w:name="_Hlt78709799"/>
      <w:bookmarkEnd w:id="492"/>
      <w:bookmarkStart w:id="493" w:name="_Hlt69359086"/>
      <w:bookmarkEnd w:id="493"/>
      <w:bookmarkStart w:id="494" w:name="_Hlt69116858"/>
      <w:bookmarkEnd w:id="494"/>
      <w:bookmarkStart w:id="495" w:name="_Hlt69359245"/>
      <w:bookmarkEnd w:id="495"/>
      <w:bookmarkStart w:id="496" w:name="_Hlt69635252"/>
      <w:bookmarkEnd w:id="496"/>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《城市防洪工程设计规范》（GB/T 50805-2012）； </w:t>
      </w:r>
    </w:p>
    <w:p w14:paraId="024A8E82">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）《地表水环境质量标准》（GB3838-2022）； </w:t>
      </w:r>
    </w:p>
    <w:p w14:paraId="3453853B">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）《室外排水设计标准）》（GB50014-2021）； </w:t>
      </w:r>
    </w:p>
    <w:p w14:paraId="23D7002C">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）《给水排水工程结构设计规范》（GB 500069－2002）； </w:t>
      </w:r>
    </w:p>
    <w:p w14:paraId="183ED83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）《居住小区给水排水设计规范》（CECS57：94）； </w:t>
      </w:r>
    </w:p>
    <w:p w14:paraId="62A6191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）《建筑给水排水设计规范》（GB50015-2003）2009 年版； </w:t>
      </w:r>
    </w:p>
    <w:p w14:paraId="1BD852BE">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）《建筑给水排水及采暖工程施工质量验收规范》 （GB50242-2002）； </w:t>
      </w:r>
    </w:p>
    <w:p w14:paraId="1762364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）建筑设计防火规范（GB 55037-2022）；</w:t>
      </w:r>
    </w:p>
    <w:p w14:paraId="4E88973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（18）《城市道路、广场绿化规划与设计规范》；</w:t>
      </w:r>
    </w:p>
    <w:p w14:paraId="70A2342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（19）《美丽乡村绿化美化技术规程》（DB11/T 1778-2020）； </w:t>
      </w:r>
    </w:p>
    <w:p w14:paraId="3BAFE90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（20）《园林绿化工程施工及验收规范》（CJJ 82-2012）； </w:t>
      </w:r>
    </w:p>
    <w:p w14:paraId="6C967C6D">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（21）《城市道路绿化规划与设计规范》（CJJ75-97）； </w:t>
      </w:r>
    </w:p>
    <w:p w14:paraId="1A133B0B">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（22）《城市道路照明设计标准》（CJJ45-2006）； </w:t>
      </w:r>
    </w:p>
    <w:p w14:paraId="5DF8792E">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（23）《城市道路照明工程施工及验收规程》（CJJ89-2012）； </w:t>
      </w:r>
    </w:p>
    <w:p w14:paraId="6FB2055E">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（24）《电力工程电力设计规范》（GB50217-2007）； </w:t>
      </w:r>
    </w:p>
    <w:p w14:paraId="0524E6F6">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（25）《砌体结构设计规范》（GB50003-2011）。</w:t>
      </w:r>
    </w:p>
    <w:p w14:paraId="6ED2505B">
      <w:pPr>
        <w:shd w:val="clear" w:color="auto" w:fill="auto"/>
        <w:wordWrap w:val="0"/>
        <w:adjustRightInd w:val="0"/>
        <w:snapToGrid w:val="0"/>
        <w:spacing w:line="360" w:lineRule="auto"/>
        <w:ind w:right="-223" w:rightChars="-93" w:firstLine="723"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备注：若有相关主管部门颁发新的标准规范则按新的标准规范执行。</w:t>
      </w:r>
    </w:p>
    <w:p w14:paraId="4EF930EA">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97" w:name="_Toc21927"/>
      <w:bookmarkStart w:id="498" w:name="_Toc30959"/>
      <w:r>
        <w:rPr>
          <w:rFonts w:hint="eastAsia" w:hAnsi="宋体" w:eastAsia="宋体" w:cs="宋体"/>
          <w:b/>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市政基础设施工程建设项目</w:t>
      </w:r>
      <w:bookmarkEnd w:id="497"/>
      <w:bookmarkEnd w:id="498"/>
    </w:p>
    <w:p w14:paraId="18BD05C2">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市政基础设施工程建设项目必须执行的现行技术规范，包括且不限于：</w:t>
      </w:r>
    </w:p>
    <w:p w14:paraId="234C785E">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（1）《公路路基施工技术规范》；</w:t>
      </w:r>
    </w:p>
    <w:p w14:paraId="30F88FF6">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（2）《市政道路工程质量检验评定标准》；</w:t>
      </w:r>
    </w:p>
    <w:p w14:paraId="4A89A02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（3）《市政排水管渠工程质量检验评定标准》；</w:t>
      </w:r>
    </w:p>
    <w:p w14:paraId="338549E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（4）《给水排水管道工程施工及验收规范》；</w:t>
      </w:r>
    </w:p>
    <w:p w14:paraId="4F67363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（5）《城市道路路基工程施工及验收规范》；</w:t>
      </w:r>
    </w:p>
    <w:p w14:paraId="0DD9BE8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（6）《水泥砼路面施工及验收规范》；</w:t>
      </w:r>
    </w:p>
    <w:p w14:paraId="7532579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（7）《公路水泥砼路面施工技术规范》；</w:t>
      </w:r>
    </w:p>
    <w:p w14:paraId="63286217">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（8）《埋地硬聚氯乙烯排水管道工程技术规程》；</w:t>
      </w:r>
    </w:p>
    <w:p w14:paraId="492CBA1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（9）《沥青路面施工及验收规范》；</w:t>
      </w:r>
    </w:p>
    <w:p w14:paraId="6A0A163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（10）《广东省市政工程施工质量技术资料统一用表》。</w:t>
      </w:r>
    </w:p>
    <w:p w14:paraId="4A7AE3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（11）《建筑与市政工程无障碍通用规范》GB 55019-2021；</w:t>
      </w:r>
    </w:p>
    <w:p w14:paraId="76AF36D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（12）《建筑防火通用规范》GB 55037-2022；</w:t>
      </w:r>
    </w:p>
    <w:p w14:paraId="1728B4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（13）《建筑与市政工程抗震通用规范》GB55002-2001；</w:t>
      </w:r>
    </w:p>
    <w:p w14:paraId="140FDC2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（14）《建筑与市政地基基础通用规范》GB55003-2001；</w:t>
      </w:r>
    </w:p>
    <w:p w14:paraId="21EAD21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（15）《城市道路照明设计标准》（CJJ45-2015）；</w:t>
      </w:r>
    </w:p>
    <w:p w14:paraId="675D025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（16）《低压配电设计规范》（GB50054-2011）；</w:t>
      </w:r>
    </w:p>
    <w:p w14:paraId="439A2E6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（17）《城市道路照明工程施工及验收规程》（CJJ89-2012）；</w:t>
      </w:r>
    </w:p>
    <w:p w14:paraId="5C92E74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（18）《LED 道路照明工程技术规范》（DB44/T1898-2016）；</w:t>
      </w:r>
    </w:p>
    <w:p w14:paraId="508CDB4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（19）《灯具第1部分：一般要求与试验》（GB7000.1-2015）；</w:t>
      </w:r>
    </w:p>
    <w:p w14:paraId="79CDEAA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（20）《电缆工程电缆设计标准》（GB50217-2018）；</w:t>
      </w:r>
    </w:p>
    <w:p w14:paraId="0C93975C">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（21）其他现行国家、广东省关于市政工程的技术及验收规范、定额、规程、标准</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4BBEA51D">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99" w:name="_Toc27860"/>
      <w:bookmarkStart w:id="500" w:name="_Toc10672"/>
      <w:r>
        <w:rPr>
          <w:rFonts w:hint="eastAsia" w:ascii="宋体" w:hAnsi="宋体" w:cs="宋体"/>
          <w:snapToGrid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备查要求</w:t>
      </w:r>
      <w:bookmarkEnd w:id="499"/>
      <w:bookmarkEnd w:id="500"/>
    </w:p>
    <w:p w14:paraId="744D3CDD">
      <w:pPr>
        <w:wordWrap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人必须在施工现场准备至少一套上述规范，</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人和监理单位可随时检查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人的上述规范，并监督</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人按规范要求执行。</w:t>
      </w:r>
      <w:bookmarkStart w:id="501" w:name="_Hlt69670335"/>
      <w:bookmarkEnd w:id="501"/>
    </w:p>
    <w:p w14:paraId="3D076E68">
      <w:pP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pPr>
      <w:bookmarkStart w:id="502" w:name="_Toc25541"/>
      <w:bookmarkStart w:id="503" w:name="_Hlt69698785"/>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br w:type="page"/>
      </w:r>
    </w:p>
    <w:p w14:paraId="0BAE96FA">
      <w:pPr>
        <w:pStyle w:val="39"/>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504" w:name="_Toc4655"/>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505" w:name="_Hlt75747044"/>
      <w:bookmarkEnd w:id="50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502"/>
      <w:bookmarkEnd w:id="504"/>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503"/>
    <w:p w14:paraId="695B4F72">
      <w:pPr>
        <w:pStyle w:val="4"/>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506" w:name="_附件一：对招标文件条款自愿接受承诺书"/>
      <w:bookmarkEnd w:id="506"/>
      <w:bookmarkStart w:id="507" w:name="_附件四：工期承诺书"/>
      <w:bookmarkEnd w:id="507"/>
      <w:bookmarkStart w:id="508" w:name="_附件一：投标函"/>
      <w:bookmarkEnd w:id="508"/>
      <w:bookmarkStart w:id="509" w:name="_附件二：工期承诺书"/>
      <w:bookmarkEnd w:id="509"/>
      <w:bookmarkStart w:id="510" w:name="_附件五：综合评审合理低价法"/>
      <w:bookmarkEnd w:id="510"/>
      <w:bookmarkStart w:id="511" w:name="_附件二：近三年度主要施工项目（竣工及在建）一览表"/>
      <w:bookmarkEnd w:id="511"/>
      <w:bookmarkStart w:id="512" w:name="_Toc3855"/>
      <w:bookmarkStart w:id="513" w:name="_Toc16296"/>
      <w:bookmarkStart w:id="514" w:name="_Toc39136360"/>
      <w:bookmarkStart w:id="515" w:name="_Toc12527"/>
      <w:bookmarkStart w:id="516" w:name="_Toc12406"/>
      <w:bookmarkStart w:id="517" w:name="_Toc2902"/>
      <w:bookmarkStart w:id="518" w:name="_Toc15784"/>
      <w:bookmarkStart w:id="519" w:name="_Toc133160683"/>
      <w:bookmarkStart w:id="520" w:name="_Toc137444778"/>
      <w:bookmarkStart w:id="521" w:name="_Toc142468134"/>
      <w:bookmarkStart w:id="522" w:name="_Toc132687128"/>
      <w:bookmarkStart w:id="523" w:name="_Toc78794873"/>
      <w:bookmarkStart w:id="524" w:name="_Toc13381590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512"/>
      <w:bookmarkEnd w:id="513"/>
      <w:bookmarkEnd w:id="514"/>
      <w:bookmarkEnd w:id="515"/>
      <w:bookmarkEnd w:id="516"/>
      <w:bookmarkEnd w:id="517"/>
      <w:bookmarkEnd w:id="518"/>
    </w:p>
    <w:p w14:paraId="38EBFF1A">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8"/>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525" w:name="_附件二十四：技术标提问单"/>
      <w:bookmarkEnd w:id="525"/>
      <w:bookmarkStart w:id="526" w:name="_Hlt68774664"/>
      <w:bookmarkEnd w:id="526"/>
      <w:bookmarkStart w:id="527" w:name="_Hlt69116778"/>
      <w:bookmarkEnd w:id="527"/>
      <w:bookmarkStart w:id="528" w:name="_附件十：单项工程费汇总表"/>
      <w:bookmarkEnd w:id="528"/>
      <w:bookmarkStart w:id="529" w:name="_附件二十五：综合评审合理低价法"/>
      <w:bookmarkEnd w:id="529"/>
      <w:bookmarkStart w:id="530" w:name="_Toc15791"/>
      <w:bookmarkStart w:id="531" w:name="_Toc39136361"/>
      <w:bookmarkStart w:id="532" w:name="_Toc26795"/>
      <w:bookmarkStart w:id="533" w:name="_Toc28483"/>
      <w:bookmarkStart w:id="534" w:name="_Toc5872"/>
      <w:bookmarkStart w:id="535" w:name="_Hlt66847557"/>
      <w:bookmarkStart w:id="536" w:name="_Toc466640620"/>
      <w:bookmarkStart w:id="537" w:name="_Toc66849200"/>
      <w:bookmarkStart w:id="538" w:name="_Toc104711098"/>
      <w:bookmarkStart w:id="539" w:name="_Toc106418843"/>
    </w:p>
    <w:p w14:paraId="40A2918D">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（项目名称）</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r>
        <w:rPr>
          <w:rFonts w:hint="eastAsia" w:ascii="宋体" w:hAnsi="宋体" w:eastAsia="宋体" w:cs="宋体"/>
          <w:b/>
          <w:bCs/>
          <w:color w:val="000000" w:themeColor="text1"/>
          <w:spacing w:val="0"/>
          <w:sz w:val="47"/>
          <w:szCs w:val="47"/>
          <w:highlight w:val="none"/>
          <w14:textFill>
            <w14:solidFill>
              <w14:schemeClr w14:val="tx1"/>
            </w14:solidFill>
          </w14:textFill>
        </w:rPr>
        <w:t>（</w:t>
      </w:r>
      <w:r>
        <w:rPr>
          <w:rFonts w:hint="eastAsia" w:ascii="宋体" w:hAnsi="宋体" w:eastAsia="宋体" w:cs="宋体"/>
          <w:b/>
          <w:bCs/>
          <w:color w:val="000000" w:themeColor="text1"/>
          <w:spacing w:val="0"/>
          <w:sz w:val="47"/>
          <w:szCs w:val="47"/>
          <w:highlight w:val="none"/>
          <w:lang w:eastAsia="zh-CN"/>
          <w14:textFill>
            <w14:solidFill>
              <w14:schemeClr w14:val="tx1"/>
            </w14:solidFill>
          </w14:textFill>
        </w:rPr>
        <w:t>投标标书</w:t>
      </w:r>
      <w:r>
        <w:rPr>
          <w:rFonts w:hint="eastAsia" w:ascii="宋体" w:hAnsi="宋体" w:eastAsia="宋体" w:cs="宋体"/>
          <w:b/>
          <w:bCs/>
          <w:color w:val="000000" w:themeColor="text1"/>
          <w:spacing w:val="0"/>
          <w:sz w:val="47"/>
          <w:szCs w:val="47"/>
          <w:highlight w:val="none"/>
          <w14:textFill>
            <w14:solidFill>
              <w14:schemeClr w14:val="tx1"/>
            </w14:solidFill>
          </w14:textFill>
        </w:rPr>
        <w:t>／</w:t>
      </w:r>
      <w:r>
        <w:rPr>
          <w:rFonts w:hint="eastAsia" w:ascii="宋体" w:hAnsi="宋体" w:eastAsia="宋体" w:cs="宋体"/>
          <w:b/>
          <w:bCs/>
          <w:color w:val="000000" w:themeColor="text1"/>
          <w:spacing w:val="0"/>
          <w:sz w:val="47"/>
          <w:szCs w:val="47"/>
          <w:highlight w:val="none"/>
          <w:lang w:val="en-US" w:eastAsia="zh-CN"/>
          <w14:textFill>
            <w14:solidFill>
              <w14:schemeClr w14:val="tx1"/>
            </w14:solidFill>
          </w14:textFill>
        </w:rPr>
        <w:t>定标文件</w:t>
      </w:r>
      <w:r>
        <w:rPr>
          <w:rFonts w:hint="eastAsia" w:ascii="宋体" w:hAnsi="宋体" w:eastAsia="宋体" w:cs="宋体"/>
          <w:b/>
          <w:bCs/>
          <w:color w:val="000000" w:themeColor="text1"/>
          <w:spacing w:val="0"/>
          <w:sz w:val="47"/>
          <w:szCs w:val="47"/>
          <w:highlight w:val="none"/>
          <w14:textFill>
            <w14:solidFill>
              <w14:schemeClr w14:val="tx1"/>
            </w14:solidFill>
          </w14:textFill>
        </w:rPr>
        <w:t>）</w:t>
      </w:r>
    </w:p>
    <w:p w14:paraId="25DD541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8"/>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7DF039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0778DF5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5DA514C6">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0" w:name="_Toc1038"/>
      <w:bookmarkStart w:id="541" w:name="_Toc410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530"/>
      <w:bookmarkEnd w:id="531"/>
      <w:bookmarkEnd w:id="53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533"/>
      <w:bookmarkEnd w:id="534"/>
      <w:bookmarkEnd w:id="540"/>
      <w:bookmarkEnd w:id="541"/>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542" w:name="_Toc27121"/>
      <w:bookmarkStart w:id="543" w:name="_Toc9280"/>
      <w:bookmarkStart w:id="544" w:name="_Toc18294"/>
      <w:bookmarkStart w:id="545" w:name="_Toc21577"/>
      <w:bookmarkStart w:id="546" w:name="_Toc8657"/>
      <w:bookmarkStart w:id="547" w:name="_Toc28636"/>
      <w:bookmarkStart w:id="548" w:name="_Toc39136362"/>
      <w:bookmarkStart w:id="549" w:name="_Toc10604"/>
      <w:bookmarkStart w:id="550" w:name="_Toc29375"/>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542"/>
      <w:bookmarkEnd w:id="543"/>
      <w:bookmarkEnd w:id="544"/>
      <w:bookmarkEnd w:id="545"/>
      <w:bookmarkEnd w:id="546"/>
      <w:bookmarkEnd w:id="547"/>
      <w:bookmarkEnd w:id="548"/>
      <w:bookmarkEnd w:id="549"/>
      <w:bookmarkEnd w:id="550"/>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究        （项目名称）</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设计、施工，本工程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设计、施工工期为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设计工期为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51" w:name="_Toc20338"/>
      <w:bookmarkStart w:id="552" w:name="_Toc25829"/>
      <w:bookmarkStart w:id="553" w:name="_Toc5052"/>
      <w:bookmarkStart w:id="554" w:name="_Toc25629"/>
      <w:bookmarkStart w:id="555" w:name="_Toc453"/>
      <w:bookmarkStart w:id="556" w:name="_Toc7915"/>
      <w:bookmarkStart w:id="557" w:name="_Toc39136364"/>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51"/>
      <w:bookmarkEnd w:id="552"/>
      <w:bookmarkEnd w:id="553"/>
      <w:bookmarkEnd w:id="554"/>
      <w:bookmarkEnd w:id="555"/>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79"/>
        <w:gridCol w:w="1770"/>
        <w:gridCol w:w="1808"/>
        <w:gridCol w:w="1347"/>
        <w:gridCol w:w="2636"/>
      </w:tblGrid>
      <w:tr w14:paraId="02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5FC755F5">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179" w:type="dxa"/>
            <w:noWrap w:val="0"/>
            <w:vAlign w:val="center"/>
          </w:tcPr>
          <w:p w14:paraId="4C3B906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770" w:type="dxa"/>
            <w:noWrap w:val="0"/>
            <w:vAlign w:val="center"/>
          </w:tcPr>
          <w:p w14:paraId="6CEC3C4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808" w:type="dxa"/>
            <w:noWrap w:val="0"/>
            <w:vAlign w:val="center"/>
          </w:tcPr>
          <w:p w14:paraId="0612A26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2FAEA2E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5627565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1B7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5C2073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179" w:type="dxa"/>
            <w:noWrap w:val="0"/>
            <w:vAlign w:val="center"/>
          </w:tcPr>
          <w:p w14:paraId="75D884AC">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勘察费（含测绘费）</w:t>
            </w:r>
          </w:p>
        </w:tc>
        <w:tc>
          <w:tcPr>
            <w:tcW w:w="1770" w:type="dxa"/>
            <w:noWrap w:val="0"/>
            <w:vAlign w:val="center"/>
          </w:tcPr>
          <w:p w14:paraId="150FCA0B">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288000.00</w:t>
            </w:r>
          </w:p>
        </w:tc>
        <w:tc>
          <w:tcPr>
            <w:tcW w:w="1808" w:type="dxa"/>
            <w:noWrap w:val="0"/>
            <w:vAlign w:val="center"/>
          </w:tcPr>
          <w:p w14:paraId="26B18F9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44EAF96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5A6F1AE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投标人在勘察费（含测绘费）的最高投标限价范围内进行自主报价，结算时勘察费、测绘费按实结算。</w:t>
            </w:r>
          </w:p>
        </w:tc>
      </w:tr>
      <w:tr w14:paraId="1DF2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38AEBF4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179" w:type="dxa"/>
            <w:noWrap w:val="0"/>
            <w:vAlign w:val="center"/>
          </w:tcPr>
          <w:p w14:paraId="2AF06E29">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含施工图审查费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770" w:type="dxa"/>
            <w:noWrap w:val="0"/>
            <w:vAlign w:val="center"/>
          </w:tcPr>
          <w:p w14:paraId="34C8C0A2">
            <w:pPr>
              <w:widowControl/>
              <w:jc w:val="cente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18001864.29</w:t>
            </w:r>
          </w:p>
        </w:tc>
        <w:tc>
          <w:tcPr>
            <w:tcW w:w="1808" w:type="dxa"/>
            <w:noWrap w:val="0"/>
            <w:vAlign w:val="center"/>
          </w:tcPr>
          <w:p w14:paraId="72497075">
            <w:pPr>
              <w:widowControl/>
              <w:jc w:val="cente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379DB345">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11E854D">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2451ABEA">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179" w:type="dxa"/>
            <w:noWrap w:val="0"/>
            <w:vAlign w:val="center"/>
          </w:tcPr>
          <w:p w14:paraId="2E8F975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770" w:type="dxa"/>
            <w:noWrap w:val="0"/>
            <w:vAlign w:val="center"/>
          </w:tcPr>
          <w:p w14:paraId="240F0C5D">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18001864.29</w:t>
            </w:r>
          </w:p>
        </w:tc>
        <w:tc>
          <w:tcPr>
            <w:tcW w:w="1808" w:type="dxa"/>
            <w:noWrap w:val="0"/>
            <w:vAlign w:val="center"/>
          </w:tcPr>
          <w:p w14:paraId="5267856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408585C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0334E49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5A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35" w:type="dxa"/>
            <w:gridSpan w:val="2"/>
            <w:noWrap w:val="0"/>
            <w:vAlign w:val="center"/>
          </w:tcPr>
          <w:p w14:paraId="0BCDF1F8">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1+2+3</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770" w:type="dxa"/>
            <w:noWrap w:val="0"/>
            <w:vAlign w:val="center"/>
          </w:tcPr>
          <w:p w14:paraId="39AA715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808" w:type="dxa"/>
            <w:noWrap w:val="0"/>
            <w:vAlign w:val="center"/>
          </w:tcPr>
          <w:p w14:paraId="1AE70A4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5E6536F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037B4BF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6F70853B">
      <w:pPr>
        <w:pStyle w:val="32"/>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1"/>
          <w:szCs w:val="22"/>
          <w:highlight w:val="none"/>
          <w14:textFill>
            <w14:solidFill>
              <w14:schemeClr w14:val="tx1"/>
            </w14:solidFill>
          </w14:textFill>
        </w:rPr>
        <w:t>注：投标报价、</w:t>
      </w:r>
      <w:r>
        <w:rPr>
          <w:rFonts w:hint="eastAsia" w:ascii="宋体" w:hAnsi="宋体" w:eastAsia="宋体" w:cs="宋体"/>
          <w:b/>
          <w:bCs/>
          <w:color w:val="000000" w:themeColor="text1"/>
          <w:sz w:val="21"/>
          <w:szCs w:val="22"/>
          <w:highlight w:val="none"/>
          <w:lang w:eastAsia="zh-CN"/>
          <w14:textFill>
            <w14:solidFill>
              <w14:schemeClr w14:val="tx1"/>
            </w14:solidFill>
          </w14:textFill>
        </w:rPr>
        <w:t>投标下浮</w:t>
      </w:r>
      <w:r>
        <w:rPr>
          <w:rFonts w:hint="eastAsia" w:ascii="宋体" w:hAnsi="宋体" w:eastAsia="宋体" w:cs="宋体"/>
          <w:b/>
          <w:bCs/>
          <w:color w:val="000000" w:themeColor="text1"/>
          <w:sz w:val="21"/>
          <w:szCs w:val="22"/>
          <w:highlight w:val="none"/>
          <w14:textFill>
            <w14:solidFill>
              <w14:schemeClr w14:val="tx1"/>
            </w14:solidFill>
          </w14:textFill>
        </w:rPr>
        <w:t>率均保留至小数点后两位</w:t>
      </w:r>
      <w:r>
        <w:rPr>
          <w:rFonts w:hint="eastAsia" w:ascii="宋体" w:hAnsi="宋体" w:eastAsia="宋体" w:cs="宋体"/>
          <w:b/>
          <w:bCs/>
          <w:color w:val="000000" w:themeColor="text1"/>
          <w:sz w:val="21"/>
          <w:szCs w:val="22"/>
          <w:highlight w:val="none"/>
          <w:lang w:eastAsia="zh-CN"/>
          <w14:textFill>
            <w14:solidFill>
              <w14:schemeClr w14:val="tx1"/>
            </w14:solidFill>
          </w14:textFill>
        </w:rPr>
        <w:t>，投标费率保留至小数点后三位。</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4CC1BE40">
      <w:pPr>
        <w:outlineLvl w:val="9"/>
        <w:rPr>
          <w:rFonts w:hint="eastAsia"/>
          <w:color w:val="000000" w:themeColor="text1"/>
          <w:highlight w:val="none"/>
          <w14:textFill>
            <w14:solidFill>
              <w14:schemeClr w14:val="tx1"/>
            </w14:solidFill>
          </w14:textFill>
        </w:rPr>
      </w:pPr>
    </w:p>
    <w:p w14:paraId="48FD6E31">
      <w:pPr>
        <w:rPr>
          <w:rFonts w:hint="eastAsia"/>
          <w:color w:val="000000" w:themeColor="text1"/>
          <w:highlight w:val="none"/>
          <w14:textFill>
            <w14:solidFill>
              <w14:schemeClr w14:val="tx1"/>
            </w14:solidFill>
          </w14:textFill>
        </w:rPr>
        <w:sectPr>
          <w:endnotePr>
            <w:numFmt w:val="decimal"/>
          </w:endnotePr>
          <w:pgSz w:w="11906" w:h="16838"/>
          <w:pgMar w:top="1701" w:right="535" w:bottom="1417" w:left="1531" w:header="850" w:footer="992" w:gutter="0"/>
          <w:pgNumType w:fmt="decimal"/>
          <w:cols w:space="720" w:num="1"/>
          <w:docGrid w:linePitch="327" w:charSpace="0"/>
        </w:sectPr>
      </w:pPr>
    </w:p>
    <w:p w14:paraId="769EA550">
      <w:pPr>
        <w:pStyle w:val="4"/>
        <w:spacing w:before="120"/>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58" w:name="_Toc20987"/>
      <w:bookmarkStart w:id="559" w:name="_Toc8220"/>
      <w:bookmarkStart w:id="560" w:name="_Toc28529"/>
      <w:bookmarkStart w:id="561" w:name="_Toc919"/>
      <w:bookmarkStart w:id="562" w:name="_Toc20362"/>
      <w:bookmarkStart w:id="563" w:name="_Toc21928"/>
      <w:bookmarkStart w:id="564" w:name="_Toc1017"/>
      <w:bookmarkStart w:id="565" w:name="_Toc32555"/>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56"/>
      <w:bookmarkEnd w:id="557"/>
      <w:bookmarkEnd w:id="558"/>
      <w:bookmarkEnd w:id="559"/>
      <w:bookmarkEnd w:id="560"/>
      <w:bookmarkEnd w:id="561"/>
      <w:bookmarkEnd w:id="562"/>
    </w:p>
    <w:bookmarkEnd w:id="563"/>
    <w:bookmarkEnd w:id="564"/>
    <w:bookmarkEnd w:id="565"/>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66" w:name="_Toc21521"/>
      <w:bookmarkStart w:id="567" w:name="_Toc39136365"/>
      <w:bookmarkStart w:id="568" w:name="_Toc30877"/>
      <w:bookmarkStart w:id="569" w:name="_Toc20729"/>
      <w:bookmarkStart w:id="570" w:name="_Toc18136"/>
      <w:bookmarkStart w:id="571" w:name="_Toc15279"/>
      <w:bookmarkStart w:id="572" w:name="_Toc31113"/>
      <w:bookmarkStart w:id="573" w:name="_Toc1643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66"/>
      <w:bookmarkEnd w:id="567"/>
      <w:bookmarkEnd w:id="568"/>
      <w:bookmarkEnd w:id="569"/>
    </w:p>
    <w:bookmarkEnd w:id="570"/>
    <w:bookmarkEnd w:id="571"/>
    <w:bookmarkEnd w:id="572"/>
    <w:bookmarkEnd w:id="573"/>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234" w:type="dxa"/>
            <w:noWrap w:val="0"/>
            <w:vAlign w:val="top"/>
          </w:tcPr>
          <w:p w14:paraId="31A8938A">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073" w:type="dxa"/>
            <w:noWrap w:val="0"/>
            <w:vAlign w:val="top"/>
          </w:tcPr>
          <w:p w14:paraId="0723CADE">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4" w:type="dxa"/>
            <w:noWrap w:val="0"/>
            <w:vAlign w:val="center"/>
          </w:tcPr>
          <w:p w14:paraId="7004AB1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073" w:type="dxa"/>
            <w:noWrap w:val="0"/>
            <w:vAlign w:val="center"/>
          </w:tcPr>
          <w:p w14:paraId="721EE92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34" w:type="dxa"/>
            <w:noWrap w:val="0"/>
            <w:vAlign w:val="center"/>
          </w:tcPr>
          <w:p w14:paraId="0BB5AD2B">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073" w:type="dxa"/>
            <w:noWrap w:val="0"/>
            <w:vAlign w:val="center"/>
          </w:tcPr>
          <w:p w14:paraId="3D971B2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34" w:type="dxa"/>
            <w:noWrap w:val="0"/>
            <w:vAlign w:val="center"/>
          </w:tcPr>
          <w:p w14:paraId="2C90CA06">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073" w:type="dxa"/>
            <w:noWrap w:val="0"/>
            <w:vAlign w:val="center"/>
          </w:tcPr>
          <w:p w14:paraId="671ABF6E">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34"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073" w:type="dxa"/>
            <w:noWrap w:val="0"/>
            <w:vAlign w:val="center"/>
          </w:tcPr>
          <w:p w14:paraId="7CB1DA74">
            <w:pPr>
              <w:pStyle w:val="62"/>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234" w:type="dxa"/>
            <w:noWrap w:val="0"/>
            <w:vAlign w:val="center"/>
          </w:tcPr>
          <w:p w14:paraId="1605709C">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073" w:type="dxa"/>
            <w:noWrap w:val="0"/>
            <w:vAlign w:val="center"/>
          </w:tcPr>
          <w:p w14:paraId="0BE6F71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eastAsia="zh-CN"/>
                <w14:textFill>
                  <w14:solidFill>
                    <w14:schemeClr w14:val="tx1"/>
                  </w14:solidFill>
                </w14:textFill>
              </w:rPr>
              <w:t>勘察</w:t>
            </w:r>
            <w:r>
              <w:rPr>
                <w:rFonts w:hint="eastAsia" w:ascii="宋体" w:hAnsi="宋体" w:eastAsia="宋体" w:cs="宋体"/>
                <w:color w:val="000000" w:themeColor="text1"/>
                <w:sz w:val="21"/>
                <w:szCs w:val="21"/>
                <w:highlight w:val="none"/>
                <w14:textFill>
                  <w14:solidFill>
                    <w14:schemeClr w14:val="tx1"/>
                  </w14:solidFill>
                </w14:textFill>
              </w:rPr>
              <w:t>设计工期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日历天；施工工期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完成工程勘察、设计、施工并通过竣工验收。</w:t>
            </w:r>
          </w:p>
        </w:tc>
        <w:tc>
          <w:tcPr>
            <w:tcW w:w="4796" w:type="dxa"/>
            <w:noWrap w:val="0"/>
            <w:vAlign w:val="center"/>
          </w:tcPr>
          <w:p w14:paraId="592D198A">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w:t>
            </w:r>
            <w:r>
              <w:rPr>
                <w:rFonts w:hint="eastAsia" w:ascii="宋体" w:hAnsi="宋体" w:eastAsia="宋体" w:cs="宋体"/>
                <w:color w:val="000000" w:themeColor="text1"/>
                <w:sz w:val="21"/>
                <w:szCs w:val="21"/>
                <w:highlight w:val="none"/>
                <w:lang w:eastAsia="zh-CN"/>
                <w14:textFill>
                  <w14:solidFill>
                    <w14:schemeClr w14:val="tx1"/>
                  </w14:solidFill>
                </w14:textFill>
              </w:rPr>
              <w:t>勘察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w:t>
            </w:r>
            <w:r>
              <w:rPr>
                <w:rFonts w:hint="eastAsia" w:ascii="宋体" w:hAnsi="宋体" w:eastAsia="宋体" w:cs="宋体"/>
                <w:color w:val="000000" w:themeColor="text1"/>
                <w:sz w:val="21"/>
                <w:szCs w:val="21"/>
                <w:highlight w:val="none"/>
                <w:lang w:eastAsia="zh-CN"/>
                <w14:textFill>
                  <w14:solidFill>
                    <w14:schemeClr w14:val="tx1"/>
                  </w14:solidFill>
                </w14:textFill>
              </w:rPr>
              <w:t>勘察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，勘察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逾期违约金的最高限额为合同勘察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234" w:type="dxa"/>
            <w:noWrap w:val="0"/>
            <w:vAlign w:val="center"/>
          </w:tcPr>
          <w:p w14:paraId="37CB0D8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073" w:type="dxa"/>
            <w:noWrap w:val="0"/>
            <w:vAlign w:val="center"/>
          </w:tcPr>
          <w:p w14:paraId="643DAC63">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234" w:type="dxa"/>
            <w:noWrap w:val="0"/>
            <w:vAlign w:val="center"/>
          </w:tcPr>
          <w:p w14:paraId="3291A7DA">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073" w:type="dxa"/>
            <w:noWrap w:val="0"/>
            <w:vAlign w:val="center"/>
          </w:tcPr>
          <w:p w14:paraId="5B684535">
            <w:pPr>
              <w:pStyle w:val="38"/>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4796" w:type="dxa"/>
            <w:noWrap w:val="0"/>
            <w:vAlign w:val="center"/>
          </w:tcPr>
          <w:p w14:paraId="5B11A466">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234" w:type="dxa"/>
            <w:noWrap w:val="0"/>
            <w:vAlign w:val="center"/>
          </w:tcPr>
          <w:p w14:paraId="02695FE4">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073" w:type="dxa"/>
            <w:noWrap w:val="0"/>
            <w:vAlign w:val="center"/>
          </w:tcPr>
          <w:p w14:paraId="6F61BD00">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234" w:type="dxa"/>
            <w:noWrap w:val="0"/>
            <w:vAlign w:val="center"/>
          </w:tcPr>
          <w:p w14:paraId="48496C40">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073" w:type="dxa"/>
            <w:noWrap w:val="0"/>
            <w:vAlign w:val="center"/>
          </w:tcPr>
          <w:p w14:paraId="2C0E482F">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34" w:type="dxa"/>
            <w:noWrap w:val="0"/>
            <w:vAlign w:val="center"/>
          </w:tcPr>
          <w:p w14:paraId="50BBA48D">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073" w:type="dxa"/>
            <w:noWrap w:val="0"/>
            <w:vAlign w:val="center"/>
          </w:tcPr>
          <w:p w14:paraId="6BDA504F">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6"/>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4796" w:type="dxa"/>
            <w:noWrap w:val="0"/>
            <w:vAlign w:val="center"/>
          </w:tcPr>
          <w:p w14:paraId="48801C4F">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负责人）必须负责本项目设计全过程（包括施工图设计审查、施工图设计修编、预算跟踪服务、图纸会审和技术交底）。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7"/>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8"/>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34" w:type="dxa"/>
            <w:noWrap w:val="0"/>
            <w:vAlign w:val="center"/>
          </w:tcPr>
          <w:p w14:paraId="51A1CB7E">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073" w:type="dxa"/>
            <w:noWrap w:val="0"/>
            <w:vAlign w:val="center"/>
          </w:tcPr>
          <w:p w14:paraId="6357FC92">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4796" w:type="dxa"/>
            <w:noWrap w:val="0"/>
            <w:vAlign w:val="center"/>
          </w:tcPr>
          <w:p w14:paraId="29398FF2">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234" w:type="dxa"/>
            <w:noWrap w:val="0"/>
            <w:vAlign w:val="center"/>
          </w:tcPr>
          <w:p w14:paraId="572A10B7">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073" w:type="dxa"/>
            <w:noWrap w:val="0"/>
            <w:vAlign w:val="center"/>
          </w:tcPr>
          <w:p w14:paraId="164AB79E">
            <w:pPr>
              <w:pStyle w:val="62"/>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2"/>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234" w:type="dxa"/>
            <w:noWrap w:val="0"/>
            <w:vAlign w:val="center"/>
          </w:tcPr>
          <w:p w14:paraId="6B8BB558">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073" w:type="dxa"/>
            <w:noWrap w:val="0"/>
            <w:vAlign w:val="center"/>
          </w:tcPr>
          <w:p w14:paraId="280CF969">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9CBA5F7">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234" w:type="dxa"/>
            <w:noWrap w:val="0"/>
            <w:vAlign w:val="center"/>
          </w:tcPr>
          <w:p w14:paraId="585B1CF5">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073" w:type="dxa"/>
            <w:noWrap w:val="0"/>
            <w:vAlign w:val="center"/>
          </w:tcPr>
          <w:p w14:paraId="06FDF4B4">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4796" w:type="dxa"/>
            <w:noWrap w:val="0"/>
            <w:vAlign w:val="center"/>
          </w:tcPr>
          <w:p w14:paraId="01EA568A">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施工期间除发包人要求或特殊地质原因外，因设计质量和深度不够的原因引起的工程返工或需要设计变更引起工程造价增加的，每次扣减勘察设计合同价款中设计费的2％，扣完为止。</w:t>
            </w:r>
          </w:p>
          <w:p w14:paraId="3C6DF7EF">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7AC1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A5C725">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234" w:type="dxa"/>
            <w:noWrap w:val="0"/>
            <w:vAlign w:val="center"/>
          </w:tcPr>
          <w:p w14:paraId="17085DFB">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勘察承诺</w:t>
            </w:r>
          </w:p>
        </w:tc>
        <w:tc>
          <w:tcPr>
            <w:tcW w:w="3073" w:type="dxa"/>
            <w:noWrap w:val="0"/>
            <w:vAlign w:val="center"/>
          </w:tcPr>
          <w:p w14:paraId="0C3896F7">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如我方中标，我方保证按勘察规范及有关法律法规进行勘察，并准时提供相应满足设计要求的勘察成果。</w:t>
            </w:r>
          </w:p>
        </w:tc>
        <w:tc>
          <w:tcPr>
            <w:tcW w:w="4796" w:type="dxa"/>
            <w:noWrap w:val="0"/>
            <w:vAlign w:val="center"/>
          </w:tcPr>
          <w:p w14:paraId="4C284FC2">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勘察成果，招标人有权终止合同，扣除勘察费的10%作为违约罚款，并由招标人另行委托相应资质的单位进行勘察，其费用由中标人支付，施工工期不予顺延且不另外计取赶工措施费。</w:t>
            </w:r>
          </w:p>
          <w:p w14:paraId="47FACFBA">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地质勘探过程中，发包人可随时到现场抽检勘探情况，发现有造假现象的，扣除勘察设计合同价款中勘察费的10%。发现两次以上的则发包人有权解除合同。</w:t>
            </w:r>
          </w:p>
          <w:p w14:paraId="778F1F01">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施工过程中，发现现场地质情况与同位置勘察点的勘察成果不符时，每发现一处，需扣除勘察设计合同价款中勘察费的5%，扣完为止。同时免费负责补充相应的地质勘察工作。</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16E3174">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234" w:type="dxa"/>
            <w:noWrap w:val="0"/>
            <w:vAlign w:val="center"/>
          </w:tcPr>
          <w:p w14:paraId="4471B0C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073" w:type="dxa"/>
            <w:noWrap w:val="0"/>
            <w:vAlign w:val="center"/>
          </w:tcPr>
          <w:p w14:paraId="1F937805">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7D89ADB">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234" w:type="dxa"/>
            <w:noWrap w:val="0"/>
            <w:vAlign w:val="center"/>
          </w:tcPr>
          <w:p w14:paraId="4306825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073" w:type="dxa"/>
            <w:noWrap w:val="0"/>
            <w:vAlign w:val="center"/>
          </w:tcPr>
          <w:p w14:paraId="0C29C104">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C6DB75F">
            <w:pPr>
              <w:pStyle w:val="38"/>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234"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073" w:type="dxa"/>
            <w:noWrap w:val="0"/>
            <w:vAlign w:val="center"/>
          </w:tcPr>
          <w:p w14:paraId="089CE4C2">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9773501">
            <w:pPr>
              <w:pStyle w:val="7"/>
              <w:spacing w:line="3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234" w:type="dxa"/>
            <w:noWrap w:val="0"/>
            <w:vAlign w:val="center"/>
          </w:tcPr>
          <w:p w14:paraId="7EBE6FAC">
            <w:pPr>
              <w:pStyle w:val="62"/>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073" w:type="dxa"/>
            <w:noWrap w:val="0"/>
            <w:vAlign w:val="center"/>
          </w:tcPr>
          <w:p w14:paraId="33100E59">
            <w:pPr>
              <w:pStyle w:val="62"/>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w:t>
            </w:r>
            <w:r>
              <w:rPr>
                <w:rFonts w:hint="eastAsia" w:hAnsi="宋体" w:cs="宋体"/>
                <w:color w:val="000000" w:themeColor="text1"/>
                <w:sz w:val="21"/>
                <w:szCs w:val="21"/>
                <w:highlight w:val="none"/>
                <w:lang w:val="en-US" w:eastAsia="zh-CN"/>
                <w14:textFill>
                  <w14:solidFill>
                    <w14:schemeClr w14:val="tx1"/>
                  </w14:solidFill>
                </w14:textFill>
              </w:rPr>
              <w:t>定标</w:t>
            </w:r>
            <w:r>
              <w:rPr>
                <w:rFonts w:hint="eastAsia" w:ascii="宋体" w:hAnsi="宋体" w:eastAsia="宋体" w:cs="宋体"/>
                <w:color w:val="000000" w:themeColor="text1"/>
                <w:sz w:val="21"/>
                <w:szCs w:val="21"/>
                <w:highlight w:val="none"/>
                <w14:textFill>
                  <w14:solidFill>
                    <w14:schemeClr w14:val="tx1"/>
                  </w14:solidFill>
                </w14:textFill>
              </w:rPr>
              <w:t>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24B4BD6">
            <w:pPr>
              <w:pStyle w:val="7"/>
              <w:spacing w:line="3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234"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073" w:type="dxa"/>
            <w:noWrap w:val="0"/>
            <w:vAlign w:val="center"/>
          </w:tcPr>
          <w:p w14:paraId="096674D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D952E80">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234" w:type="dxa"/>
            <w:noWrap w:val="0"/>
            <w:vAlign w:val="center"/>
          </w:tcPr>
          <w:p w14:paraId="0951A09C">
            <w:pPr>
              <w:pStyle w:val="62"/>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073" w:type="dxa"/>
            <w:noWrap w:val="0"/>
            <w:vAlign w:val="center"/>
          </w:tcPr>
          <w:p w14:paraId="103581FF">
            <w:pPr>
              <w:pStyle w:val="62"/>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90414ED">
            <w:pPr>
              <w:pStyle w:val="7"/>
              <w:spacing w:line="3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w:t>
            </w:r>
          </w:p>
        </w:tc>
        <w:tc>
          <w:tcPr>
            <w:tcW w:w="1234" w:type="dxa"/>
            <w:noWrap w:val="0"/>
            <w:vAlign w:val="center"/>
          </w:tcPr>
          <w:p w14:paraId="7055292D">
            <w:pPr>
              <w:pStyle w:val="62"/>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073" w:type="dxa"/>
            <w:noWrap w:val="0"/>
            <w:vAlign w:val="center"/>
          </w:tcPr>
          <w:p w14:paraId="6319074A">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44326297">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注：所有违约金均从中标人的进度款中扣除，最终结算以扣除违约金总数后的金额为准。</w:t>
      </w:r>
    </w:p>
    <w:p w14:paraId="4F109FDC">
      <w:pPr>
        <w:pStyle w:val="38"/>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33C04A25">
      <w:pPr>
        <w:widowControl/>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A141A49">
      <w:pPr>
        <w:widowControl/>
        <w:jc w:val="both"/>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74" w:name="_Toc10516"/>
      <w:bookmarkStart w:id="575" w:name="_Toc30764"/>
      <w:bookmarkStart w:id="576" w:name="_Toc10981"/>
      <w:bookmarkStart w:id="577" w:name="_Toc24868"/>
      <w:bookmarkStart w:id="578" w:name="_Toc6896"/>
      <w:bookmarkStart w:id="579" w:name="_Toc3046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74"/>
      <w:bookmarkEnd w:id="575"/>
      <w:bookmarkEnd w:id="576"/>
      <w:bookmarkEnd w:id="577"/>
      <w:bookmarkEnd w:id="578"/>
      <w:bookmarkEnd w:id="579"/>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139700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11pt;height:124.75pt;width:251.25pt;z-index:251663360;mso-width-relative:page;mso-height-relative:page;" fillcolor="#FFFFFF" filled="t" stroked="t" coordsize="21600,21600" o:gfxdata="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2VounXAAAACgEAAA8AAAAAAAAAAQAgAAAAIgAAAGRycy9kb3du&#10;cmV2LnhtbFBLAQIUABQAAAAIAIdO4kCx9llbOQIAAG4EAAAOAAAAAAAAAAEAIAAAACYBAABkcnMv&#10;ZTJvRG9jLnhtbFBLBQYAAAAABgAGAFkBAADRBQ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1D0E79FE">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74923E0">
      <w:pP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36F0DC3">
      <w:pPr>
        <w:outlineLvl w:val="9"/>
        <w:rPr>
          <w:rFonts w:hint="eastAsia"/>
          <w:color w:val="000000" w:themeColor="text1"/>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D3AFF63">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80" w:name="_Toc24677"/>
      <w:bookmarkStart w:id="581" w:name="_Toc12031"/>
      <w:bookmarkStart w:id="582" w:name="_Toc1117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80"/>
      <w:bookmarkEnd w:id="581"/>
      <w:bookmarkEnd w:id="582"/>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0C26697">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B9B0041">
      <w:pP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04393EB">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921C77D">
      <w:pPr>
        <w:rPr>
          <w:rFonts w:hint="eastAsia"/>
          <w:color w:val="000000" w:themeColor="text1"/>
          <w:highlight w:val="none"/>
          <w14:textFill>
            <w14:solidFill>
              <w14:schemeClr w14:val="tx1"/>
            </w14:solidFill>
          </w14:textFill>
        </w:rPr>
      </w:pPr>
    </w:p>
    <w:p w14:paraId="305BD005">
      <w:pPr>
        <w:outlineLvl w:val="9"/>
        <w:rPr>
          <w:rFonts w:hint="eastAsia"/>
          <w:color w:val="000000" w:themeColor="text1"/>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83" w:name="_Toc26875"/>
      <w:bookmarkStart w:id="584" w:name="_Toc2580"/>
      <w:bookmarkStart w:id="585" w:name="_Toc30665"/>
      <w:bookmarkStart w:id="586" w:name="_Toc16430"/>
      <w:bookmarkStart w:id="587" w:name="_Toc26395"/>
      <w:bookmarkStart w:id="588" w:name="_Toc3167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83"/>
      <w:bookmarkEnd w:id="584"/>
      <w:bookmarkEnd w:id="585"/>
      <w:bookmarkEnd w:id="586"/>
      <w:bookmarkEnd w:id="587"/>
      <w:bookmarkEnd w:id="588"/>
    </w:p>
    <w:p w14:paraId="1E169E49">
      <w:pPr>
        <w:pStyle w:val="48"/>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（项目名称）（以下简称“本项目”）的投标并争取赢得本项目勘察设计、施工总承包合同（以下简称合同）。现就联合体投标事宜订立如下协议：</w:t>
      </w:r>
    </w:p>
    <w:p w14:paraId="719956F5">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8"/>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8"/>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8"/>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8AAA5D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4B6636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89" w:name="_Toc31264"/>
      <w:bookmarkStart w:id="590" w:name="_Toc13130"/>
      <w:bookmarkStart w:id="591" w:name="_Toc30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89"/>
      <w:bookmarkEnd w:id="590"/>
      <w:bookmarkEnd w:id="591"/>
    </w:p>
    <w:p w14:paraId="244162F3">
      <w:pPr>
        <w:pStyle w:val="48"/>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80" w:type="dxa"/>
            <w:gridSpan w:val="8"/>
            <w:noWrap/>
            <w:vAlign w:val="center"/>
          </w:tcPr>
          <w:p w14:paraId="292241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14" w:type="dxa"/>
            <w:gridSpan w:val="3"/>
            <w:noWrap/>
            <w:vAlign w:val="center"/>
          </w:tcPr>
          <w:p w14:paraId="2534C5B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28151D4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74" w:type="dxa"/>
            <w:gridSpan w:val="3"/>
            <w:noWrap/>
            <w:vAlign w:val="center"/>
          </w:tcPr>
          <w:p w14:paraId="648CA5B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41" w:type="dxa"/>
            <w:noWrap/>
            <w:vAlign w:val="center"/>
          </w:tcPr>
          <w:p w14:paraId="6DA39D2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73" w:type="dxa"/>
            <w:gridSpan w:val="2"/>
            <w:noWrap/>
            <w:vAlign w:val="center"/>
          </w:tcPr>
          <w:p w14:paraId="220FDAE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3F88FF0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74" w:type="dxa"/>
            <w:gridSpan w:val="3"/>
            <w:noWrap/>
            <w:vAlign w:val="center"/>
          </w:tcPr>
          <w:p w14:paraId="78E42A5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41" w:type="dxa"/>
            <w:noWrap/>
            <w:vAlign w:val="center"/>
          </w:tcPr>
          <w:p w14:paraId="2D42253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73" w:type="dxa"/>
            <w:gridSpan w:val="2"/>
            <w:noWrap/>
            <w:vAlign w:val="center"/>
          </w:tcPr>
          <w:p w14:paraId="0A57192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7D8EAB59">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74" w:type="dxa"/>
            <w:gridSpan w:val="3"/>
            <w:noWrap/>
            <w:vAlign w:val="center"/>
          </w:tcPr>
          <w:p w14:paraId="44C31D6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80" w:type="dxa"/>
            <w:gridSpan w:val="8"/>
            <w:noWrap/>
            <w:vAlign w:val="center"/>
          </w:tcPr>
          <w:p w14:paraId="18E12F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41" w:type="dxa"/>
            <w:noWrap/>
            <w:vAlign w:val="center"/>
          </w:tcPr>
          <w:p w14:paraId="3C89A13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40" w:type="dxa"/>
            <w:noWrap/>
            <w:vAlign w:val="center"/>
          </w:tcPr>
          <w:p w14:paraId="692AF9C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noWrap/>
            <w:vAlign w:val="center"/>
          </w:tcPr>
          <w:p w14:paraId="2074D5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101" w:type="dxa"/>
            <w:gridSpan w:val="2"/>
            <w:noWrap/>
            <w:vAlign w:val="center"/>
          </w:tcPr>
          <w:p w14:paraId="5520AFA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5" w:type="dxa"/>
            <w:noWrap/>
            <w:vAlign w:val="center"/>
          </w:tcPr>
          <w:p w14:paraId="3E1A255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70" w:type="dxa"/>
            <w:noWrap/>
            <w:vAlign w:val="center"/>
          </w:tcPr>
          <w:p w14:paraId="46DEE7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81" w:type="dxa"/>
            <w:gridSpan w:val="2"/>
            <w:noWrap/>
            <w:vAlign w:val="center"/>
          </w:tcPr>
          <w:p w14:paraId="5D1CC0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99" w:type="dxa"/>
            <w:gridSpan w:val="6"/>
            <w:noWrap/>
            <w:vAlign w:val="center"/>
          </w:tcPr>
          <w:p w14:paraId="547C094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40" w:type="dxa"/>
            <w:noWrap/>
            <w:vAlign w:val="center"/>
          </w:tcPr>
          <w:p w14:paraId="43C9CD15">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81" w:type="dxa"/>
            <w:gridSpan w:val="2"/>
            <w:noWrap/>
            <w:vAlign w:val="center"/>
          </w:tcPr>
          <w:p w14:paraId="435587D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restart"/>
            <w:noWrap/>
            <w:vAlign w:val="center"/>
          </w:tcPr>
          <w:p w14:paraId="6416198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6" w:type="dxa"/>
            <w:gridSpan w:val="3"/>
            <w:noWrap/>
            <w:vAlign w:val="center"/>
          </w:tcPr>
          <w:p w14:paraId="1585BAA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70" w:type="dxa"/>
            <w:noWrap/>
            <w:vAlign w:val="center"/>
          </w:tcPr>
          <w:p w14:paraId="33668F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81" w:type="dxa"/>
            <w:gridSpan w:val="2"/>
            <w:noWrap/>
            <w:vAlign w:val="center"/>
          </w:tcPr>
          <w:p w14:paraId="3661E2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1E22C19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06E84F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70" w:type="dxa"/>
            <w:noWrap/>
            <w:vAlign w:val="center"/>
          </w:tcPr>
          <w:p w14:paraId="0C76BE9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81" w:type="dxa"/>
            <w:gridSpan w:val="2"/>
            <w:noWrap/>
            <w:vAlign w:val="center"/>
          </w:tcPr>
          <w:p w14:paraId="275B6FE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1E4C8E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6596F59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70" w:type="dxa"/>
            <w:noWrap/>
            <w:vAlign w:val="center"/>
          </w:tcPr>
          <w:p w14:paraId="443F846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540" w:type="dxa"/>
            <w:noWrap/>
            <w:vAlign w:val="center"/>
          </w:tcPr>
          <w:p w14:paraId="5CD562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81" w:type="dxa"/>
            <w:gridSpan w:val="2"/>
            <w:noWrap/>
            <w:vAlign w:val="center"/>
          </w:tcPr>
          <w:p w14:paraId="35963BB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451799A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1C90B77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70" w:type="dxa"/>
            <w:noWrap/>
            <w:vAlign w:val="center"/>
          </w:tcPr>
          <w:p w14:paraId="5185F20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540" w:type="dxa"/>
            <w:noWrap/>
            <w:vAlign w:val="center"/>
          </w:tcPr>
          <w:p w14:paraId="5F1EB8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81" w:type="dxa"/>
            <w:gridSpan w:val="2"/>
            <w:noWrap/>
            <w:vAlign w:val="center"/>
          </w:tcPr>
          <w:p w14:paraId="6EEEA4D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30649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83128E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70" w:type="dxa"/>
            <w:noWrap/>
            <w:vAlign w:val="center"/>
          </w:tcPr>
          <w:p w14:paraId="13BB8B8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40" w:type="dxa"/>
            <w:noWrap/>
            <w:vAlign w:val="center"/>
          </w:tcPr>
          <w:p w14:paraId="653E3C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80" w:type="dxa"/>
            <w:gridSpan w:val="8"/>
            <w:noWrap/>
            <w:vAlign w:val="center"/>
          </w:tcPr>
          <w:p w14:paraId="790185DB">
            <w:pPr>
              <w:pStyle w:val="44"/>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BB6AB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80" w:type="dxa"/>
            <w:gridSpan w:val="8"/>
            <w:noWrap/>
            <w:vAlign w:val="center"/>
          </w:tcPr>
          <w:p w14:paraId="6EE38209">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1D753AD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80" w:type="dxa"/>
            <w:gridSpan w:val="8"/>
            <w:noWrap/>
            <w:vAlign w:val="center"/>
          </w:tcPr>
          <w:p w14:paraId="6D279D1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4"/>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535"/>
    <w:bookmarkEnd w:id="536"/>
    <w:bookmarkEnd w:id="537"/>
    <w:bookmarkEnd w:id="538"/>
    <w:bookmarkEnd w:id="539"/>
    <w:p w14:paraId="3825431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92" w:name="_Toc1659"/>
      <w:bookmarkStart w:id="593" w:name="_Toc535300004"/>
      <w:bookmarkStart w:id="594" w:name="_Toc118541763"/>
      <w:bookmarkStart w:id="595" w:name="_Toc534641863"/>
      <w:bookmarkStart w:id="596" w:name="_Toc48547015"/>
      <w:bookmarkStart w:id="597" w:name="_Toc210101349"/>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b/>
          <w:bCs/>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b/>
          <w:bCs/>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w:t>
      </w:r>
    </w:p>
    <w:p w14:paraId="4D00A3D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60C95F0B">
      <w:pPr>
        <w:pStyle w:val="48"/>
        <w:widowControl w:val="0"/>
        <w:wordWrap w:val="0"/>
        <w:adjustRightInd w:val="0"/>
        <w:snapToGrid w:val="0"/>
        <w:spacing w:line="400" w:lineRule="exact"/>
        <w:ind w:left="0" w:leftChars="0" w:firstLine="0" w:firstLineChars="0"/>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p>
    <w:p w14:paraId="046ADA4A">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98" w:name="_Toc266"/>
      <w:bookmarkStart w:id="599" w:name="_Toc1256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92"/>
      <w:bookmarkEnd w:id="598"/>
      <w:bookmarkEnd w:id="599"/>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至少3个月，其中必须中2026年2月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）彩色扫描件；拟派项目经理为退休返聘人员无法提供社保证明的，提供退休证和劳动合同彩色扫描件。</w:t>
      </w: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B0024F">
      <w:pPr>
        <w:pStyle w:val="2"/>
        <w:rPr>
          <w:rFonts w:hint="eastAsia"/>
          <w:color w:val="000000" w:themeColor="text1"/>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0" w:name="_Toc13976"/>
      <w:bookmarkStart w:id="601" w:name="_Toc337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600"/>
      <w:bookmarkEnd w:id="601"/>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602"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F642273">
      <w:pP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3" w:name="_Toc2151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br w:type="page"/>
      </w:r>
    </w:p>
    <w:p w14:paraId="46560B8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4" w:name="_Toc942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602"/>
      <w:bookmarkEnd w:id="603"/>
      <w:bookmarkEnd w:id="604"/>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9"/>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至少3个月，其中必须中2026年2月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）彩色扫描件；拟派技术负责人为退休返聘人员无法提供社保证明的，提供退休证和劳动合同彩色扫描件。</w:t>
      </w:r>
    </w:p>
    <w:p w14:paraId="7F2BF5E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5" w:name="_Toc29256"/>
      <w:bookmarkStart w:id="606" w:name="_Toc31518"/>
      <w:bookmarkStart w:id="607" w:name="_Toc1119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简历表</w:t>
      </w:r>
      <w:bookmarkEnd w:id="605"/>
      <w:bookmarkEnd w:id="606"/>
      <w:bookmarkEnd w:id="607"/>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简历表》后应附拟派项目设计负责人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注册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证彩色扫描件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如需</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）、职称证彩色扫描件（</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如需</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至少3个月，其中必须中2026年2月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）彩色扫描件；拟派设计负责人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为退休返聘人员无法提供社保证明的，提供退休证和劳动合同彩色扫描件。</w:t>
      </w:r>
      <w:bookmarkEnd w:id="593"/>
      <w:bookmarkEnd w:id="594"/>
      <w:bookmarkEnd w:id="595"/>
      <w:bookmarkEnd w:id="596"/>
      <w:bookmarkEnd w:id="597"/>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608" w:name="_Toc10080"/>
      <w:bookmarkStart w:id="609"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4"/>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610" w:name="_Toc31050"/>
      <w:bookmarkStart w:id="611" w:name="_Toc24806"/>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608"/>
      <w:bookmarkEnd w:id="610"/>
      <w:bookmarkEnd w:id="611"/>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956F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shd w:val="clear" w:color="auto" w:fill="auto"/>
            <w:noWrap/>
            <w:vAlign w:val="center"/>
          </w:tcPr>
          <w:p w14:paraId="086E6A18">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1424" w:type="dxa"/>
            <w:tcBorders>
              <w:top w:val="single" w:color="auto" w:sz="6" w:space="0"/>
              <w:left w:val="single" w:color="auto" w:sz="6" w:space="0"/>
              <w:right w:val="single" w:color="auto" w:sz="6" w:space="0"/>
            </w:tcBorders>
            <w:noWrap/>
            <w:vAlign w:val="center"/>
          </w:tcPr>
          <w:p w14:paraId="367AC3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861CF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9BF0E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28F0F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00B6FF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271BE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9</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609"/>
    </w:tbl>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612" w:name="_Toc8648"/>
      <w:bookmarkStart w:id="613" w:name="_Toc25577"/>
      <w:bookmarkStart w:id="614" w:name="_Toc36804690"/>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至少3个月，其中必须中2026年2月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br w:type="page"/>
      </w:r>
    </w:p>
    <w:p w14:paraId="06F08895">
      <w:pPr>
        <w:outlineLvl w:val="9"/>
        <w:rPr>
          <w:rFonts w:hint="eastAsia"/>
          <w:color w:val="000000" w:themeColor="text1"/>
          <w:highlight w:val="none"/>
          <w14:textFill>
            <w14:solidFill>
              <w14:schemeClr w14:val="tx1"/>
            </w14:solidFill>
          </w14:textFill>
        </w:rPr>
      </w:pPr>
    </w:p>
    <w:p w14:paraId="1BC61B8E">
      <w:pPr>
        <w:pStyle w:val="4"/>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15" w:name="_Toc4938"/>
      <w:bookmarkStart w:id="616" w:name="_Toc9412"/>
      <w:bookmarkStart w:id="617" w:name="_Toc19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615"/>
      <w:bookmarkEnd w:id="616"/>
      <w:bookmarkEnd w:id="617"/>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bookmarkEnd w:id="612"/>
      <w:bookmarkEnd w:id="613"/>
      <w:bookmarkEnd w:id="614"/>
    </w:tbl>
    <w:p w14:paraId="261C5855">
      <w:pPr>
        <w:pStyle w:val="80"/>
        <w:snapToGrid w:val="0"/>
        <w:spacing w:line="440" w:lineRule="exact"/>
        <w:ind w:left="0" w:leftChars="0" w:firstLine="0" w:firstLineChars="0"/>
        <w:outlineLvl w:val="9"/>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pPr>
      <w:bookmarkStart w:id="618" w:name="_Toc26911"/>
      <w:bookmarkStart w:id="619" w:name="_Toc26133"/>
      <w:bookmarkStart w:id="620" w:name="_Toc8121"/>
      <w:bookmarkStart w:id="621" w:name="_Toc8821"/>
      <w:bookmarkStart w:id="622" w:name="_Toc26622"/>
      <w:bookmarkStart w:id="623" w:name="_Toc22541"/>
      <w:bookmarkStart w:id="624" w:name="_Toc6918"/>
      <w:bookmarkStart w:id="625" w:name="_Toc9816"/>
      <w:bookmarkStart w:id="626" w:name="_Toc26638"/>
      <w:bookmarkStart w:id="627" w:name="_Toc23446"/>
    </w:p>
    <w:p w14:paraId="4C702146">
      <w:pPr>
        <w:pStyle w:val="80"/>
        <w:snapToGrid w:val="0"/>
        <w:spacing w:line="440" w:lineRule="exact"/>
        <w:ind w:left="0" w:leftChars="0" w:firstLine="0" w:firstLineChars="0"/>
        <w:outlineLvl w:val="9"/>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pPr>
    </w:p>
    <w:p w14:paraId="4B71295E">
      <w:pPr>
        <w:pStyle w:val="80"/>
        <w:snapToGrid w:val="0"/>
        <w:spacing w:line="440" w:lineRule="exact"/>
        <w:ind w:left="0" w:leftChars="0" w:firstLine="0" w:firstLineChars="0"/>
        <w:outlineLvl w:val="1"/>
        <w:rPr>
          <w:rFonts w:hint="eastAsia" w:ascii="Times New Roman" w:hAnsi="宋体" w:eastAsia="宋体" w:cs="Times New Roman"/>
          <w:b/>
          <w:bCs/>
          <w:color w:val="000000" w:themeColor="text1"/>
          <w:sz w:val="21"/>
          <w:szCs w:val="21"/>
          <w:highlight w:val="none"/>
          <w:lang w:val="en-US" w:eastAsia="zh-CN"/>
          <w14:textFill>
            <w14:solidFill>
              <w14:schemeClr w14:val="tx1"/>
            </w14:solidFill>
          </w14:textFill>
        </w:rPr>
      </w:pPr>
      <w:bookmarkStart w:id="628" w:name="_Toc29747"/>
      <w:r>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t>格式十</w:t>
      </w:r>
      <w:r>
        <w:rPr>
          <w:rFonts w:hint="eastAsia" w:ascii="Times New Roman" w:hAnsi="宋体" w:cs="Times New Roman"/>
          <w:b/>
          <w:bCs/>
          <w:snapToGrid w:val="0"/>
          <w:color w:val="000000" w:themeColor="text1"/>
          <w:kern w:val="2"/>
          <w:sz w:val="21"/>
          <w:szCs w:val="21"/>
          <w:highlight w:val="none"/>
          <w:lang w:val="en-US" w:eastAsia="zh-CN"/>
          <w14:textFill>
            <w14:solidFill>
              <w14:schemeClr w14:val="tx1"/>
            </w14:solidFill>
          </w14:textFill>
        </w:rPr>
        <w:t>四</w:t>
      </w:r>
      <w:r>
        <w:rPr>
          <w:rFonts w:hint="eastAsia" w:ascii="Times New Roman" w:hAnsi="宋体" w:eastAsia="宋体" w:cs="Times New Roman"/>
          <w:b/>
          <w:bCs/>
          <w:snapToGrid w:val="0"/>
          <w:color w:val="000000" w:themeColor="text1"/>
          <w:kern w:val="2"/>
          <w:sz w:val="21"/>
          <w:szCs w:val="21"/>
          <w:highlight w:val="none"/>
          <w:lang w:val="en-US" w:eastAsia="zh-CN"/>
          <w14:textFill>
            <w14:solidFill>
              <w14:schemeClr w14:val="tx1"/>
            </w14:solidFill>
          </w14:textFill>
        </w:rPr>
        <w:t xml:space="preserve"> 定标因素评审资料</w:t>
      </w:r>
      <w:bookmarkEnd w:id="618"/>
      <w:bookmarkEnd w:id="619"/>
      <w:bookmarkEnd w:id="628"/>
    </w:p>
    <w:p w14:paraId="4AACD548">
      <w:pPr>
        <w:widowControl/>
        <w:kinsoku/>
        <w:autoSpaceDE/>
        <w:autoSpaceDN/>
        <w:adjustRightInd/>
        <w:snapToGrid/>
        <w:spacing w:line="500" w:lineRule="exact"/>
        <w:jc w:val="center"/>
        <w:textAlignment w:val="baseline"/>
        <w:rPr>
          <w:rFonts w:hint="eastAsia" w:ascii="宋体" w:hAnsi="宋体" w:eastAsia="宋体" w:cs="宋体"/>
          <w:b/>
          <w:bCs/>
          <w:snapToGrid/>
          <w:color w:val="000000" w:themeColor="text1"/>
          <w:kern w:val="2"/>
          <w:sz w:val="30"/>
          <w:szCs w:val="30"/>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定标因素评审资料</w:t>
      </w:r>
    </w:p>
    <w:p w14:paraId="78C747A0">
      <w:pPr>
        <w:widowControl/>
        <w:kinsoku/>
        <w:autoSpaceDE/>
        <w:autoSpaceDN/>
        <w:adjustRightInd/>
        <w:snapToGrid/>
        <w:spacing w:line="360" w:lineRule="auto"/>
        <w:jc w:val="left"/>
        <w:textAlignment w:val="baseline"/>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p>
    <w:p w14:paraId="2BEC8406">
      <w:pP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投标人根据“第一章 第五节 定标规定及细则”载明的定标因素，提交评审资料。</w:t>
      </w:r>
    </w:p>
    <w:p w14:paraId="55C07FD1">
      <w:pP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br w:type="page"/>
      </w:r>
    </w:p>
    <w:p w14:paraId="2082FE14">
      <w:pPr>
        <w:pStyle w:val="3"/>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629" w:name="_Toc13013"/>
      <w:bookmarkStart w:id="630" w:name="_Toc9470"/>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廉政合同、履约保函、支付保函</w:t>
      </w:r>
      <w:bookmarkEnd w:id="620"/>
      <w:bookmarkEnd w:id="621"/>
      <w:bookmarkEnd w:id="622"/>
      <w:bookmarkEnd w:id="623"/>
      <w:bookmarkEnd w:id="624"/>
      <w:bookmarkEnd w:id="625"/>
      <w:bookmarkEnd w:id="626"/>
      <w:bookmarkEnd w:id="627"/>
      <w:bookmarkEnd w:id="629"/>
      <w:bookmarkEnd w:id="630"/>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631" w:name="_Toc29713"/>
      <w:bookmarkStart w:id="632" w:name="_Toc16029"/>
      <w:bookmarkStart w:id="633" w:name="_Toc30503"/>
      <w:bookmarkStart w:id="634" w:name="_Toc5845"/>
      <w:bookmarkStart w:id="635" w:name="_Toc20232"/>
      <w:bookmarkStart w:id="636" w:name="_Toc23486"/>
      <w:bookmarkStart w:id="637" w:name="_Toc10193"/>
      <w:bookmarkStart w:id="638" w:name="_Toc10603"/>
      <w:bookmarkStart w:id="639" w:name="_Toc14151"/>
      <w:bookmarkStart w:id="640" w:name="_Toc5870"/>
      <w:bookmarkStart w:id="641" w:name="_Toc32046"/>
      <w:bookmarkStart w:id="642" w:name="_Toc2994"/>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631"/>
      <w:bookmarkEnd w:id="632"/>
      <w:bookmarkEnd w:id="633"/>
      <w:bookmarkEnd w:id="634"/>
      <w:bookmarkEnd w:id="635"/>
      <w:bookmarkEnd w:id="636"/>
      <w:bookmarkEnd w:id="637"/>
      <w:bookmarkEnd w:id="638"/>
      <w:bookmarkEnd w:id="639"/>
      <w:bookmarkEnd w:id="640"/>
      <w:bookmarkEnd w:id="641"/>
      <w:bookmarkEnd w:id="642"/>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6 </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643" w:name="_Toc28513"/>
      <w:bookmarkStart w:id="644" w:name="_Toc18530"/>
      <w:bookmarkStart w:id="645" w:name="_Toc20715"/>
      <w:bookmarkStart w:id="646" w:name="_Toc126"/>
      <w:bookmarkStart w:id="647" w:name="_Toc29017"/>
      <w:bookmarkStart w:id="648" w:name="_Toc6897"/>
      <w:bookmarkStart w:id="649" w:name="_Toc24859"/>
      <w:bookmarkStart w:id="650" w:name="_Toc11559"/>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651" w:name="_Toc10245"/>
      <w:bookmarkStart w:id="652" w:name="_Toc19618"/>
      <w:bookmarkStart w:id="653" w:name="_Toc1875"/>
      <w:bookmarkStart w:id="654" w:name="_Toc3079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643"/>
      <w:bookmarkEnd w:id="644"/>
      <w:bookmarkEnd w:id="645"/>
      <w:bookmarkEnd w:id="646"/>
      <w:bookmarkEnd w:id="647"/>
      <w:bookmarkEnd w:id="648"/>
      <w:bookmarkEnd w:id="649"/>
      <w:bookmarkEnd w:id="650"/>
      <w:bookmarkEnd w:id="651"/>
      <w:bookmarkEnd w:id="652"/>
      <w:bookmarkEnd w:id="653"/>
      <w:bookmarkEnd w:id="654"/>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6EA27E2">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1A83B68F">
      <w:pPr>
        <w:pStyle w:val="5"/>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655" w:name="_Toc6524"/>
      <w:bookmarkStart w:id="656" w:name="_Toc18000"/>
      <w:bookmarkStart w:id="657" w:name="_Toc14563"/>
      <w:bookmarkStart w:id="658" w:name="_Toc1606"/>
      <w:bookmarkStart w:id="659" w:name="_Toc27131"/>
      <w:bookmarkStart w:id="660" w:name="_Toc1401"/>
      <w:bookmarkStart w:id="661" w:name="_Toc12376"/>
      <w:bookmarkStart w:id="662" w:name="_Toc3493"/>
      <w:bookmarkStart w:id="663" w:name="_Toc9772"/>
      <w:bookmarkStart w:id="664" w:name="_Toc7920"/>
      <w:bookmarkStart w:id="665" w:name="_Toc6868"/>
      <w:bookmarkStart w:id="666" w:name="_Toc14689"/>
      <w:bookmarkStart w:id="667" w:name="_Toc25691"/>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655"/>
      <w:bookmarkEnd w:id="656"/>
      <w:bookmarkEnd w:id="657"/>
      <w:bookmarkEnd w:id="658"/>
      <w:bookmarkEnd w:id="659"/>
      <w:bookmarkEnd w:id="660"/>
      <w:bookmarkEnd w:id="661"/>
      <w:bookmarkEnd w:id="662"/>
      <w:bookmarkEnd w:id="663"/>
      <w:bookmarkEnd w:id="664"/>
      <w:bookmarkEnd w:id="665"/>
      <w:bookmarkEnd w:id="666"/>
      <w:bookmarkEnd w:id="667"/>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68"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68"/>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69"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6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2"/>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3"/>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70" w:name="_Toc466640622"/>
      <w:bookmarkStart w:id="671" w:name="_Toc16901"/>
      <w:bookmarkStart w:id="672" w:name="_Toc420"/>
      <w:bookmarkStart w:id="673" w:name="_Toc26594"/>
      <w:bookmarkStart w:id="674" w:name="_Toc30822"/>
      <w:bookmarkStart w:id="675" w:name="_Toc3894"/>
      <w:bookmarkStart w:id="676" w:name="_Toc13641"/>
      <w:bookmarkStart w:id="677" w:name="_Toc19434"/>
      <w:bookmarkStart w:id="678" w:name="_Toc3242"/>
      <w:bookmarkStart w:id="679" w:name="_Toc9802"/>
      <w:bookmarkStart w:id="680" w:name="_Toc187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519"/>
      <w:bookmarkEnd w:id="520"/>
      <w:bookmarkEnd w:id="521"/>
      <w:bookmarkEnd w:id="522"/>
      <w:bookmarkEnd w:id="67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71"/>
      <w:bookmarkEnd w:id="672"/>
      <w:bookmarkEnd w:id="673"/>
      <w:bookmarkEnd w:id="674"/>
      <w:bookmarkEnd w:id="675"/>
      <w:bookmarkEnd w:id="676"/>
      <w:bookmarkEnd w:id="677"/>
      <w:bookmarkEnd w:id="678"/>
      <w:bookmarkEnd w:id="679"/>
      <w:bookmarkEnd w:id="680"/>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523"/>
    <w:bookmarkEnd w:id="524"/>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设计合同按住房城乡建设部、国家工商行政管理总局制定《建设工程设计合同示范文本（市政公用工程）》（GF-2015-0209）、《建设工程设计合同示范文本（专业建设工程）》（GF-2015-0210）执行。 </w:t>
      </w:r>
    </w:p>
    <w:p w14:paraId="4779F3EE">
      <w:pPr>
        <w:spacing w:line="360" w:lineRule="auto"/>
        <w:ind w:firstLine="480" w:firstLineChars="2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勘察合同按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住房城乡建设部、国家工商行政管理总局制定建设工程勘察合同(示范文本)(GF-2016-0203)</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执行。</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361883B">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1"/>
      <w:tabs>
        <w:tab w:val="left" w:pos="4803"/>
        <w:tab w:val="clear" w:pos="4153"/>
      </w:tabs>
    </w:pPr>
    <w:r>
      <w:rPr>
        <w:rFonts w:hint="eastAsia"/>
      </w:rPr>
      <w:tab/>
    </w:r>
  </w:p>
  <w:p w14:paraId="4AFCE7F2">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1"/>
      <w:tabs>
        <w:tab w:val="left" w:pos="4803"/>
        <w:tab w:val="clear" w:pos="4153"/>
      </w:tabs>
    </w:pPr>
    <w:r>
      <w:rPr>
        <w:rFonts w:hint="eastAsia"/>
      </w:rPr>
      <w:tab/>
    </w:r>
  </w:p>
  <w:p w14:paraId="686904C8">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47BF">
    <w:pPr>
      <w:pStyle w:val="71"/>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2B98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2B98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1"/>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017EA">
                          <w:pPr>
                            <w:pStyle w:val="1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3017EA">
                    <w:pPr>
                      <w:pStyle w:val="13"/>
                    </w:pPr>
                    <w:r>
                      <w:fldChar w:fldCharType="begin"/>
                    </w:r>
                    <w:r>
                      <w:instrText xml:space="preserve"> PAGE  \* MERGEFORMAT </w:instrText>
                    </w:r>
                    <w:r>
                      <w:fldChar w:fldCharType="separate"/>
                    </w:r>
                    <w:r>
                      <w:t>88</w:t>
                    </w:r>
                    <w:r>
                      <w:fldChar w:fldCharType="end"/>
                    </w:r>
                  </w:p>
                </w:txbxContent>
              </v:textbox>
            </v:shape>
          </w:pict>
        </mc:Fallback>
      </mc:AlternateContent>
    </w:r>
    <w:r>
      <w:rPr>
        <w:rFonts w:hint="eastAsia"/>
      </w:rPr>
      <w:tab/>
    </w:r>
  </w:p>
  <w:p w14:paraId="73FD3302">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2543">
                          <w:pPr>
                            <w:pStyle w:val="1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F52543">
                    <w:pPr>
                      <w:pStyle w:val="1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8AD50FB6"/>
    <w:multiLevelType w:val="singleLevel"/>
    <w:tmpl w:val="8AD50FB6"/>
    <w:lvl w:ilvl="0" w:tentative="0">
      <w:start w:val="1"/>
      <w:numFmt w:val="decimal"/>
      <w:lvlText w:val="%1."/>
      <w:lvlJc w:val="left"/>
      <w:pPr>
        <w:tabs>
          <w:tab w:val="left" w:pos="312"/>
        </w:tabs>
      </w:pPr>
    </w:lvl>
  </w:abstractNum>
  <w:abstractNum w:abstractNumId="2">
    <w:nsid w:val="9A22DE3C"/>
    <w:multiLevelType w:val="singleLevel"/>
    <w:tmpl w:val="9A22DE3C"/>
    <w:lvl w:ilvl="0" w:tentative="0">
      <w:start w:val="5"/>
      <w:numFmt w:val="decimal"/>
      <w:suff w:val="space"/>
      <w:lvlText w:val="%1."/>
      <w:lvlJc w:val="left"/>
    </w:lvl>
  </w:abstractNum>
  <w:abstractNum w:abstractNumId="3">
    <w:nsid w:val="C099E3A4"/>
    <w:multiLevelType w:val="singleLevel"/>
    <w:tmpl w:val="C099E3A4"/>
    <w:lvl w:ilvl="0" w:tentative="0">
      <w:start w:val="1"/>
      <w:numFmt w:val="chineseCounting"/>
      <w:suff w:val="nothing"/>
      <w:lvlText w:val="第%1、"/>
      <w:lvlJc w:val="left"/>
      <w:rPr>
        <w:rFonts w:hint="eastAsia"/>
      </w:rPr>
    </w:lvl>
  </w:abstractNum>
  <w:abstractNum w:abstractNumId="4">
    <w:nsid w:val="CFABDD9F"/>
    <w:multiLevelType w:val="singleLevel"/>
    <w:tmpl w:val="CFABDD9F"/>
    <w:lvl w:ilvl="0" w:tentative="0">
      <w:start w:val="1"/>
      <w:numFmt w:val="decimal"/>
      <w:suff w:val="nothing"/>
      <w:lvlText w:val="（%1）"/>
      <w:lvlJc w:val="left"/>
    </w:lvl>
  </w:abstractNum>
  <w:abstractNum w:abstractNumId="5">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A80F6BA"/>
    <w:multiLevelType w:val="singleLevel"/>
    <w:tmpl w:val="0A80F6BA"/>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F7FD5"/>
    <w:rsid w:val="0055689E"/>
    <w:rsid w:val="005E6BB8"/>
    <w:rsid w:val="0064163D"/>
    <w:rsid w:val="007C3F91"/>
    <w:rsid w:val="008C4168"/>
    <w:rsid w:val="008E0C60"/>
    <w:rsid w:val="00901845"/>
    <w:rsid w:val="00936991"/>
    <w:rsid w:val="00943625"/>
    <w:rsid w:val="00954357"/>
    <w:rsid w:val="00954A54"/>
    <w:rsid w:val="00A255A4"/>
    <w:rsid w:val="00A322B9"/>
    <w:rsid w:val="00A80EA7"/>
    <w:rsid w:val="00AD7338"/>
    <w:rsid w:val="00AF685C"/>
    <w:rsid w:val="00B16179"/>
    <w:rsid w:val="00B37196"/>
    <w:rsid w:val="00C04E0C"/>
    <w:rsid w:val="00CB07F4"/>
    <w:rsid w:val="00CB3361"/>
    <w:rsid w:val="00CD4D5B"/>
    <w:rsid w:val="00D561CD"/>
    <w:rsid w:val="00DA5A23"/>
    <w:rsid w:val="00E76514"/>
    <w:rsid w:val="00ED4B12"/>
    <w:rsid w:val="00F95669"/>
    <w:rsid w:val="011F7384"/>
    <w:rsid w:val="01262D7E"/>
    <w:rsid w:val="01284AF4"/>
    <w:rsid w:val="012C10F1"/>
    <w:rsid w:val="016A5229"/>
    <w:rsid w:val="016B77E9"/>
    <w:rsid w:val="0189664D"/>
    <w:rsid w:val="01A93FA3"/>
    <w:rsid w:val="01C53654"/>
    <w:rsid w:val="01E704A0"/>
    <w:rsid w:val="01F123E4"/>
    <w:rsid w:val="023B4C37"/>
    <w:rsid w:val="02427F54"/>
    <w:rsid w:val="025C1016"/>
    <w:rsid w:val="02665093"/>
    <w:rsid w:val="02673FAD"/>
    <w:rsid w:val="027F7030"/>
    <w:rsid w:val="029933CC"/>
    <w:rsid w:val="02B53517"/>
    <w:rsid w:val="02D70973"/>
    <w:rsid w:val="02D84414"/>
    <w:rsid w:val="030E146A"/>
    <w:rsid w:val="031E276F"/>
    <w:rsid w:val="033923C2"/>
    <w:rsid w:val="0348159A"/>
    <w:rsid w:val="03541A8A"/>
    <w:rsid w:val="035C0E64"/>
    <w:rsid w:val="035E0DBD"/>
    <w:rsid w:val="03681C3C"/>
    <w:rsid w:val="03724869"/>
    <w:rsid w:val="0385459C"/>
    <w:rsid w:val="039D18E6"/>
    <w:rsid w:val="03A42CC1"/>
    <w:rsid w:val="03C50E3C"/>
    <w:rsid w:val="03CC5D27"/>
    <w:rsid w:val="03F46BE4"/>
    <w:rsid w:val="03FB660C"/>
    <w:rsid w:val="04185410"/>
    <w:rsid w:val="041A1188"/>
    <w:rsid w:val="04253689"/>
    <w:rsid w:val="042E69E2"/>
    <w:rsid w:val="04360B53"/>
    <w:rsid w:val="045442D0"/>
    <w:rsid w:val="04965C00"/>
    <w:rsid w:val="049727D9"/>
    <w:rsid w:val="04B3453A"/>
    <w:rsid w:val="04E05B36"/>
    <w:rsid w:val="04EA57F9"/>
    <w:rsid w:val="0551139F"/>
    <w:rsid w:val="05735E79"/>
    <w:rsid w:val="05940AC6"/>
    <w:rsid w:val="05C14046"/>
    <w:rsid w:val="05FD666C"/>
    <w:rsid w:val="06204F50"/>
    <w:rsid w:val="06310B6D"/>
    <w:rsid w:val="06505A75"/>
    <w:rsid w:val="06510766"/>
    <w:rsid w:val="06656ADB"/>
    <w:rsid w:val="06750BD0"/>
    <w:rsid w:val="068308FE"/>
    <w:rsid w:val="068A58D2"/>
    <w:rsid w:val="0694486B"/>
    <w:rsid w:val="06A92350"/>
    <w:rsid w:val="06AB60C8"/>
    <w:rsid w:val="06DD74B2"/>
    <w:rsid w:val="06EA0C6C"/>
    <w:rsid w:val="06F105E8"/>
    <w:rsid w:val="06F37A6F"/>
    <w:rsid w:val="06FF1426"/>
    <w:rsid w:val="07302A71"/>
    <w:rsid w:val="0741366C"/>
    <w:rsid w:val="074849DB"/>
    <w:rsid w:val="075527EB"/>
    <w:rsid w:val="077C17D7"/>
    <w:rsid w:val="07A10088"/>
    <w:rsid w:val="07A76DE7"/>
    <w:rsid w:val="07AF3996"/>
    <w:rsid w:val="07C40809"/>
    <w:rsid w:val="07F8328D"/>
    <w:rsid w:val="081128A2"/>
    <w:rsid w:val="081E0766"/>
    <w:rsid w:val="08397E54"/>
    <w:rsid w:val="083E11BD"/>
    <w:rsid w:val="085F1D8A"/>
    <w:rsid w:val="08915791"/>
    <w:rsid w:val="08BC2A1A"/>
    <w:rsid w:val="08C47915"/>
    <w:rsid w:val="08E104C7"/>
    <w:rsid w:val="09016473"/>
    <w:rsid w:val="092335A5"/>
    <w:rsid w:val="092752BD"/>
    <w:rsid w:val="092F06B7"/>
    <w:rsid w:val="09B554AF"/>
    <w:rsid w:val="09C86F91"/>
    <w:rsid w:val="09E65669"/>
    <w:rsid w:val="09EB1836"/>
    <w:rsid w:val="0A560A40"/>
    <w:rsid w:val="0A873975"/>
    <w:rsid w:val="0A9E2D09"/>
    <w:rsid w:val="0AA03A6A"/>
    <w:rsid w:val="0AA16904"/>
    <w:rsid w:val="0AA95014"/>
    <w:rsid w:val="0AB36DB1"/>
    <w:rsid w:val="0AB66FEF"/>
    <w:rsid w:val="0AD7112E"/>
    <w:rsid w:val="0AFD4502"/>
    <w:rsid w:val="0B633415"/>
    <w:rsid w:val="0B971310"/>
    <w:rsid w:val="0B995220"/>
    <w:rsid w:val="0BDA37C7"/>
    <w:rsid w:val="0C144E4E"/>
    <w:rsid w:val="0C183B2E"/>
    <w:rsid w:val="0C3C08C2"/>
    <w:rsid w:val="0C5C7E64"/>
    <w:rsid w:val="0C6A568B"/>
    <w:rsid w:val="0C711B61"/>
    <w:rsid w:val="0C7358DA"/>
    <w:rsid w:val="0C74196B"/>
    <w:rsid w:val="0C7D5BCC"/>
    <w:rsid w:val="0C8F023A"/>
    <w:rsid w:val="0CBC1B52"/>
    <w:rsid w:val="0CBC40CB"/>
    <w:rsid w:val="0CC53C5B"/>
    <w:rsid w:val="0CC7352F"/>
    <w:rsid w:val="0CCA1272"/>
    <w:rsid w:val="0CDD0FA5"/>
    <w:rsid w:val="0CF40FAA"/>
    <w:rsid w:val="0D0310AE"/>
    <w:rsid w:val="0D1B00F8"/>
    <w:rsid w:val="0D295D83"/>
    <w:rsid w:val="0D2B56E9"/>
    <w:rsid w:val="0D31309F"/>
    <w:rsid w:val="0D4A769B"/>
    <w:rsid w:val="0D5374B9"/>
    <w:rsid w:val="0D724D63"/>
    <w:rsid w:val="0D841421"/>
    <w:rsid w:val="0D8D045B"/>
    <w:rsid w:val="0D9642F0"/>
    <w:rsid w:val="0DA63A8D"/>
    <w:rsid w:val="0DB937C0"/>
    <w:rsid w:val="0DBB25A8"/>
    <w:rsid w:val="0DC53787"/>
    <w:rsid w:val="0DCB0DFD"/>
    <w:rsid w:val="0DDA28D6"/>
    <w:rsid w:val="0DDE4FD5"/>
    <w:rsid w:val="0DE6650F"/>
    <w:rsid w:val="0DF73507"/>
    <w:rsid w:val="0DFA207C"/>
    <w:rsid w:val="0DFB1411"/>
    <w:rsid w:val="0E370B89"/>
    <w:rsid w:val="0E554708"/>
    <w:rsid w:val="0E554C7C"/>
    <w:rsid w:val="0E6B438E"/>
    <w:rsid w:val="0EAD0264"/>
    <w:rsid w:val="0EB6785F"/>
    <w:rsid w:val="0EE20AF5"/>
    <w:rsid w:val="0EF56BB3"/>
    <w:rsid w:val="0F0A0D37"/>
    <w:rsid w:val="0F4E10F7"/>
    <w:rsid w:val="0F640D2F"/>
    <w:rsid w:val="0F6A64B9"/>
    <w:rsid w:val="0F930041"/>
    <w:rsid w:val="0FA062BA"/>
    <w:rsid w:val="0FB24E29"/>
    <w:rsid w:val="0FC41FA8"/>
    <w:rsid w:val="0FE90846"/>
    <w:rsid w:val="0FF7412C"/>
    <w:rsid w:val="10044A9B"/>
    <w:rsid w:val="10093E5F"/>
    <w:rsid w:val="1017239B"/>
    <w:rsid w:val="101C0036"/>
    <w:rsid w:val="10264A11"/>
    <w:rsid w:val="104A6951"/>
    <w:rsid w:val="10667503"/>
    <w:rsid w:val="10725EA8"/>
    <w:rsid w:val="10BD6F35"/>
    <w:rsid w:val="10C04E65"/>
    <w:rsid w:val="10CD6B01"/>
    <w:rsid w:val="10D95F27"/>
    <w:rsid w:val="10DE52EC"/>
    <w:rsid w:val="10E34150"/>
    <w:rsid w:val="11302AA6"/>
    <w:rsid w:val="11405FA6"/>
    <w:rsid w:val="114535BD"/>
    <w:rsid w:val="11584D75"/>
    <w:rsid w:val="11845E93"/>
    <w:rsid w:val="11A2456B"/>
    <w:rsid w:val="11C664AC"/>
    <w:rsid w:val="11DB4B38"/>
    <w:rsid w:val="11FB5CD3"/>
    <w:rsid w:val="123E21E9"/>
    <w:rsid w:val="124A1FF0"/>
    <w:rsid w:val="12752B42"/>
    <w:rsid w:val="12A06CFD"/>
    <w:rsid w:val="12BB3B36"/>
    <w:rsid w:val="12E806A4"/>
    <w:rsid w:val="12E92C69"/>
    <w:rsid w:val="130D1EB8"/>
    <w:rsid w:val="13156E63"/>
    <w:rsid w:val="131F5532"/>
    <w:rsid w:val="13201FDC"/>
    <w:rsid w:val="133D62EE"/>
    <w:rsid w:val="133E3F74"/>
    <w:rsid w:val="13426006"/>
    <w:rsid w:val="13734957"/>
    <w:rsid w:val="137D0DEC"/>
    <w:rsid w:val="138E124B"/>
    <w:rsid w:val="13B512A1"/>
    <w:rsid w:val="13BB2F94"/>
    <w:rsid w:val="13C0517C"/>
    <w:rsid w:val="14072DAB"/>
    <w:rsid w:val="143C0CA7"/>
    <w:rsid w:val="14430A9C"/>
    <w:rsid w:val="146E4B4E"/>
    <w:rsid w:val="149763D6"/>
    <w:rsid w:val="14A76C92"/>
    <w:rsid w:val="14BB4DC8"/>
    <w:rsid w:val="14E1675A"/>
    <w:rsid w:val="15022121"/>
    <w:rsid w:val="1525173B"/>
    <w:rsid w:val="153951E6"/>
    <w:rsid w:val="15995C85"/>
    <w:rsid w:val="159F14ED"/>
    <w:rsid w:val="15A718D7"/>
    <w:rsid w:val="15BC4477"/>
    <w:rsid w:val="15BD4608"/>
    <w:rsid w:val="15D85784"/>
    <w:rsid w:val="15FD7FC2"/>
    <w:rsid w:val="160E6248"/>
    <w:rsid w:val="161F586A"/>
    <w:rsid w:val="16201F02"/>
    <w:rsid w:val="16414353"/>
    <w:rsid w:val="164E4741"/>
    <w:rsid w:val="165A5414"/>
    <w:rsid w:val="167E07F7"/>
    <w:rsid w:val="16C60CFC"/>
    <w:rsid w:val="16E178E4"/>
    <w:rsid w:val="16F5338F"/>
    <w:rsid w:val="175E7186"/>
    <w:rsid w:val="176108A4"/>
    <w:rsid w:val="177B1AE6"/>
    <w:rsid w:val="17A10E21"/>
    <w:rsid w:val="17AF3CDA"/>
    <w:rsid w:val="17B73663"/>
    <w:rsid w:val="17FF3E14"/>
    <w:rsid w:val="18426433"/>
    <w:rsid w:val="18770500"/>
    <w:rsid w:val="18860743"/>
    <w:rsid w:val="18AE7C99"/>
    <w:rsid w:val="18CA2C3F"/>
    <w:rsid w:val="18DF42F7"/>
    <w:rsid w:val="18F546F2"/>
    <w:rsid w:val="19212219"/>
    <w:rsid w:val="192B12EA"/>
    <w:rsid w:val="19363AFA"/>
    <w:rsid w:val="19684BA0"/>
    <w:rsid w:val="19861EDA"/>
    <w:rsid w:val="198B3B37"/>
    <w:rsid w:val="19B600B0"/>
    <w:rsid w:val="19CB4621"/>
    <w:rsid w:val="19D92807"/>
    <w:rsid w:val="19F37903"/>
    <w:rsid w:val="1A04743A"/>
    <w:rsid w:val="1A241393"/>
    <w:rsid w:val="1A3B37AF"/>
    <w:rsid w:val="1A43439E"/>
    <w:rsid w:val="1A495ECC"/>
    <w:rsid w:val="1A4A1047"/>
    <w:rsid w:val="1A534654"/>
    <w:rsid w:val="1A602AAD"/>
    <w:rsid w:val="1A7D7923"/>
    <w:rsid w:val="1A8506D5"/>
    <w:rsid w:val="1A937147"/>
    <w:rsid w:val="1AA650CC"/>
    <w:rsid w:val="1AC63078"/>
    <w:rsid w:val="1ACF42A1"/>
    <w:rsid w:val="1ADE4866"/>
    <w:rsid w:val="1AF94774"/>
    <w:rsid w:val="1AF97567"/>
    <w:rsid w:val="1B1742F2"/>
    <w:rsid w:val="1B2E4C6C"/>
    <w:rsid w:val="1B527002"/>
    <w:rsid w:val="1B5974A9"/>
    <w:rsid w:val="1B666609"/>
    <w:rsid w:val="1B690B70"/>
    <w:rsid w:val="1B701236"/>
    <w:rsid w:val="1B754A9E"/>
    <w:rsid w:val="1B8076CB"/>
    <w:rsid w:val="1B8A59D6"/>
    <w:rsid w:val="1BAF4AA0"/>
    <w:rsid w:val="1BBB4BA7"/>
    <w:rsid w:val="1BC03F6C"/>
    <w:rsid w:val="1BC05D1A"/>
    <w:rsid w:val="1BC11A92"/>
    <w:rsid w:val="1BC21D75"/>
    <w:rsid w:val="1BC62A56"/>
    <w:rsid w:val="1BDE0896"/>
    <w:rsid w:val="1BF80445"/>
    <w:rsid w:val="1C01417E"/>
    <w:rsid w:val="1C0C71B1"/>
    <w:rsid w:val="1C381D54"/>
    <w:rsid w:val="1C4C1CA3"/>
    <w:rsid w:val="1C4C3F1D"/>
    <w:rsid w:val="1C6061C5"/>
    <w:rsid w:val="1C6918C2"/>
    <w:rsid w:val="1C8F1025"/>
    <w:rsid w:val="1CC23714"/>
    <w:rsid w:val="1CC61A56"/>
    <w:rsid w:val="1CDD25B2"/>
    <w:rsid w:val="1CDD28FB"/>
    <w:rsid w:val="1CDE71ED"/>
    <w:rsid w:val="1CF57C45"/>
    <w:rsid w:val="1CFD30F1"/>
    <w:rsid w:val="1D392B2F"/>
    <w:rsid w:val="1D3C1D18"/>
    <w:rsid w:val="1D3F2962"/>
    <w:rsid w:val="1D531643"/>
    <w:rsid w:val="1D586BE4"/>
    <w:rsid w:val="1D750002"/>
    <w:rsid w:val="1D7B63DC"/>
    <w:rsid w:val="1DB4365C"/>
    <w:rsid w:val="1DB7314C"/>
    <w:rsid w:val="1DC85359"/>
    <w:rsid w:val="1DE504BC"/>
    <w:rsid w:val="1DE5415D"/>
    <w:rsid w:val="1DEB51E9"/>
    <w:rsid w:val="1E1467F1"/>
    <w:rsid w:val="1E1E766F"/>
    <w:rsid w:val="1E480248"/>
    <w:rsid w:val="1E5310C7"/>
    <w:rsid w:val="1E5B7F7C"/>
    <w:rsid w:val="1E787E3F"/>
    <w:rsid w:val="1E896032"/>
    <w:rsid w:val="1E94348E"/>
    <w:rsid w:val="1EA41352"/>
    <w:rsid w:val="1EC73863"/>
    <w:rsid w:val="1ED02718"/>
    <w:rsid w:val="1ED146E2"/>
    <w:rsid w:val="1EE14055"/>
    <w:rsid w:val="1F0B09EA"/>
    <w:rsid w:val="1F26208B"/>
    <w:rsid w:val="1F27633C"/>
    <w:rsid w:val="1F444EB4"/>
    <w:rsid w:val="1F4A53F6"/>
    <w:rsid w:val="1F505606"/>
    <w:rsid w:val="1F7F413E"/>
    <w:rsid w:val="1F9951FF"/>
    <w:rsid w:val="1FBD45F2"/>
    <w:rsid w:val="20012DA5"/>
    <w:rsid w:val="20315438"/>
    <w:rsid w:val="203C5B8B"/>
    <w:rsid w:val="206C46C2"/>
    <w:rsid w:val="20941E5C"/>
    <w:rsid w:val="20B144DF"/>
    <w:rsid w:val="20E92247"/>
    <w:rsid w:val="20E92EC4"/>
    <w:rsid w:val="20EF49EE"/>
    <w:rsid w:val="20F63F8C"/>
    <w:rsid w:val="211046C7"/>
    <w:rsid w:val="211D59BC"/>
    <w:rsid w:val="21284B64"/>
    <w:rsid w:val="213212B7"/>
    <w:rsid w:val="21541387"/>
    <w:rsid w:val="2159417C"/>
    <w:rsid w:val="217952E8"/>
    <w:rsid w:val="21933ED0"/>
    <w:rsid w:val="21B24356"/>
    <w:rsid w:val="21EB7868"/>
    <w:rsid w:val="21FE134A"/>
    <w:rsid w:val="222A65E3"/>
    <w:rsid w:val="2252621C"/>
    <w:rsid w:val="225278E7"/>
    <w:rsid w:val="225A40A6"/>
    <w:rsid w:val="225A5C6B"/>
    <w:rsid w:val="225B51D9"/>
    <w:rsid w:val="22A02616"/>
    <w:rsid w:val="22A26860"/>
    <w:rsid w:val="22AC263C"/>
    <w:rsid w:val="22B11907"/>
    <w:rsid w:val="22DC6741"/>
    <w:rsid w:val="22E42C35"/>
    <w:rsid w:val="22F32E79"/>
    <w:rsid w:val="2305495A"/>
    <w:rsid w:val="230C5CE8"/>
    <w:rsid w:val="23253E95"/>
    <w:rsid w:val="235F6EB5"/>
    <w:rsid w:val="23741495"/>
    <w:rsid w:val="23A2739A"/>
    <w:rsid w:val="23B56380"/>
    <w:rsid w:val="23BE3486"/>
    <w:rsid w:val="23D63FF3"/>
    <w:rsid w:val="23DF51AB"/>
    <w:rsid w:val="23E4734C"/>
    <w:rsid w:val="242F6132"/>
    <w:rsid w:val="24491954"/>
    <w:rsid w:val="24523BCF"/>
    <w:rsid w:val="24704055"/>
    <w:rsid w:val="247E2C16"/>
    <w:rsid w:val="24802EEC"/>
    <w:rsid w:val="249F316A"/>
    <w:rsid w:val="24D80578"/>
    <w:rsid w:val="24EE1B49"/>
    <w:rsid w:val="25076767"/>
    <w:rsid w:val="25153BB3"/>
    <w:rsid w:val="251C4037"/>
    <w:rsid w:val="25395DBC"/>
    <w:rsid w:val="253B5A69"/>
    <w:rsid w:val="254C0545"/>
    <w:rsid w:val="255A71DF"/>
    <w:rsid w:val="25711DDF"/>
    <w:rsid w:val="2578303A"/>
    <w:rsid w:val="257D5076"/>
    <w:rsid w:val="25972C96"/>
    <w:rsid w:val="25A01B67"/>
    <w:rsid w:val="25BF256F"/>
    <w:rsid w:val="25C1100C"/>
    <w:rsid w:val="25D16D75"/>
    <w:rsid w:val="25D36F91"/>
    <w:rsid w:val="25E8104B"/>
    <w:rsid w:val="260E1D77"/>
    <w:rsid w:val="263341B4"/>
    <w:rsid w:val="266F2816"/>
    <w:rsid w:val="2683119F"/>
    <w:rsid w:val="268F110A"/>
    <w:rsid w:val="26A821CC"/>
    <w:rsid w:val="26C0203C"/>
    <w:rsid w:val="26D92385"/>
    <w:rsid w:val="271D6716"/>
    <w:rsid w:val="27247B73"/>
    <w:rsid w:val="272F01F7"/>
    <w:rsid w:val="27435A51"/>
    <w:rsid w:val="274572A5"/>
    <w:rsid w:val="274577C6"/>
    <w:rsid w:val="27462BA9"/>
    <w:rsid w:val="275131CB"/>
    <w:rsid w:val="276445C9"/>
    <w:rsid w:val="277F4CDB"/>
    <w:rsid w:val="278C73F8"/>
    <w:rsid w:val="27AC35F6"/>
    <w:rsid w:val="27C6290A"/>
    <w:rsid w:val="27EB411E"/>
    <w:rsid w:val="28310773"/>
    <w:rsid w:val="28335AC5"/>
    <w:rsid w:val="283B4DC5"/>
    <w:rsid w:val="28461C9C"/>
    <w:rsid w:val="285F2D5E"/>
    <w:rsid w:val="287157B0"/>
    <w:rsid w:val="28877790"/>
    <w:rsid w:val="28910741"/>
    <w:rsid w:val="28A95D87"/>
    <w:rsid w:val="28C411E9"/>
    <w:rsid w:val="28FD4CC9"/>
    <w:rsid w:val="29061A4D"/>
    <w:rsid w:val="29345F99"/>
    <w:rsid w:val="296D0CD1"/>
    <w:rsid w:val="297D16EE"/>
    <w:rsid w:val="298736A5"/>
    <w:rsid w:val="298F4F7D"/>
    <w:rsid w:val="29A529F3"/>
    <w:rsid w:val="29A70519"/>
    <w:rsid w:val="29BE374E"/>
    <w:rsid w:val="29D86AEC"/>
    <w:rsid w:val="2A0F2112"/>
    <w:rsid w:val="2A4144C9"/>
    <w:rsid w:val="2A475858"/>
    <w:rsid w:val="2A6B3832"/>
    <w:rsid w:val="2A793900"/>
    <w:rsid w:val="2A7E571E"/>
    <w:rsid w:val="2A7F1496"/>
    <w:rsid w:val="2A881CEC"/>
    <w:rsid w:val="2A994305"/>
    <w:rsid w:val="2AA85E3B"/>
    <w:rsid w:val="2AAA4765"/>
    <w:rsid w:val="2AB80DCB"/>
    <w:rsid w:val="2AB90504"/>
    <w:rsid w:val="2AEA4B61"/>
    <w:rsid w:val="2B12230A"/>
    <w:rsid w:val="2B157704"/>
    <w:rsid w:val="2B167CAC"/>
    <w:rsid w:val="2B385F92"/>
    <w:rsid w:val="2B4C6B5C"/>
    <w:rsid w:val="2B777082"/>
    <w:rsid w:val="2B8C7C7C"/>
    <w:rsid w:val="2B9B3F1D"/>
    <w:rsid w:val="2BA456FE"/>
    <w:rsid w:val="2BE511E3"/>
    <w:rsid w:val="2BEF49DC"/>
    <w:rsid w:val="2C1005F7"/>
    <w:rsid w:val="2C1B0D4A"/>
    <w:rsid w:val="2C1F6A8C"/>
    <w:rsid w:val="2C302A48"/>
    <w:rsid w:val="2C5D5807"/>
    <w:rsid w:val="2C733DC5"/>
    <w:rsid w:val="2C861EB2"/>
    <w:rsid w:val="2CA60F5C"/>
    <w:rsid w:val="2CAA4940"/>
    <w:rsid w:val="2CBF3E97"/>
    <w:rsid w:val="2CCB6C14"/>
    <w:rsid w:val="2CD57184"/>
    <w:rsid w:val="2CE466AC"/>
    <w:rsid w:val="2CE53DF2"/>
    <w:rsid w:val="2D113AB0"/>
    <w:rsid w:val="2D145EC5"/>
    <w:rsid w:val="2D1C4D7A"/>
    <w:rsid w:val="2D56396E"/>
    <w:rsid w:val="2D652012"/>
    <w:rsid w:val="2D6A1F89"/>
    <w:rsid w:val="2DFA155F"/>
    <w:rsid w:val="2E222864"/>
    <w:rsid w:val="2E3F3416"/>
    <w:rsid w:val="2E3F6DC0"/>
    <w:rsid w:val="2E424CB4"/>
    <w:rsid w:val="2E5A3DAC"/>
    <w:rsid w:val="2E6C1D31"/>
    <w:rsid w:val="2E814630"/>
    <w:rsid w:val="2EA21263"/>
    <w:rsid w:val="2F0C7FE5"/>
    <w:rsid w:val="2F2909A6"/>
    <w:rsid w:val="2F34284F"/>
    <w:rsid w:val="2F4862FA"/>
    <w:rsid w:val="2F754C15"/>
    <w:rsid w:val="2F77098D"/>
    <w:rsid w:val="2F7E7F6E"/>
    <w:rsid w:val="2F7F0633"/>
    <w:rsid w:val="2F8530AA"/>
    <w:rsid w:val="2FBC2844"/>
    <w:rsid w:val="2FC11140"/>
    <w:rsid w:val="2FC35981"/>
    <w:rsid w:val="2FC8743B"/>
    <w:rsid w:val="2FC90D1F"/>
    <w:rsid w:val="2FEC3129"/>
    <w:rsid w:val="2FF94AD0"/>
    <w:rsid w:val="300E12F2"/>
    <w:rsid w:val="303625F7"/>
    <w:rsid w:val="30667F5E"/>
    <w:rsid w:val="30890978"/>
    <w:rsid w:val="30A15A78"/>
    <w:rsid w:val="30C85944"/>
    <w:rsid w:val="30CD7274"/>
    <w:rsid w:val="30CE282F"/>
    <w:rsid w:val="313A6116"/>
    <w:rsid w:val="313C1E8F"/>
    <w:rsid w:val="31492E92"/>
    <w:rsid w:val="3150593A"/>
    <w:rsid w:val="31557F29"/>
    <w:rsid w:val="315947EF"/>
    <w:rsid w:val="317B7E20"/>
    <w:rsid w:val="31B76EA9"/>
    <w:rsid w:val="31C91C1F"/>
    <w:rsid w:val="31CA56EC"/>
    <w:rsid w:val="31E85B72"/>
    <w:rsid w:val="31E9733B"/>
    <w:rsid w:val="31FB42D0"/>
    <w:rsid w:val="321369F5"/>
    <w:rsid w:val="322C0025"/>
    <w:rsid w:val="32696CB3"/>
    <w:rsid w:val="326B7E18"/>
    <w:rsid w:val="32830F54"/>
    <w:rsid w:val="3286265A"/>
    <w:rsid w:val="32891103"/>
    <w:rsid w:val="328A4FFE"/>
    <w:rsid w:val="32922DB2"/>
    <w:rsid w:val="329A44C1"/>
    <w:rsid w:val="32B653FC"/>
    <w:rsid w:val="32DE4292"/>
    <w:rsid w:val="32EB37B8"/>
    <w:rsid w:val="32EC5E34"/>
    <w:rsid w:val="330A2D02"/>
    <w:rsid w:val="331D7A9E"/>
    <w:rsid w:val="33382D02"/>
    <w:rsid w:val="333C2526"/>
    <w:rsid w:val="3340239C"/>
    <w:rsid w:val="33594898"/>
    <w:rsid w:val="3374304C"/>
    <w:rsid w:val="33784CD4"/>
    <w:rsid w:val="33802506"/>
    <w:rsid w:val="339800E3"/>
    <w:rsid w:val="33A67A93"/>
    <w:rsid w:val="33B71CA0"/>
    <w:rsid w:val="33C87A09"/>
    <w:rsid w:val="33CD3272"/>
    <w:rsid w:val="33E800AC"/>
    <w:rsid w:val="33F87B2A"/>
    <w:rsid w:val="33FB1B8D"/>
    <w:rsid w:val="34014CC9"/>
    <w:rsid w:val="34057BB2"/>
    <w:rsid w:val="34256C0A"/>
    <w:rsid w:val="343432F1"/>
    <w:rsid w:val="343C4C08"/>
    <w:rsid w:val="34441BD5"/>
    <w:rsid w:val="34630135"/>
    <w:rsid w:val="346317C9"/>
    <w:rsid w:val="34924516"/>
    <w:rsid w:val="34A55F9D"/>
    <w:rsid w:val="34A5706F"/>
    <w:rsid w:val="34AB28E5"/>
    <w:rsid w:val="34B14EA3"/>
    <w:rsid w:val="34C33404"/>
    <w:rsid w:val="34F1756F"/>
    <w:rsid w:val="34FA62E8"/>
    <w:rsid w:val="35325511"/>
    <w:rsid w:val="35696FCA"/>
    <w:rsid w:val="35C12962"/>
    <w:rsid w:val="35C4206C"/>
    <w:rsid w:val="35C44201"/>
    <w:rsid w:val="360F7B72"/>
    <w:rsid w:val="36176A26"/>
    <w:rsid w:val="36343134"/>
    <w:rsid w:val="365437D6"/>
    <w:rsid w:val="3670318E"/>
    <w:rsid w:val="3687718E"/>
    <w:rsid w:val="36AA789A"/>
    <w:rsid w:val="36BF209F"/>
    <w:rsid w:val="36D13957"/>
    <w:rsid w:val="36D466C5"/>
    <w:rsid w:val="36F11025"/>
    <w:rsid w:val="36F80606"/>
    <w:rsid w:val="36FA44D9"/>
    <w:rsid w:val="37021CB5"/>
    <w:rsid w:val="37436ACA"/>
    <w:rsid w:val="37691503"/>
    <w:rsid w:val="377C4D93"/>
    <w:rsid w:val="37AF33BA"/>
    <w:rsid w:val="37D70CAE"/>
    <w:rsid w:val="37DD0002"/>
    <w:rsid w:val="37ED2BA2"/>
    <w:rsid w:val="37FC5ED4"/>
    <w:rsid w:val="381E5756"/>
    <w:rsid w:val="382F17A6"/>
    <w:rsid w:val="384358B1"/>
    <w:rsid w:val="384F24A7"/>
    <w:rsid w:val="386859FD"/>
    <w:rsid w:val="389D5682"/>
    <w:rsid w:val="38B44A00"/>
    <w:rsid w:val="38CD6618"/>
    <w:rsid w:val="390E5CB1"/>
    <w:rsid w:val="390F7E89"/>
    <w:rsid w:val="39177E14"/>
    <w:rsid w:val="39232DB5"/>
    <w:rsid w:val="392C4597"/>
    <w:rsid w:val="3937182F"/>
    <w:rsid w:val="39495F16"/>
    <w:rsid w:val="394C636C"/>
    <w:rsid w:val="39527644"/>
    <w:rsid w:val="39537D75"/>
    <w:rsid w:val="39657AA9"/>
    <w:rsid w:val="397321C6"/>
    <w:rsid w:val="39AE77D7"/>
    <w:rsid w:val="39B747A8"/>
    <w:rsid w:val="39F8091D"/>
    <w:rsid w:val="39FC0877"/>
    <w:rsid w:val="3A0745CE"/>
    <w:rsid w:val="3A0A0D7C"/>
    <w:rsid w:val="3A21319F"/>
    <w:rsid w:val="3A223F8F"/>
    <w:rsid w:val="3A350062"/>
    <w:rsid w:val="3A3F654C"/>
    <w:rsid w:val="3A43428E"/>
    <w:rsid w:val="3A535DC2"/>
    <w:rsid w:val="3A6313BE"/>
    <w:rsid w:val="3A7206CF"/>
    <w:rsid w:val="3AAF722D"/>
    <w:rsid w:val="3AD6600A"/>
    <w:rsid w:val="3AD959D6"/>
    <w:rsid w:val="3B2154F6"/>
    <w:rsid w:val="3B286FE0"/>
    <w:rsid w:val="3B3E2DB3"/>
    <w:rsid w:val="3B5F6BA9"/>
    <w:rsid w:val="3B6C4510"/>
    <w:rsid w:val="3BB970C6"/>
    <w:rsid w:val="3C1E33AE"/>
    <w:rsid w:val="3C2327E1"/>
    <w:rsid w:val="3C3001B4"/>
    <w:rsid w:val="3C681D8A"/>
    <w:rsid w:val="3C836701"/>
    <w:rsid w:val="3C9325AD"/>
    <w:rsid w:val="3CA07C16"/>
    <w:rsid w:val="3CA52FDE"/>
    <w:rsid w:val="3CB00658"/>
    <w:rsid w:val="3CB21639"/>
    <w:rsid w:val="3CC22946"/>
    <w:rsid w:val="3CD01F3B"/>
    <w:rsid w:val="3CD7328C"/>
    <w:rsid w:val="3CE753A4"/>
    <w:rsid w:val="3CEC5ACA"/>
    <w:rsid w:val="3CF96E86"/>
    <w:rsid w:val="3D073A6C"/>
    <w:rsid w:val="3D204801"/>
    <w:rsid w:val="3D22018A"/>
    <w:rsid w:val="3D287F80"/>
    <w:rsid w:val="3D361E88"/>
    <w:rsid w:val="3D3A3C3D"/>
    <w:rsid w:val="3D4C4431"/>
    <w:rsid w:val="3D502D9B"/>
    <w:rsid w:val="3D56589C"/>
    <w:rsid w:val="3D697A37"/>
    <w:rsid w:val="3D6F0EF6"/>
    <w:rsid w:val="3D864BBD"/>
    <w:rsid w:val="3D9646D4"/>
    <w:rsid w:val="3DC95243"/>
    <w:rsid w:val="3DD358A6"/>
    <w:rsid w:val="3DE07FF0"/>
    <w:rsid w:val="3E06185A"/>
    <w:rsid w:val="3E0D42F0"/>
    <w:rsid w:val="3E3363C7"/>
    <w:rsid w:val="3E976956"/>
    <w:rsid w:val="3EB43064"/>
    <w:rsid w:val="3EB70DA6"/>
    <w:rsid w:val="3EC31D79"/>
    <w:rsid w:val="3ECC2B23"/>
    <w:rsid w:val="3EE826DD"/>
    <w:rsid w:val="3F010273"/>
    <w:rsid w:val="3F0538C0"/>
    <w:rsid w:val="3F073ADC"/>
    <w:rsid w:val="3F1E7077"/>
    <w:rsid w:val="3F390778"/>
    <w:rsid w:val="3F540BEA"/>
    <w:rsid w:val="3F8238AC"/>
    <w:rsid w:val="3FA62879"/>
    <w:rsid w:val="3FB5786C"/>
    <w:rsid w:val="3FB672B0"/>
    <w:rsid w:val="3FBD6091"/>
    <w:rsid w:val="3FD12AA3"/>
    <w:rsid w:val="3FD6525C"/>
    <w:rsid w:val="3FE306FB"/>
    <w:rsid w:val="3FEA0D08"/>
    <w:rsid w:val="3FEB51AC"/>
    <w:rsid w:val="3FEC021E"/>
    <w:rsid w:val="400242A3"/>
    <w:rsid w:val="4004001B"/>
    <w:rsid w:val="400B3176"/>
    <w:rsid w:val="401122A5"/>
    <w:rsid w:val="40112738"/>
    <w:rsid w:val="401C5365"/>
    <w:rsid w:val="401F4E55"/>
    <w:rsid w:val="404C551E"/>
    <w:rsid w:val="40582115"/>
    <w:rsid w:val="40827192"/>
    <w:rsid w:val="409273D5"/>
    <w:rsid w:val="4099576A"/>
    <w:rsid w:val="40D73166"/>
    <w:rsid w:val="40EF4827"/>
    <w:rsid w:val="40F55BB6"/>
    <w:rsid w:val="410B1343"/>
    <w:rsid w:val="411A73CB"/>
    <w:rsid w:val="411C1395"/>
    <w:rsid w:val="414032D5"/>
    <w:rsid w:val="414E5376"/>
    <w:rsid w:val="41566655"/>
    <w:rsid w:val="41626E05"/>
    <w:rsid w:val="417C4D58"/>
    <w:rsid w:val="417F6B65"/>
    <w:rsid w:val="4185518C"/>
    <w:rsid w:val="4196079D"/>
    <w:rsid w:val="419D0246"/>
    <w:rsid w:val="41C757A4"/>
    <w:rsid w:val="41DC5CC2"/>
    <w:rsid w:val="41DD28D2"/>
    <w:rsid w:val="41E2438C"/>
    <w:rsid w:val="41E33C60"/>
    <w:rsid w:val="42114C71"/>
    <w:rsid w:val="42150157"/>
    <w:rsid w:val="421C10AE"/>
    <w:rsid w:val="42581B17"/>
    <w:rsid w:val="425D3A13"/>
    <w:rsid w:val="427173AC"/>
    <w:rsid w:val="42756FAE"/>
    <w:rsid w:val="42862F6A"/>
    <w:rsid w:val="42912938"/>
    <w:rsid w:val="42917E1D"/>
    <w:rsid w:val="429E3AD6"/>
    <w:rsid w:val="42AF735B"/>
    <w:rsid w:val="42B44D10"/>
    <w:rsid w:val="42BA41B0"/>
    <w:rsid w:val="42C13FA2"/>
    <w:rsid w:val="42C62EC3"/>
    <w:rsid w:val="42DE3E28"/>
    <w:rsid w:val="42E14644"/>
    <w:rsid w:val="43065E58"/>
    <w:rsid w:val="430C15CB"/>
    <w:rsid w:val="430C699F"/>
    <w:rsid w:val="43126D06"/>
    <w:rsid w:val="43143CD2"/>
    <w:rsid w:val="433C187A"/>
    <w:rsid w:val="435D2698"/>
    <w:rsid w:val="43600C36"/>
    <w:rsid w:val="437943F5"/>
    <w:rsid w:val="439E2535"/>
    <w:rsid w:val="43A80694"/>
    <w:rsid w:val="43B6162D"/>
    <w:rsid w:val="43C26223"/>
    <w:rsid w:val="43CA3044"/>
    <w:rsid w:val="43DF5FA7"/>
    <w:rsid w:val="43E53CC0"/>
    <w:rsid w:val="43F403A7"/>
    <w:rsid w:val="440525B4"/>
    <w:rsid w:val="44056110"/>
    <w:rsid w:val="44220A07"/>
    <w:rsid w:val="442944F4"/>
    <w:rsid w:val="442C7B41"/>
    <w:rsid w:val="44433C32"/>
    <w:rsid w:val="445F5FF9"/>
    <w:rsid w:val="44620AC5"/>
    <w:rsid w:val="448674E8"/>
    <w:rsid w:val="448F2126"/>
    <w:rsid w:val="44A578BE"/>
    <w:rsid w:val="44AD5AB7"/>
    <w:rsid w:val="44BA339E"/>
    <w:rsid w:val="44E64193"/>
    <w:rsid w:val="44F93EC7"/>
    <w:rsid w:val="44FA73AF"/>
    <w:rsid w:val="4508410A"/>
    <w:rsid w:val="45280308"/>
    <w:rsid w:val="4577128F"/>
    <w:rsid w:val="45967968"/>
    <w:rsid w:val="45AC718B"/>
    <w:rsid w:val="45D93CF8"/>
    <w:rsid w:val="45E61DF3"/>
    <w:rsid w:val="46144D30"/>
    <w:rsid w:val="46155B08"/>
    <w:rsid w:val="462211FB"/>
    <w:rsid w:val="46537607"/>
    <w:rsid w:val="46733805"/>
    <w:rsid w:val="46893028"/>
    <w:rsid w:val="4694586B"/>
    <w:rsid w:val="469F284C"/>
    <w:rsid w:val="46A02C50"/>
    <w:rsid w:val="46A674BD"/>
    <w:rsid w:val="46B458C0"/>
    <w:rsid w:val="46C40504"/>
    <w:rsid w:val="46DA1501"/>
    <w:rsid w:val="46E77832"/>
    <w:rsid w:val="46E82384"/>
    <w:rsid w:val="46EA736D"/>
    <w:rsid w:val="46F801AE"/>
    <w:rsid w:val="4703102D"/>
    <w:rsid w:val="472879B0"/>
    <w:rsid w:val="474D04FA"/>
    <w:rsid w:val="47592105"/>
    <w:rsid w:val="47617388"/>
    <w:rsid w:val="47777520"/>
    <w:rsid w:val="4796702E"/>
    <w:rsid w:val="47C56BFB"/>
    <w:rsid w:val="484418FD"/>
    <w:rsid w:val="484C255F"/>
    <w:rsid w:val="485B6C46"/>
    <w:rsid w:val="48657A71"/>
    <w:rsid w:val="487429ED"/>
    <w:rsid w:val="487E3BD5"/>
    <w:rsid w:val="487F2935"/>
    <w:rsid w:val="48C37705"/>
    <w:rsid w:val="48CB3DCC"/>
    <w:rsid w:val="48D11064"/>
    <w:rsid w:val="48D6451F"/>
    <w:rsid w:val="48F34DB8"/>
    <w:rsid w:val="48F77A6B"/>
    <w:rsid w:val="48FA020D"/>
    <w:rsid w:val="490620D6"/>
    <w:rsid w:val="49350787"/>
    <w:rsid w:val="493E5947"/>
    <w:rsid w:val="496438D9"/>
    <w:rsid w:val="49697141"/>
    <w:rsid w:val="497004D0"/>
    <w:rsid w:val="49A53A73"/>
    <w:rsid w:val="49B22896"/>
    <w:rsid w:val="49BA59AE"/>
    <w:rsid w:val="49BD4ED7"/>
    <w:rsid w:val="49FA4868"/>
    <w:rsid w:val="4A080708"/>
    <w:rsid w:val="4A17094B"/>
    <w:rsid w:val="4A4F6337"/>
    <w:rsid w:val="4A91694F"/>
    <w:rsid w:val="4AE023EC"/>
    <w:rsid w:val="4B0235C9"/>
    <w:rsid w:val="4B0A1480"/>
    <w:rsid w:val="4B110148"/>
    <w:rsid w:val="4B3D2633"/>
    <w:rsid w:val="4B4C0AC8"/>
    <w:rsid w:val="4B524331"/>
    <w:rsid w:val="4B636AF4"/>
    <w:rsid w:val="4B8743DD"/>
    <w:rsid w:val="4B8E34A2"/>
    <w:rsid w:val="4B9F6E4A"/>
    <w:rsid w:val="4BC55F37"/>
    <w:rsid w:val="4BEA157E"/>
    <w:rsid w:val="4C1E4213"/>
    <w:rsid w:val="4C237A7B"/>
    <w:rsid w:val="4C5944B1"/>
    <w:rsid w:val="4C6F3A23"/>
    <w:rsid w:val="4C8F5C62"/>
    <w:rsid w:val="4C91592D"/>
    <w:rsid w:val="4C9B3AB5"/>
    <w:rsid w:val="4CA77A88"/>
    <w:rsid w:val="4CF133A3"/>
    <w:rsid w:val="4D0168EA"/>
    <w:rsid w:val="4D027EED"/>
    <w:rsid w:val="4D330192"/>
    <w:rsid w:val="4D355CB8"/>
    <w:rsid w:val="4D4001B9"/>
    <w:rsid w:val="4D4B557E"/>
    <w:rsid w:val="4D4C7640"/>
    <w:rsid w:val="4D690DDD"/>
    <w:rsid w:val="4D6E32E7"/>
    <w:rsid w:val="4D7F6F33"/>
    <w:rsid w:val="4D8C33FE"/>
    <w:rsid w:val="4DB320D6"/>
    <w:rsid w:val="4DB76130"/>
    <w:rsid w:val="4DB90697"/>
    <w:rsid w:val="4DC2559E"/>
    <w:rsid w:val="4DD67651"/>
    <w:rsid w:val="4DD958BA"/>
    <w:rsid w:val="4DEB108B"/>
    <w:rsid w:val="4DEB3918"/>
    <w:rsid w:val="4DEF4911"/>
    <w:rsid w:val="4E027A0A"/>
    <w:rsid w:val="4E192EE4"/>
    <w:rsid w:val="4E267A1C"/>
    <w:rsid w:val="4E2D2E33"/>
    <w:rsid w:val="4E616639"/>
    <w:rsid w:val="4E617E2B"/>
    <w:rsid w:val="4E646E31"/>
    <w:rsid w:val="4E74636C"/>
    <w:rsid w:val="4E86609F"/>
    <w:rsid w:val="4E962786"/>
    <w:rsid w:val="4EA9414C"/>
    <w:rsid w:val="4EC779CB"/>
    <w:rsid w:val="4ECD3CCE"/>
    <w:rsid w:val="4EE31744"/>
    <w:rsid w:val="4EE87ACC"/>
    <w:rsid w:val="4EEE4370"/>
    <w:rsid w:val="4EEF1E97"/>
    <w:rsid w:val="4EFE47D1"/>
    <w:rsid w:val="4F021BCA"/>
    <w:rsid w:val="4F111595"/>
    <w:rsid w:val="4F122A8C"/>
    <w:rsid w:val="4F244236"/>
    <w:rsid w:val="4F336227"/>
    <w:rsid w:val="4F642884"/>
    <w:rsid w:val="4F663B47"/>
    <w:rsid w:val="4F802EB1"/>
    <w:rsid w:val="4FDA48F5"/>
    <w:rsid w:val="4FF63749"/>
    <w:rsid w:val="4FF736F9"/>
    <w:rsid w:val="50102AE1"/>
    <w:rsid w:val="50194D53"/>
    <w:rsid w:val="5043249A"/>
    <w:rsid w:val="50605398"/>
    <w:rsid w:val="507408A5"/>
    <w:rsid w:val="507F0A3C"/>
    <w:rsid w:val="50832EE6"/>
    <w:rsid w:val="508A67B9"/>
    <w:rsid w:val="50C11611"/>
    <w:rsid w:val="50FC72E6"/>
    <w:rsid w:val="512A23E5"/>
    <w:rsid w:val="51654692"/>
    <w:rsid w:val="51874608"/>
    <w:rsid w:val="518B6028"/>
    <w:rsid w:val="51D14ACF"/>
    <w:rsid w:val="51D8617C"/>
    <w:rsid w:val="51E073BF"/>
    <w:rsid w:val="51E1640E"/>
    <w:rsid w:val="51E25299"/>
    <w:rsid w:val="51FA638D"/>
    <w:rsid w:val="5200056D"/>
    <w:rsid w:val="52181704"/>
    <w:rsid w:val="521827F2"/>
    <w:rsid w:val="52320A18"/>
    <w:rsid w:val="52344CED"/>
    <w:rsid w:val="5237602E"/>
    <w:rsid w:val="52392F23"/>
    <w:rsid w:val="523C53F3"/>
    <w:rsid w:val="525A17EE"/>
    <w:rsid w:val="525A3919"/>
    <w:rsid w:val="526130AB"/>
    <w:rsid w:val="52741030"/>
    <w:rsid w:val="527E5A0B"/>
    <w:rsid w:val="52923265"/>
    <w:rsid w:val="529F2249"/>
    <w:rsid w:val="52B551A5"/>
    <w:rsid w:val="52C068BC"/>
    <w:rsid w:val="52D3458B"/>
    <w:rsid w:val="52DE0C04"/>
    <w:rsid w:val="52E516B4"/>
    <w:rsid w:val="52ED43B9"/>
    <w:rsid w:val="52F45CCD"/>
    <w:rsid w:val="53043E75"/>
    <w:rsid w:val="53084363"/>
    <w:rsid w:val="533C2F6E"/>
    <w:rsid w:val="533D4D64"/>
    <w:rsid w:val="53476745"/>
    <w:rsid w:val="535B3F9E"/>
    <w:rsid w:val="539179C0"/>
    <w:rsid w:val="53933738"/>
    <w:rsid w:val="53B460FE"/>
    <w:rsid w:val="53BF452D"/>
    <w:rsid w:val="5420737B"/>
    <w:rsid w:val="543A0058"/>
    <w:rsid w:val="543A4956"/>
    <w:rsid w:val="543D444E"/>
    <w:rsid w:val="544E5CE1"/>
    <w:rsid w:val="545A24A8"/>
    <w:rsid w:val="547509DC"/>
    <w:rsid w:val="5496745E"/>
    <w:rsid w:val="54A454D1"/>
    <w:rsid w:val="54A82930"/>
    <w:rsid w:val="54B03E76"/>
    <w:rsid w:val="54DE6C35"/>
    <w:rsid w:val="551E5CEB"/>
    <w:rsid w:val="5521008A"/>
    <w:rsid w:val="553E1687"/>
    <w:rsid w:val="555F6C5D"/>
    <w:rsid w:val="556E58DC"/>
    <w:rsid w:val="55733821"/>
    <w:rsid w:val="55750DBC"/>
    <w:rsid w:val="558772CD"/>
    <w:rsid w:val="558F1CDD"/>
    <w:rsid w:val="55985036"/>
    <w:rsid w:val="55C20305"/>
    <w:rsid w:val="55C73B6D"/>
    <w:rsid w:val="55D94182"/>
    <w:rsid w:val="55DF2C65"/>
    <w:rsid w:val="55E97640"/>
    <w:rsid w:val="55F07786"/>
    <w:rsid w:val="55F33263"/>
    <w:rsid w:val="55FE3948"/>
    <w:rsid w:val="5624780D"/>
    <w:rsid w:val="56290384"/>
    <w:rsid w:val="56551307"/>
    <w:rsid w:val="567E7C5C"/>
    <w:rsid w:val="568D0913"/>
    <w:rsid w:val="56B20706"/>
    <w:rsid w:val="56E46059"/>
    <w:rsid w:val="56EA7B13"/>
    <w:rsid w:val="56F73FDE"/>
    <w:rsid w:val="570F1E19"/>
    <w:rsid w:val="571B5F1F"/>
    <w:rsid w:val="573729B9"/>
    <w:rsid w:val="574A6804"/>
    <w:rsid w:val="576067AB"/>
    <w:rsid w:val="577C3646"/>
    <w:rsid w:val="57827F81"/>
    <w:rsid w:val="579730CB"/>
    <w:rsid w:val="57AB6AD5"/>
    <w:rsid w:val="57AC4DC9"/>
    <w:rsid w:val="57C32112"/>
    <w:rsid w:val="57D91936"/>
    <w:rsid w:val="57D936E4"/>
    <w:rsid w:val="57DF13E7"/>
    <w:rsid w:val="57E13CEA"/>
    <w:rsid w:val="58211104"/>
    <w:rsid w:val="585A4825"/>
    <w:rsid w:val="586A4374"/>
    <w:rsid w:val="587D7E5A"/>
    <w:rsid w:val="58B57CAD"/>
    <w:rsid w:val="58B80512"/>
    <w:rsid w:val="58D04CC8"/>
    <w:rsid w:val="58D77C23"/>
    <w:rsid w:val="58EF1411"/>
    <w:rsid w:val="58F419FA"/>
    <w:rsid w:val="590B1FC3"/>
    <w:rsid w:val="592F7A5F"/>
    <w:rsid w:val="594340A3"/>
    <w:rsid w:val="594F3C5E"/>
    <w:rsid w:val="59725B9E"/>
    <w:rsid w:val="597265D0"/>
    <w:rsid w:val="59A03963"/>
    <w:rsid w:val="59B166C6"/>
    <w:rsid w:val="59BC78A1"/>
    <w:rsid w:val="59DD570D"/>
    <w:rsid w:val="59EE494D"/>
    <w:rsid w:val="5A0A227A"/>
    <w:rsid w:val="5A584D94"/>
    <w:rsid w:val="5A6279C1"/>
    <w:rsid w:val="5A6E2809"/>
    <w:rsid w:val="5A72492F"/>
    <w:rsid w:val="5A9653EC"/>
    <w:rsid w:val="5AA9356E"/>
    <w:rsid w:val="5AAE70AA"/>
    <w:rsid w:val="5AB53F94"/>
    <w:rsid w:val="5AE34FA5"/>
    <w:rsid w:val="5AE66844"/>
    <w:rsid w:val="5B1D63D9"/>
    <w:rsid w:val="5B2D4374"/>
    <w:rsid w:val="5B2E3D47"/>
    <w:rsid w:val="5BA1276A"/>
    <w:rsid w:val="5BA32F4B"/>
    <w:rsid w:val="5BC22E0D"/>
    <w:rsid w:val="5BC40C35"/>
    <w:rsid w:val="5BDC19F5"/>
    <w:rsid w:val="5C007491"/>
    <w:rsid w:val="5C0C052C"/>
    <w:rsid w:val="5C0E3D80"/>
    <w:rsid w:val="5C3754AC"/>
    <w:rsid w:val="5C6A0DAE"/>
    <w:rsid w:val="5C6E6AF1"/>
    <w:rsid w:val="5CB100A4"/>
    <w:rsid w:val="5CC11316"/>
    <w:rsid w:val="5CE943C9"/>
    <w:rsid w:val="5D641CA2"/>
    <w:rsid w:val="5D6F2B20"/>
    <w:rsid w:val="5D79399F"/>
    <w:rsid w:val="5DD21301"/>
    <w:rsid w:val="5DE80ECD"/>
    <w:rsid w:val="5DE828D3"/>
    <w:rsid w:val="5E062D59"/>
    <w:rsid w:val="5E1100D9"/>
    <w:rsid w:val="5E134C8C"/>
    <w:rsid w:val="5E4E54AA"/>
    <w:rsid w:val="5E677C9B"/>
    <w:rsid w:val="5EAA7148"/>
    <w:rsid w:val="5EE353A8"/>
    <w:rsid w:val="5EE906B0"/>
    <w:rsid w:val="5EF01A3F"/>
    <w:rsid w:val="5EFD415C"/>
    <w:rsid w:val="5F164E4A"/>
    <w:rsid w:val="5F180F96"/>
    <w:rsid w:val="5F217E4A"/>
    <w:rsid w:val="5FB4382E"/>
    <w:rsid w:val="60152BED"/>
    <w:rsid w:val="602A1129"/>
    <w:rsid w:val="60397415"/>
    <w:rsid w:val="60885E2E"/>
    <w:rsid w:val="60A01243"/>
    <w:rsid w:val="60A03B80"/>
    <w:rsid w:val="60BA408C"/>
    <w:rsid w:val="60DD2497"/>
    <w:rsid w:val="61363955"/>
    <w:rsid w:val="613A3445"/>
    <w:rsid w:val="613B0F6B"/>
    <w:rsid w:val="615A6C98"/>
    <w:rsid w:val="615C359C"/>
    <w:rsid w:val="615D7326"/>
    <w:rsid w:val="61686204"/>
    <w:rsid w:val="6183303E"/>
    <w:rsid w:val="61B72CE8"/>
    <w:rsid w:val="61BE5E24"/>
    <w:rsid w:val="620D2908"/>
    <w:rsid w:val="6256605D"/>
    <w:rsid w:val="62774225"/>
    <w:rsid w:val="62813D56"/>
    <w:rsid w:val="628A3F58"/>
    <w:rsid w:val="628D3485"/>
    <w:rsid w:val="6299419B"/>
    <w:rsid w:val="62AD76C0"/>
    <w:rsid w:val="62C507C9"/>
    <w:rsid w:val="62D11B87"/>
    <w:rsid w:val="62D1322E"/>
    <w:rsid w:val="62FB30A8"/>
    <w:rsid w:val="63272A98"/>
    <w:rsid w:val="63294227"/>
    <w:rsid w:val="63397CDD"/>
    <w:rsid w:val="63422A85"/>
    <w:rsid w:val="634405AB"/>
    <w:rsid w:val="63460C52"/>
    <w:rsid w:val="63621217"/>
    <w:rsid w:val="636D772A"/>
    <w:rsid w:val="6390559E"/>
    <w:rsid w:val="63B30F2E"/>
    <w:rsid w:val="63B53257"/>
    <w:rsid w:val="63C96D02"/>
    <w:rsid w:val="63E108E3"/>
    <w:rsid w:val="640161A2"/>
    <w:rsid w:val="640518EE"/>
    <w:rsid w:val="640C1C55"/>
    <w:rsid w:val="64557053"/>
    <w:rsid w:val="64754DD6"/>
    <w:rsid w:val="647E0D38"/>
    <w:rsid w:val="648B3FB8"/>
    <w:rsid w:val="64986EFA"/>
    <w:rsid w:val="64A60857"/>
    <w:rsid w:val="64AB2B3B"/>
    <w:rsid w:val="64CF567C"/>
    <w:rsid w:val="64D227E6"/>
    <w:rsid w:val="64DE6447"/>
    <w:rsid w:val="6502023B"/>
    <w:rsid w:val="65041398"/>
    <w:rsid w:val="650A75D2"/>
    <w:rsid w:val="65285AD1"/>
    <w:rsid w:val="653D1756"/>
    <w:rsid w:val="65553201"/>
    <w:rsid w:val="65885901"/>
    <w:rsid w:val="65892305"/>
    <w:rsid w:val="65B31A18"/>
    <w:rsid w:val="65D5198E"/>
    <w:rsid w:val="66293A88"/>
    <w:rsid w:val="663D12E2"/>
    <w:rsid w:val="66A93C9E"/>
    <w:rsid w:val="66B27F22"/>
    <w:rsid w:val="66DC6D4D"/>
    <w:rsid w:val="66E77BCB"/>
    <w:rsid w:val="66F525EC"/>
    <w:rsid w:val="6732696D"/>
    <w:rsid w:val="674E6C15"/>
    <w:rsid w:val="675114E9"/>
    <w:rsid w:val="67670D0C"/>
    <w:rsid w:val="676B4F7B"/>
    <w:rsid w:val="67867202"/>
    <w:rsid w:val="67966EFB"/>
    <w:rsid w:val="67A96C2F"/>
    <w:rsid w:val="67AC671F"/>
    <w:rsid w:val="67AE2497"/>
    <w:rsid w:val="67AF7FBD"/>
    <w:rsid w:val="67C617E9"/>
    <w:rsid w:val="67C63C85"/>
    <w:rsid w:val="67E450CE"/>
    <w:rsid w:val="68300192"/>
    <w:rsid w:val="68330BEE"/>
    <w:rsid w:val="687970D9"/>
    <w:rsid w:val="687F09E7"/>
    <w:rsid w:val="688024F5"/>
    <w:rsid w:val="688356D2"/>
    <w:rsid w:val="6888718C"/>
    <w:rsid w:val="688A4CB2"/>
    <w:rsid w:val="688C44B1"/>
    <w:rsid w:val="68A11FFC"/>
    <w:rsid w:val="68D0468F"/>
    <w:rsid w:val="68DE4FFE"/>
    <w:rsid w:val="68E32614"/>
    <w:rsid w:val="68F13666"/>
    <w:rsid w:val="69230C63"/>
    <w:rsid w:val="69272501"/>
    <w:rsid w:val="693410C2"/>
    <w:rsid w:val="693B7312"/>
    <w:rsid w:val="6949691B"/>
    <w:rsid w:val="695D4175"/>
    <w:rsid w:val="697274F4"/>
    <w:rsid w:val="69765236"/>
    <w:rsid w:val="69787200"/>
    <w:rsid w:val="697F233D"/>
    <w:rsid w:val="69B2159C"/>
    <w:rsid w:val="69BE7BAE"/>
    <w:rsid w:val="69C90AA3"/>
    <w:rsid w:val="69DA57C5"/>
    <w:rsid w:val="69EA378A"/>
    <w:rsid w:val="6A060AF0"/>
    <w:rsid w:val="6A0B4E3E"/>
    <w:rsid w:val="6A30135A"/>
    <w:rsid w:val="6A387B61"/>
    <w:rsid w:val="6A542DAB"/>
    <w:rsid w:val="6A6D39FC"/>
    <w:rsid w:val="6A8B03B8"/>
    <w:rsid w:val="6ABE0C43"/>
    <w:rsid w:val="6ABF0529"/>
    <w:rsid w:val="6AD13784"/>
    <w:rsid w:val="6AEC1C54"/>
    <w:rsid w:val="6B3158B9"/>
    <w:rsid w:val="6B37171D"/>
    <w:rsid w:val="6B3A2BB1"/>
    <w:rsid w:val="6B493A4E"/>
    <w:rsid w:val="6B601CFA"/>
    <w:rsid w:val="6B64759D"/>
    <w:rsid w:val="6B79100E"/>
    <w:rsid w:val="6B7D3DF4"/>
    <w:rsid w:val="6B921E65"/>
    <w:rsid w:val="6BE62F58"/>
    <w:rsid w:val="6BF16DF6"/>
    <w:rsid w:val="6C2E1B6D"/>
    <w:rsid w:val="6C305B70"/>
    <w:rsid w:val="6C3F4006"/>
    <w:rsid w:val="6C4E1180"/>
    <w:rsid w:val="6C4F72C1"/>
    <w:rsid w:val="6C703D9C"/>
    <w:rsid w:val="6C7A503E"/>
    <w:rsid w:val="6C85751F"/>
    <w:rsid w:val="6C946959"/>
    <w:rsid w:val="6CB15FBE"/>
    <w:rsid w:val="6CB9494B"/>
    <w:rsid w:val="6CD1096C"/>
    <w:rsid w:val="6CEB1A97"/>
    <w:rsid w:val="6CEB5639"/>
    <w:rsid w:val="6CF84455"/>
    <w:rsid w:val="6D0140A3"/>
    <w:rsid w:val="6D1B2659"/>
    <w:rsid w:val="6D374CDD"/>
    <w:rsid w:val="6D390A55"/>
    <w:rsid w:val="6D3D4F85"/>
    <w:rsid w:val="6D433955"/>
    <w:rsid w:val="6D4A2C62"/>
    <w:rsid w:val="6D866F37"/>
    <w:rsid w:val="6D9E2FAE"/>
    <w:rsid w:val="6DAD31F1"/>
    <w:rsid w:val="6DD8026E"/>
    <w:rsid w:val="6DDF784E"/>
    <w:rsid w:val="6DEE254B"/>
    <w:rsid w:val="6DF2723B"/>
    <w:rsid w:val="6DFD5F26"/>
    <w:rsid w:val="6E100C6D"/>
    <w:rsid w:val="6E105C5A"/>
    <w:rsid w:val="6E290AC9"/>
    <w:rsid w:val="6E4006B2"/>
    <w:rsid w:val="6E427DDD"/>
    <w:rsid w:val="6E4678CD"/>
    <w:rsid w:val="6E5A5127"/>
    <w:rsid w:val="6E5F4919"/>
    <w:rsid w:val="6E62222D"/>
    <w:rsid w:val="6E6F7FAE"/>
    <w:rsid w:val="6E873A42"/>
    <w:rsid w:val="6E8F4FD4"/>
    <w:rsid w:val="6E9D4ECA"/>
    <w:rsid w:val="6EB83BFB"/>
    <w:rsid w:val="6F1060F6"/>
    <w:rsid w:val="6F2319BD"/>
    <w:rsid w:val="6F321E6A"/>
    <w:rsid w:val="6F5161E8"/>
    <w:rsid w:val="6F541B76"/>
    <w:rsid w:val="6F76389B"/>
    <w:rsid w:val="6F7E1B58"/>
    <w:rsid w:val="6F8B7B20"/>
    <w:rsid w:val="6FA65496"/>
    <w:rsid w:val="6FAE548E"/>
    <w:rsid w:val="6FC0720B"/>
    <w:rsid w:val="6FC47D49"/>
    <w:rsid w:val="6FE0165C"/>
    <w:rsid w:val="6FE74798"/>
    <w:rsid w:val="6FF2313D"/>
    <w:rsid w:val="705F1D4E"/>
    <w:rsid w:val="70633D9B"/>
    <w:rsid w:val="706A0C87"/>
    <w:rsid w:val="7072466B"/>
    <w:rsid w:val="708741CD"/>
    <w:rsid w:val="709A7A5C"/>
    <w:rsid w:val="70A95EF1"/>
    <w:rsid w:val="70B76860"/>
    <w:rsid w:val="70C66AA3"/>
    <w:rsid w:val="70CE7706"/>
    <w:rsid w:val="70E20D20"/>
    <w:rsid w:val="70F16E84"/>
    <w:rsid w:val="70F9549B"/>
    <w:rsid w:val="70FA04FB"/>
    <w:rsid w:val="710E3FA6"/>
    <w:rsid w:val="713A2FED"/>
    <w:rsid w:val="713C0B14"/>
    <w:rsid w:val="714A49EB"/>
    <w:rsid w:val="716B13F9"/>
    <w:rsid w:val="716C2EFB"/>
    <w:rsid w:val="71765B16"/>
    <w:rsid w:val="71894E49"/>
    <w:rsid w:val="71D71745"/>
    <w:rsid w:val="71E3257D"/>
    <w:rsid w:val="71F132D8"/>
    <w:rsid w:val="72086C48"/>
    <w:rsid w:val="724203AC"/>
    <w:rsid w:val="725026E2"/>
    <w:rsid w:val="725325B9"/>
    <w:rsid w:val="725351DA"/>
    <w:rsid w:val="726D6A77"/>
    <w:rsid w:val="727A15DA"/>
    <w:rsid w:val="72987FCC"/>
    <w:rsid w:val="72AE77EF"/>
    <w:rsid w:val="72B34E05"/>
    <w:rsid w:val="72D54D7C"/>
    <w:rsid w:val="72E41463"/>
    <w:rsid w:val="72EA7879"/>
    <w:rsid w:val="73014D0C"/>
    <w:rsid w:val="7309711B"/>
    <w:rsid w:val="730F43F8"/>
    <w:rsid w:val="731628F2"/>
    <w:rsid w:val="731A6C33"/>
    <w:rsid w:val="73236ADA"/>
    <w:rsid w:val="7329156C"/>
    <w:rsid w:val="7343262D"/>
    <w:rsid w:val="7346093C"/>
    <w:rsid w:val="73490DFC"/>
    <w:rsid w:val="736E34EB"/>
    <w:rsid w:val="73B9469D"/>
    <w:rsid w:val="73DD1399"/>
    <w:rsid w:val="73EE0CA0"/>
    <w:rsid w:val="74126433"/>
    <w:rsid w:val="74185FD6"/>
    <w:rsid w:val="74356371"/>
    <w:rsid w:val="74485A21"/>
    <w:rsid w:val="744D3038"/>
    <w:rsid w:val="74512B28"/>
    <w:rsid w:val="745D11FC"/>
    <w:rsid w:val="7487654A"/>
    <w:rsid w:val="74885923"/>
    <w:rsid w:val="74D66009"/>
    <w:rsid w:val="74F0120D"/>
    <w:rsid w:val="75002BA2"/>
    <w:rsid w:val="75071439"/>
    <w:rsid w:val="752244C4"/>
    <w:rsid w:val="754937FF"/>
    <w:rsid w:val="754D4970"/>
    <w:rsid w:val="75623F7A"/>
    <w:rsid w:val="757203DB"/>
    <w:rsid w:val="75750A98"/>
    <w:rsid w:val="757D05AD"/>
    <w:rsid w:val="75862CA5"/>
    <w:rsid w:val="75B871F4"/>
    <w:rsid w:val="75E654F2"/>
    <w:rsid w:val="75FA49E1"/>
    <w:rsid w:val="76092CCA"/>
    <w:rsid w:val="76257DC8"/>
    <w:rsid w:val="763837E6"/>
    <w:rsid w:val="76426A32"/>
    <w:rsid w:val="768A40CF"/>
    <w:rsid w:val="76EA0007"/>
    <w:rsid w:val="770420D4"/>
    <w:rsid w:val="7706409E"/>
    <w:rsid w:val="77130569"/>
    <w:rsid w:val="771542E1"/>
    <w:rsid w:val="771A5453"/>
    <w:rsid w:val="773A0865"/>
    <w:rsid w:val="77784870"/>
    <w:rsid w:val="77876861"/>
    <w:rsid w:val="778F614C"/>
    <w:rsid w:val="779571D0"/>
    <w:rsid w:val="77B358A8"/>
    <w:rsid w:val="77C80DE4"/>
    <w:rsid w:val="77C83101"/>
    <w:rsid w:val="77C96E79"/>
    <w:rsid w:val="77DE46D3"/>
    <w:rsid w:val="77E13BA0"/>
    <w:rsid w:val="77E43CB3"/>
    <w:rsid w:val="77FC724F"/>
    <w:rsid w:val="78111AD0"/>
    <w:rsid w:val="782144B5"/>
    <w:rsid w:val="783B1B25"/>
    <w:rsid w:val="7871571C"/>
    <w:rsid w:val="78B33397"/>
    <w:rsid w:val="78BF0CEF"/>
    <w:rsid w:val="78D262BA"/>
    <w:rsid w:val="78EA76EE"/>
    <w:rsid w:val="78EC2E1F"/>
    <w:rsid w:val="78FE2050"/>
    <w:rsid w:val="791A42A8"/>
    <w:rsid w:val="79377C96"/>
    <w:rsid w:val="7955517B"/>
    <w:rsid w:val="795A0150"/>
    <w:rsid w:val="7963523D"/>
    <w:rsid w:val="79664F44"/>
    <w:rsid w:val="797D43BF"/>
    <w:rsid w:val="797D616D"/>
    <w:rsid w:val="797F3C93"/>
    <w:rsid w:val="79AB4A88"/>
    <w:rsid w:val="79B871A5"/>
    <w:rsid w:val="79CD432C"/>
    <w:rsid w:val="79FA5A10"/>
    <w:rsid w:val="7A067F11"/>
    <w:rsid w:val="7A1A0F94"/>
    <w:rsid w:val="7A1B1294"/>
    <w:rsid w:val="7A1C7878"/>
    <w:rsid w:val="7A2111EE"/>
    <w:rsid w:val="7A2544C3"/>
    <w:rsid w:val="7A37631C"/>
    <w:rsid w:val="7A401675"/>
    <w:rsid w:val="7A5D5924"/>
    <w:rsid w:val="7A603412"/>
    <w:rsid w:val="7A955AA3"/>
    <w:rsid w:val="7AB17498"/>
    <w:rsid w:val="7AB20E73"/>
    <w:rsid w:val="7AE069B4"/>
    <w:rsid w:val="7AEB57A3"/>
    <w:rsid w:val="7AF70927"/>
    <w:rsid w:val="7AFE32DE"/>
    <w:rsid w:val="7B022DCE"/>
    <w:rsid w:val="7B4231CA"/>
    <w:rsid w:val="7B5B7588"/>
    <w:rsid w:val="7B62481E"/>
    <w:rsid w:val="7B971942"/>
    <w:rsid w:val="7B9E3DFA"/>
    <w:rsid w:val="7BB63A0E"/>
    <w:rsid w:val="7BC02341"/>
    <w:rsid w:val="7BE95D3C"/>
    <w:rsid w:val="7C036657"/>
    <w:rsid w:val="7C137C33"/>
    <w:rsid w:val="7C142DB9"/>
    <w:rsid w:val="7C1F2ED6"/>
    <w:rsid w:val="7C2E19A1"/>
    <w:rsid w:val="7C501917"/>
    <w:rsid w:val="7C51472B"/>
    <w:rsid w:val="7C5E5EE7"/>
    <w:rsid w:val="7C694787"/>
    <w:rsid w:val="7C7C270C"/>
    <w:rsid w:val="7C857813"/>
    <w:rsid w:val="7CBE4AD3"/>
    <w:rsid w:val="7CC9189C"/>
    <w:rsid w:val="7CCF4F32"/>
    <w:rsid w:val="7CDC31AB"/>
    <w:rsid w:val="7CEC3BB1"/>
    <w:rsid w:val="7CF24A77"/>
    <w:rsid w:val="7CF60710"/>
    <w:rsid w:val="7CFD1929"/>
    <w:rsid w:val="7D3B25C7"/>
    <w:rsid w:val="7D7F551F"/>
    <w:rsid w:val="7D937D1A"/>
    <w:rsid w:val="7D9B4867"/>
    <w:rsid w:val="7DA22646"/>
    <w:rsid w:val="7DC3365B"/>
    <w:rsid w:val="7E2748F9"/>
    <w:rsid w:val="7E2F3AA9"/>
    <w:rsid w:val="7E325778"/>
    <w:rsid w:val="7E4F2B52"/>
    <w:rsid w:val="7E68119A"/>
    <w:rsid w:val="7E6E5448"/>
    <w:rsid w:val="7E70110E"/>
    <w:rsid w:val="7EA67F14"/>
    <w:rsid w:val="7EDE145C"/>
    <w:rsid w:val="7EE95E2E"/>
    <w:rsid w:val="7EEA1BAF"/>
    <w:rsid w:val="7EF944E8"/>
    <w:rsid w:val="7F231565"/>
    <w:rsid w:val="7F403D11"/>
    <w:rsid w:val="7F631961"/>
    <w:rsid w:val="7F6A2CF0"/>
    <w:rsid w:val="7F842003"/>
    <w:rsid w:val="7F8F1730"/>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1"/>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2"/>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next w:val="8"/>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正文缩进1"/>
    <w:basedOn w:val="1"/>
    <w:qFormat/>
    <w:uiPriority w:val="0"/>
    <w:pPr>
      <w:widowControl/>
      <w:spacing w:line="360" w:lineRule="auto"/>
      <w:ind w:firstLine="420"/>
      <w:jc w:val="left"/>
    </w:pPr>
    <w:rPr>
      <w:rFonts w:hAnsi="Times New Roman"/>
      <w:kern w:val="0"/>
      <w:sz w:val="20"/>
    </w:rPr>
  </w:style>
  <w:style w:type="paragraph" w:customStyle="1" w:styleId="32">
    <w:name w:val="样式 宋体 行距: 1.5 倍行距"/>
    <w:basedOn w:val="33"/>
    <w:next w:val="1"/>
    <w:qFormat/>
    <w:uiPriority w:val="0"/>
    <w:pPr>
      <w:jc w:val="center"/>
    </w:pPr>
    <w:rPr>
      <w:rFonts w:ascii="Times New Roman" w:hAnsi="Times New Roman" w:cs="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标题 1 New"/>
    <w:basedOn w:val="38"/>
    <w:next w:val="38"/>
    <w:qFormat/>
    <w:uiPriority w:val="0"/>
    <w:pPr>
      <w:autoSpaceDE w:val="0"/>
      <w:autoSpaceDN w:val="0"/>
      <w:adjustRightInd w:val="0"/>
      <w:jc w:val="left"/>
      <w:outlineLvl w:val="0"/>
    </w:pPr>
    <w:rPr>
      <w:kern w:val="0"/>
      <w:sz w:val="30"/>
    </w:rPr>
  </w:style>
  <w:style w:type="paragraph" w:customStyle="1" w:styleId="40">
    <w:name w:val="标题 2 New New"/>
    <w:basedOn w:val="38"/>
    <w:next w:val="38"/>
    <w:qFormat/>
    <w:uiPriority w:val="0"/>
    <w:pPr>
      <w:autoSpaceDE w:val="0"/>
      <w:autoSpaceDN w:val="0"/>
      <w:adjustRightInd w:val="0"/>
      <w:jc w:val="left"/>
      <w:outlineLvl w:val="1"/>
    </w:pPr>
    <w:rPr>
      <w:kern w:val="0"/>
    </w:rPr>
  </w:style>
  <w:style w:type="paragraph" w:customStyle="1" w:styleId="4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 Indent1"/>
    <w:basedOn w:val="1"/>
    <w:qFormat/>
    <w:uiPriority w:val="0"/>
    <w:pPr>
      <w:widowControl/>
      <w:spacing w:line="360" w:lineRule="auto"/>
      <w:ind w:firstLine="420"/>
      <w:jc w:val="left"/>
    </w:pPr>
    <w:rPr>
      <w:rFonts w:hAnsi="Times New Roman"/>
      <w:kern w:val="0"/>
      <w:sz w:val="20"/>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8"/>
    <w:qFormat/>
    <w:uiPriority w:val="0"/>
    <w:pPr>
      <w:ind w:firstLine="560" w:firstLineChars="200"/>
    </w:pPr>
  </w:style>
  <w:style w:type="paragraph" w:customStyle="1" w:styleId="46">
    <w:name w:val="正文文本缩进 3 New"/>
    <w:basedOn w:val="38"/>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5"/>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8"/>
    <w:next w:val="38"/>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8"/>
    <w:qFormat/>
    <w:uiPriority w:val="0"/>
    <w:pPr>
      <w:widowControl/>
      <w:tabs>
        <w:tab w:val="center" w:pos="4153"/>
        <w:tab w:val="right" w:pos="8306"/>
      </w:tabs>
      <w:snapToGrid w:val="0"/>
      <w:jc w:val="left"/>
    </w:pPr>
    <w:rPr>
      <w:kern w:val="0"/>
      <w:sz w:val="18"/>
    </w:rPr>
  </w:style>
  <w:style w:type="character" w:customStyle="1" w:styleId="72">
    <w:name w:val="批注框文本 Char"/>
    <w:basedOn w:val="23"/>
    <w:link w:val="12"/>
    <w:qFormat/>
    <w:uiPriority w:val="0"/>
    <w:rPr>
      <w:rFonts w:ascii="宋体" w:hAnsi="等线" w:eastAsia="等线" w:cs="Times New Roman"/>
      <w:kern w:val="2"/>
      <w:sz w:val="18"/>
      <w:szCs w:val="18"/>
    </w:rPr>
  </w:style>
  <w:style w:type="character" w:customStyle="1" w:styleId="73">
    <w:name w:val="hover21"/>
    <w:basedOn w:val="23"/>
    <w:qFormat/>
    <w:uiPriority w:val="0"/>
    <w:rPr>
      <w:color w:val="5FB878"/>
    </w:rPr>
  </w:style>
  <w:style w:type="character" w:customStyle="1" w:styleId="74">
    <w:name w:val="hover22"/>
    <w:basedOn w:val="23"/>
    <w:qFormat/>
    <w:uiPriority w:val="0"/>
    <w:rPr>
      <w:color w:val="5FB878"/>
    </w:rPr>
  </w:style>
  <w:style w:type="character" w:customStyle="1" w:styleId="75">
    <w:name w:val="hover23"/>
    <w:basedOn w:val="23"/>
    <w:qFormat/>
    <w:uiPriority w:val="0"/>
    <w:rPr>
      <w:color w:val="FFFFFF"/>
    </w:rPr>
  </w:style>
  <w:style w:type="paragraph" w:customStyle="1" w:styleId="76">
    <w:name w:val="正文1"/>
    <w:basedOn w:val="1"/>
    <w:qFormat/>
    <w:uiPriority w:val="0"/>
    <w:rPr>
      <w:rFonts w:hAnsi="Times New Roman"/>
    </w:rPr>
  </w:style>
  <w:style w:type="paragraph" w:customStyle="1" w:styleId="7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9">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80">
    <w:name w:val="UserStyle_76"/>
    <w:qFormat/>
    <w:uiPriority w:val="99"/>
    <w:pPr>
      <w:spacing w:line="360" w:lineRule="auto"/>
      <w:ind w:firstLine="420"/>
      <w:jc w:val="left"/>
      <w:textAlignment w:val="baseline"/>
    </w:pPr>
    <w:rPr>
      <w:rFonts w:ascii="宋体" w:hAnsi="Times New Roman" w:eastAsia="宋体" w:cs="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115</Pages>
  <Words>10246</Words>
  <Characters>11114</Characters>
  <Lines>731</Lines>
  <Paragraphs>205</Paragraphs>
  <TotalTime>0</TotalTime>
  <ScaleCrop>false</ScaleCrop>
  <LinksUpToDate>false</LinksUpToDate>
  <CharactersWithSpaces>11291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琼楼笑望</cp:lastModifiedBy>
  <cp:lastPrinted>2026-03-13T08:15:00Z</cp:lastPrinted>
  <dcterms:modified xsi:type="dcterms:W3CDTF">2026-03-23T08:13:47Z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D0C086A7EFC541119539D3D74C4C029C_13</vt:lpwstr>
  </property>
  <property fmtid="{D5CDD505-2E9C-101B-9397-08002B2CF9AE}" pid="4" name="KSOTemplateDocerSaveRecord">
    <vt:lpwstr>eyJoZGlkIjoiZjEzYmU1ZTE0Zjk1ZWQ4NDkyMjZkYjBhMDJjZGY3ZjgiLCJ1c2VySWQiOiI1NTkzMzQ0ODMifQ==</vt:lpwstr>
  </property>
</Properties>
</file>