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FF0000"/>
          <w:sz w:val="48"/>
          <w:szCs w:val="48"/>
        </w:rPr>
      </w:pPr>
    </w:p>
    <w:p>
      <w:pPr>
        <w:jc w:val="center"/>
        <w:rPr>
          <w:rFonts w:ascii="黑体" w:eastAsia="黑体"/>
          <w:b/>
          <w:sz w:val="48"/>
          <w:szCs w:val="48"/>
        </w:rPr>
      </w:pPr>
    </w:p>
    <w:p>
      <w:pPr>
        <w:jc w:val="center"/>
        <w:rPr>
          <w:rFonts w:ascii="黑体" w:eastAsia="黑体"/>
          <w:b/>
          <w:sz w:val="48"/>
          <w:szCs w:val="48"/>
        </w:rPr>
      </w:pPr>
      <w:r>
        <w:rPr>
          <w:rFonts w:hint="eastAsia" w:ascii="黑体" w:eastAsia="黑体"/>
          <w:b/>
          <w:sz w:val="48"/>
          <w:szCs w:val="48"/>
        </w:rPr>
        <w:t>韶关市公共资源交易一体化平台</w:t>
      </w:r>
    </w:p>
    <w:p>
      <w:pPr>
        <w:jc w:val="center"/>
        <w:rPr>
          <w:rFonts w:ascii="黑体" w:eastAsia="黑体"/>
          <w:b/>
          <w:sz w:val="48"/>
          <w:szCs w:val="48"/>
        </w:rPr>
      </w:pPr>
      <w:r>
        <w:rPr>
          <w:rFonts w:hint="eastAsia" w:ascii="黑体" w:eastAsia="黑体"/>
          <w:b/>
          <w:sz w:val="48"/>
          <w:szCs w:val="48"/>
          <w:lang w:val="en-US" w:eastAsia="zh-CN"/>
        </w:rPr>
        <w:t>产权招标</w:t>
      </w:r>
      <w:r>
        <w:rPr>
          <w:rFonts w:hint="eastAsia" w:ascii="黑体" w:eastAsia="黑体"/>
          <w:b/>
          <w:sz w:val="48"/>
          <w:szCs w:val="48"/>
        </w:rPr>
        <w:t>交易</w:t>
      </w:r>
    </w:p>
    <w:p>
      <w:pPr>
        <w:jc w:val="center"/>
        <w:rPr>
          <w:rFonts w:ascii="黑体" w:eastAsia="黑体"/>
          <w:b/>
          <w:sz w:val="48"/>
          <w:szCs w:val="48"/>
        </w:rPr>
      </w:pPr>
      <w:r>
        <w:rPr>
          <w:rFonts w:hint="eastAsia" w:ascii="黑体" w:eastAsia="黑体"/>
          <w:b/>
          <w:sz w:val="48"/>
          <w:szCs w:val="48"/>
        </w:rPr>
        <w:t>（投标</w:t>
      </w:r>
      <w:r>
        <w:rPr>
          <w:rFonts w:hint="eastAsia" w:ascii="黑体" w:eastAsia="黑体"/>
          <w:b/>
          <w:sz w:val="48"/>
          <w:szCs w:val="48"/>
          <w:lang w:val="en-US" w:eastAsia="zh-CN"/>
        </w:rPr>
        <w:t>企业</w:t>
      </w:r>
      <w:r>
        <w:rPr>
          <w:rFonts w:hint="eastAsia" w:ascii="黑体" w:eastAsia="黑体"/>
          <w:b/>
          <w:sz w:val="48"/>
          <w:szCs w:val="48"/>
        </w:rPr>
        <w:t>）</w:t>
      </w:r>
    </w:p>
    <w:p>
      <w:pPr>
        <w:spacing w:before="1440"/>
        <w:jc w:val="center"/>
        <w:rPr>
          <w:rFonts w:ascii="黑体" w:hAnsi="宋体" w:eastAsia="黑体"/>
          <w:b/>
          <w:sz w:val="52"/>
          <w:szCs w:val="52"/>
        </w:rPr>
      </w:pPr>
      <w:r>
        <w:rPr>
          <w:rFonts w:hint="eastAsia" w:ascii="黑体" w:hAnsi="宋体" w:eastAsia="黑体"/>
          <w:b/>
          <w:sz w:val="52"/>
          <w:szCs w:val="52"/>
        </w:rPr>
        <w:t>用</w:t>
      </w:r>
    </w:p>
    <w:p>
      <w:pPr>
        <w:spacing w:before="360" w:after="312" w:afterLines="100"/>
        <w:jc w:val="center"/>
        <w:rPr>
          <w:rFonts w:ascii="黑体" w:hAnsi="宋体" w:eastAsia="黑体"/>
          <w:b/>
          <w:sz w:val="52"/>
          <w:szCs w:val="52"/>
        </w:rPr>
      </w:pPr>
      <w:r>
        <w:rPr>
          <w:rFonts w:hint="eastAsia" w:ascii="黑体" w:hAnsi="宋体" w:eastAsia="黑体"/>
          <w:b/>
          <w:sz w:val="52"/>
          <w:szCs w:val="52"/>
        </w:rPr>
        <w:t>户</w:t>
      </w:r>
    </w:p>
    <w:p>
      <w:pPr>
        <w:spacing w:before="360" w:after="312" w:afterLines="100"/>
        <w:jc w:val="center"/>
        <w:rPr>
          <w:rFonts w:ascii="黑体" w:hAnsi="宋体" w:eastAsia="黑体"/>
          <w:b/>
          <w:sz w:val="52"/>
          <w:szCs w:val="52"/>
        </w:rPr>
      </w:pPr>
      <w:r>
        <w:rPr>
          <w:rFonts w:hint="eastAsia" w:ascii="黑体" w:hAnsi="宋体" w:eastAsia="黑体"/>
          <w:b/>
          <w:sz w:val="52"/>
          <w:szCs w:val="52"/>
        </w:rPr>
        <w:t>手</w:t>
      </w:r>
    </w:p>
    <w:p>
      <w:pPr>
        <w:spacing w:before="360" w:after="312" w:afterLines="100"/>
        <w:jc w:val="center"/>
        <w:rPr>
          <w:rFonts w:ascii="黑体" w:hAnsi="宋体" w:eastAsia="黑体"/>
          <w:b/>
          <w:sz w:val="52"/>
          <w:szCs w:val="52"/>
        </w:rPr>
      </w:pPr>
      <w:r>
        <w:rPr>
          <w:rFonts w:hint="eastAsia" w:ascii="黑体" w:hAnsi="宋体" w:eastAsia="黑体"/>
          <w:b/>
          <w:sz w:val="52"/>
          <w:szCs w:val="52"/>
        </w:rPr>
        <w:t>册</w:t>
      </w:r>
    </w:p>
    <w:p>
      <w:pPr>
        <w:rPr>
          <w:rFonts w:ascii="黑体" w:hAnsi="宋体" w:eastAsia="黑体"/>
          <w:b/>
          <w:sz w:val="24"/>
        </w:rPr>
      </w:pPr>
    </w:p>
    <w:p>
      <w:pPr>
        <w:rPr>
          <w:rFonts w:ascii="黑体" w:hAnsi="宋体" w:eastAsia="黑体"/>
          <w:b/>
          <w:sz w:val="24"/>
        </w:rPr>
      </w:pPr>
    </w:p>
    <w:p>
      <w:pPr>
        <w:rPr>
          <w:rFonts w:ascii="黑体" w:hAnsi="宋体" w:eastAsia="黑体"/>
          <w:b/>
          <w:sz w:val="24"/>
        </w:rPr>
      </w:pPr>
    </w:p>
    <w:p>
      <w:pPr>
        <w:rPr>
          <w:rFonts w:ascii="黑体" w:hAnsi="宋体" w:eastAsia="黑体"/>
          <w:b/>
          <w:sz w:val="24"/>
        </w:rPr>
      </w:pPr>
    </w:p>
    <w:p>
      <w:pPr>
        <w:jc w:val="center"/>
        <w:rPr>
          <w:rFonts w:eastAsia="黑体"/>
          <w:b/>
          <w:bCs/>
          <w:sz w:val="28"/>
        </w:rPr>
      </w:pPr>
    </w:p>
    <w:p>
      <w:pPr>
        <w:jc w:val="center"/>
        <w:rPr>
          <w:rFonts w:eastAsia="黑体"/>
          <w:b/>
          <w:bCs/>
          <w:sz w:val="28"/>
        </w:rPr>
      </w:pPr>
    </w:p>
    <w:p>
      <w:pPr>
        <w:jc w:val="center"/>
        <w:rPr>
          <w:rFonts w:eastAsia="黑体"/>
          <w:b/>
          <w:bCs/>
          <w:sz w:val="28"/>
        </w:rPr>
        <w:sectPr>
          <w:pgSz w:w="11906" w:h="16838"/>
          <w:pgMar w:top="1440" w:right="1800" w:bottom="1440" w:left="1800" w:header="851" w:footer="992" w:gutter="0"/>
          <w:cols w:space="425" w:num="1"/>
          <w:docGrid w:type="lines" w:linePitch="312" w:charSpace="0"/>
        </w:sectPr>
      </w:pPr>
      <w:r>
        <w:rPr>
          <w:rFonts w:hint="eastAsia" w:eastAsia="黑体"/>
          <w:b/>
          <w:bCs/>
          <w:sz w:val="28"/>
        </w:rPr>
        <w:t>202</w:t>
      </w:r>
      <w:r>
        <w:rPr>
          <w:rFonts w:hint="eastAsia" w:eastAsia="黑体"/>
          <w:b/>
          <w:bCs/>
          <w:sz w:val="28"/>
          <w:lang w:val="en-US" w:eastAsia="zh-CN"/>
        </w:rPr>
        <w:t>5</w:t>
      </w:r>
      <w:r>
        <w:rPr>
          <w:rFonts w:hint="eastAsia" w:eastAsia="黑体"/>
          <w:b/>
          <w:bCs/>
          <w:sz w:val="28"/>
        </w:rPr>
        <w:t>年</w:t>
      </w:r>
      <w:r>
        <w:rPr>
          <w:rFonts w:hint="eastAsia" w:eastAsia="黑体"/>
          <w:b/>
          <w:bCs/>
          <w:sz w:val="28"/>
          <w:lang w:val="en-US" w:eastAsia="zh-CN"/>
        </w:rPr>
        <w:t>2</w:t>
      </w:r>
      <w:r>
        <w:rPr>
          <w:rFonts w:hint="eastAsia" w:eastAsia="黑体"/>
          <w:b/>
          <w:bCs/>
          <w:sz w:val="28"/>
        </w:rPr>
        <w:t>月</w:t>
      </w:r>
    </w:p>
    <w:sdt>
      <w:sdtPr>
        <w:rPr>
          <w:rFonts w:ascii="宋体" w:hAnsi="宋体" w:eastAsia="宋体"/>
          <w:sz w:val="21"/>
        </w:rPr>
        <w:id w:val="147482565"/>
        <w:docPartObj>
          <w:docPartGallery w:val="Table of Contents"/>
          <w:docPartUnique/>
        </w:docPartObj>
      </w:sdtPr>
      <w:sdtEndPr>
        <w:rPr>
          <w:rFonts w:hint="eastAsia" w:ascii="Tahoma" w:hAnsi="Tahoma" w:eastAsia="黑体"/>
          <w:bCs/>
          <w:sz w:val="22"/>
        </w:rPr>
      </w:sdtEndPr>
      <w:sdtContent>
        <w:p>
          <w:pPr>
            <w:spacing w:after="0"/>
            <w:jc w:val="center"/>
          </w:pPr>
          <w:r>
            <w:rPr>
              <w:rFonts w:ascii="宋体" w:hAnsi="宋体" w:eastAsia="宋体"/>
              <w:sz w:val="21"/>
            </w:rPr>
            <w:t>目录</w:t>
          </w:r>
        </w:p>
        <w:p>
          <w:pPr>
            <w:pStyle w:val="18"/>
            <w:tabs>
              <w:tab w:val="right" w:leader="dot" w:pos="8306"/>
            </w:tabs>
          </w:pPr>
          <w:r>
            <w:rPr>
              <w:rFonts w:hint="eastAsia" w:eastAsia="黑体"/>
              <w:b/>
              <w:bCs/>
              <w:sz w:val="28"/>
            </w:rPr>
            <w:fldChar w:fldCharType="begin"/>
          </w:r>
          <w:r>
            <w:rPr>
              <w:rFonts w:hint="eastAsia" w:eastAsia="黑体"/>
              <w:b/>
              <w:bCs/>
              <w:sz w:val="28"/>
            </w:rPr>
            <w:instrText xml:space="preserve">TOC \o "1-3" \h \u </w:instrText>
          </w:r>
          <w:r>
            <w:rPr>
              <w:rFonts w:hint="eastAsia" w:eastAsia="黑体"/>
              <w:b/>
              <w:bCs/>
              <w:sz w:val="28"/>
            </w:rPr>
            <w:fldChar w:fldCharType="separate"/>
          </w:r>
          <w:r>
            <w:rPr>
              <w:rFonts w:hint="eastAsia" w:eastAsia="黑体"/>
              <w:bCs/>
            </w:rPr>
            <w:fldChar w:fldCharType="begin"/>
          </w:r>
          <w:r>
            <w:rPr>
              <w:rFonts w:hint="eastAsia" w:eastAsia="黑体"/>
              <w:bCs/>
            </w:rPr>
            <w:instrText xml:space="preserve"> HYPERLINK \l _Toc11712 </w:instrText>
          </w:r>
          <w:r>
            <w:rPr>
              <w:rFonts w:hint="eastAsia" w:eastAsia="黑体"/>
              <w:bCs/>
            </w:rPr>
            <w:fldChar w:fldCharType="separate"/>
          </w:r>
          <w:r>
            <w:rPr>
              <w:rFonts w:ascii="黑体" w:hAnsi="Calibri" w:eastAsia="黑体" w:cs="Times New Roman"/>
            </w:rPr>
            <w:t xml:space="preserve">1. </w:t>
          </w:r>
          <w:r>
            <w:rPr>
              <w:rFonts w:hint="eastAsia" w:ascii="黑体" w:hAnsi="Calibri" w:eastAsia="黑体" w:cs="Times New Roman"/>
            </w:rPr>
            <w:t>登录</w:t>
          </w:r>
          <w:r>
            <w:tab/>
          </w:r>
          <w:r>
            <w:fldChar w:fldCharType="begin"/>
          </w:r>
          <w:r>
            <w:instrText xml:space="preserve"> PAGEREF _Toc11712 \h </w:instrText>
          </w:r>
          <w:r>
            <w:fldChar w:fldCharType="separate"/>
          </w:r>
          <w:r>
            <w:t>2</w:t>
          </w:r>
          <w:r>
            <w:fldChar w:fldCharType="end"/>
          </w:r>
          <w:r>
            <w:rPr>
              <w:rFonts w:hint="eastAsia" w:eastAsia="黑体"/>
              <w:bCs/>
            </w:rPr>
            <w:fldChar w:fldCharType="end"/>
          </w:r>
        </w:p>
        <w:p>
          <w:pPr>
            <w:pStyle w:val="18"/>
            <w:tabs>
              <w:tab w:val="right" w:leader="dot" w:pos="8306"/>
            </w:tabs>
          </w:pPr>
          <w:r>
            <w:rPr>
              <w:rFonts w:hint="eastAsia" w:eastAsia="黑体"/>
              <w:bCs/>
            </w:rPr>
            <w:fldChar w:fldCharType="begin"/>
          </w:r>
          <w:r>
            <w:rPr>
              <w:rFonts w:hint="eastAsia" w:eastAsia="黑体"/>
              <w:bCs/>
            </w:rPr>
            <w:instrText xml:space="preserve"> HYPERLINK \l _Toc13785 </w:instrText>
          </w:r>
          <w:r>
            <w:rPr>
              <w:rFonts w:hint="eastAsia" w:eastAsia="黑体"/>
              <w:bCs/>
            </w:rPr>
            <w:fldChar w:fldCharType="separate"/>
          </w:r>
          <w:r>
            <w:rPr>
              <w:rFonts w:ascii="黑体" w:hAnsi="Calibri" w:eastAsia="黑体" w:cs="Times New Roman"/>
            </w:rPr>
            <w:t xml:space="preserve">2. </w:t>
          </w:r>
          <w:r>
            <w:rPr>
              <w:rFonts w:hint="eastAsia" w:ascii="黑体" w:hAnsi="Calibri" w:eastAsia="黑体" w:cs="Times New Roman"/>
            </w:rPr>
            <w:t>业务操作说明</w:t>
          </w:r>
          <w:r>
            <w:tab/>
          </w:r>
          <w:r>
            <w:fldChar w:fldCharType="begin"/>
          </w:r>
          <w:r>
            <w:instrText xml:space="preserve"> PAGEREF _Toc13785 \h </w:instrText>
          </w:r>
          <w:r>
            <w:fldChar w:fldCharType="separate"/>
          </w:r>
          <w:r>
            <w:t>4</w:t>
          </w:r>
          <w:r>
            <w:fldChar w:fldCharType="end"/>
          </w:r>
          <w:r>
            <w:rPr>
              <w:rFonts w:hint="eastAsia" w:eastAsia="黑体"/>
              <w:bCs/>
            </w:rPr>
            <w:fldChar w:fldCharType="end"/>
          </w:r>
        </w:p>
        <w:p>
          <w:pPr>
            <w:pStyle w:val="19"/>
            <w:tabs>
              <w:tab w:val="right" w:leader="dot" w:pos="8306"/>
            </w:tabs>
          </w:pPr>
          <w:r>
            <w:rPr>
              <w:rFonts w:hint="eastAsia" w:eastAsia="黑体"/>
              <w:bCs/>
            </w:rPr>
            <w:fldChar w:fldCharType="begin"/>
          </w:r>
          <w:r>
            <w:rPr>
              <w:rFonts w:hint="eastAsia" w:eastAsia="黑体"/>
              <w:bCs/>
            </w:rPr>
            <w:instrText xml:space="preserve"> HYPERLINK \l _Toc16838 </w:instrText>
          </w:r>
          <w:r>
            <w:rPr>
              <w:rFonts w:hint="eastAsia" w:eastAsia="黑体"/>
              <w:bCs/>
            </w:rPr>
            <w:fldChar w:fldCharType="separate"/>
          </w:r>
          <w:r>
            <w:rPr>
              <w:rFonts w:hint="default" w:ascii="宋体" w:hAnsi="宋体" w:eastAsia="宋体" w:cs="宋体"/>
            </w:rPr>
            <w:t xml:space="preserve">2.1. </w:t>
          </w:r>
          <w:r>
            <w:rPr>
              <w:rFonts w:hint="eastAsia"/>
              <w:lang w:val="en-US" w:eastAsia="zh-CN"/>
            </w:rPr>
            <w:t>企业入库</w:t>
          </w:r>
          <w:r>
            <w:tab/>
          </w:r>
          <w:r>
            <w:fldChar w:fldCharType="begin"/>
          </w:r>
          <w:r>
            <w:instrText xml:space="preserve"> PAGEREF _Toc16838 \h </w:instrText>
          </w:r>
          <w:r>
            <w:fldChar w:fldCharType="separate"/>
          </w:r>
          <w:r>
            <w:t>4</w:t>
          </w:r>
          <w:r>
            <w:fldChar w:fldCharType="end"/>
          </w:r>
          <w:r>
            <w:rPr>
              <w:rFonts w:hint="eastAsia" w:eastAsia="黑体"/>
              <w:bCs/>
            </w:rPr>
            <w:fldChar w:fldCharType="end"/>
          </w:r>
        </w:p>
        <w:p>
          <w:pPr>
            <w:pStyle w:val="13"/>
            <w:tabs>
              <w:tab w:val="right" w:leader="dot" w:pos="8306"/>
            </w:tabs>
          </w:pPr>
          <w:r>
            <w:rPr>
              <w:rFonts w:hint="eastAsia" w:eastAsia="黑体"/>
              <w:bCs/>
            </w:rPr>
            <w:fldChar w:fldCharType="begin"/>
          </w:r>
          <w:r>
            <w:rPr>
              <w:rFonts w:hint="eastAsia" w:eastAsia="黑体"/>
              <w:bCs/>
            </w:rPr>
            <w:instrText xml:space="preserve"> HYPERLINK \l _Toc21828 </w:instrText>
          </w:r>
          <w:r>
            <w:rPr>
              <w:rFonts w:hint="eastAsia" w:eastAsia="黑体"/>
              <w:bCs/>
            </w:rPr>
            <w:fldChar w:fldCharType="separate"/>
          </w:r>
          <w:r>
            <w:rPr>
              <w:rFonts w:hint="default"/>
            </w:rPr>
            <w:t xml:space="preserve">2.1.1. </w:t>
          </w:r>
          <w:r>
            <w:rPr>
              <w:rFonts w:hint="eastAsia"/>
              <w:lang w:val="en-US" w:eastAsia="zh-CN"/>
            </w:rPr>
            <w:t>企业注册</w:t>
          </w:r>
          <w:r>
            <w:tab/>
          </w:r>
          <w:r>
            <w:fldChar w:fldCharType="begin"/>
          </w:r>
          <w:r>
            <w:instrText xml:space="preserve"> PAGEREF _Toc21828 \h </w:instrText>
          </w:r>
          <w:r>
            <w:fldChar w:fldCharType="separate"/>
          </w:r>
          <w:r>
            <w:t>4</w:t>
          </w:r>
          <w:r>
            <w:fldChar w:fldCharType="end"/>
          </w:r>
          <w:r>
            <w:rPr>
              <w:rFonts w:hint="eastAsia" w:eastAsia="黑体"/>
              <w:bCs/>
            </w:rPr>
            <w:fldChar w:fldCharType="end"/>
          </w:r>
        </w:p>
        <w:p>
          <w:pPr>
            <w:pStyle w:val="13"/>
            <w:tabs>
              <w:tab w:val="right" w:leader="dot" w:pos="8306"/>
            </w:tabs>
          </w:pPr>
          <w:r>
            <w:rPr>
              <w:rFonts w:hint="eastAsia" w:eastAsia="黑体"/>
              <w:bCs/>
            </w:rPr>
            <w:fldChar w:fldCharType="begin"/>
          </w:r>
          <w:r>
            <w:rPr>
              <w:rFonts w:hint="eastAsia" w:eastAsia="黑体"/>
              <w:bCs/>
            </w:rPr>
            <w:instrText xml:space="preserve"> HYPERLINK \l _Toc18724 </w:instrText>
          </w:r>
          <w:r>
            <w:rPr>
              <w:rFonts w:hint="eastAsia" w:eastAsia="黑体"/>
              <w:bCs/>
            </w:rPr>
            <w:fldChar w:fldCharType="separate"/>
          </w:r>
          <w:r>
            <w:rPr>
              <w:rFonts w:hint="default"/>
            </w:rPr>
            <w:t xml:space="preserve">2.1.2. </w:t>
          </w:r>
          <w:r>
            <w:rPr>
              <w:rFonts w:hint="eastAsia"/>
              <w:lang w:val="en-US" w:eastAsia="zh-CN"/>
            </w:rPr>
            <w:t>企业资料完善入库</w:t>
          </w:r>
          <w:r>
            <w:tab/>
          </w:r>
          <w:r>
            <w:fldChar w:fldCharType="begin"/>
          </w:r>
          <w:r>
            <w:instrText xml:space="preserve"> PAGEREF _Toc18724 \h </w:instrText>
          </w:r>
          <w:r>
            <w:fldChar w:fldCharType="separate"/>
          </w:r>
          <w:r>
            <w:t>5</w:t>
          </w:r>
          <w:r>
            <w:fldChar w:fldCharType="end"/>
          </w:r>
          <w:r>
            <w:rPr>
              <w:rFonts w:hint="eastAsia" w:eastAsia="黑体"/>
              <w:bCs/>
            </w:rPr>
            <w:fldChar w:fldCharType="end"/>
          </w:r>
        </w:p>
        <w:p>
          <w:pPr>
            <w:pStyle w:val="19"/>
            <w:tabs>
              <w:tab w:val="right" w:leader="dot" w:pos="8306"/>
            </w:tabs>
          </w:pPr>
          <w:r>
            <w:rPr>
              <w:rFonts w:hint="eastAsia" w:eastAsia="黑体"/>
              <w:bCs/>
            </w:rPr>
            <w:fldChar w:fldCharType="begin"/>
          </w:r>
          <w:r>
            <w:rPr>
              <w:rFonts w:hint="eastAsia" w:eastAsia="黑体"/>
              <w:bCs/>
            </w:rPr>
            <w:instrText xml:space="preserve"> HYPERLINK \l _Toc9703 </w:instrText>
          </w:r>
          <w:r>
            <w:rPr>
              <w:rFonts w:hint="eastAsia" w:eastAsia="黑体"/>
              <w:bCs/>
            </w:rPr>
            <w:fldChar w:fldCharType="separate"/>
          </w:r>
          <w:r>
            <w:rPr>
              <w:rFonts w:hint="default" w:ascii="宋体" w:hAnsi="宋体" w:eastAsia="宋体" w:cs="宋体"/>
            </w:rPr>
            <w:t xml:space="preserve">2.2. </w:t>
          </w:r>
          <w:r>
            <w:rPr>
              <w:rFonts w:hint="eastAsia"/>
            </w:rPr>
            <w:t>投标报名</w:t>
          </w:r>
          <w:r>
            <w:tab/>
          </w:r>
          <w:r>
            <w:fldChar w:fldCharType="begin"/>
          </w:r>
          <w:r>
            <w:instrText xml:space="preserve"> PAGEREF _Toc9703 \h </w:instrText>
          </w:r>
          <w:r>
            <w:fldChar w:fldCharType="separate"/>
          </w:r>
          <w:r>
            <w:t>9</w:t>
          </w:r>
          <w:r>
            <w:fldChar w:fldCharType="end"/>
          </w:r>
          <w:r>
            <w:rPr>
              <w:rFonts w:hint="eastAsia" w:eastAsia="黑体"/>
              <w:bCs/>
            </w:rPr>
            <w:fldChar w:fldCharType="end"/>
          </w:r>
        </w:p>
        <w:p>
          <w:pPr>
            <w:pStyle w:val="13"/>
            <w:tabs>
              <w:tab w:val="right" w:leader="dot" w:pos="8306"/>
            </w:tabs>
          </w:pPr>
          <w:r>
            <w:rPr>
              <w:rFonts w:hint="eastAsia" w:eastAsia="黑体"/>
              <w:bCs/>
            </w:rPr>
            <w:fldChar w:fldCharType="begin"/>
          </w:r>
          <w:r>
            <w:rPr>
              <w:rFonts w:hint="eastAsia" w:eastAsia="黑体"/>
              <w:bCs/>
            </w:rPr>
            <w:instrText xml:space="preserve"> HYPERLINK \l _Toc23592 </w:instrText>
          </w:r>
          <w:r>
            <w:rPr>
              <w:rFonts w:hint="eastAsia" w:eastAsia="黑体"/>
              <w:bCs/>
            </w:rPr>
            <w:fldChar w:fldCharType="separate"/>
          </w:r>
          <w:r>
            <w:rPr>
              <w:rFonts w:hint="default"/>
            </w:rPr>
            <w:t xml:space="preserve">2.2.1. </w:t>
          </w:r>
          <w:r>
            <w:rPr>
              <w:rFonts w:hint="eastAsia"/>
            </w:rPr>
            <w:t>项目报名</w:t>
          </w:r>
          <w:r>
            <w:tab/>
          </w:r>
          <w:r>
            <w:fldChar w:fldCharType="begin"/>
          </w:r>
          <w:r>
            <w:instrText xml:space="preserve"> PAGEREF _Toc23592 \h </w:instrText>
          </w:r>
          <w:r>
            <w:fldChar w:fldCharType="separate"/>
          </w:r>
          <w:r>
            <w:t>9</w:t>
          </w:r>
          <w:r>
            <w:fldChar w:fldCharType="end"/>
          </w:r>
          <w:r>
            <w:rPr>
              <w:rFonts w:hint="eastAsia" w:eastAsia="黑体"/>
              <w:bCs/>
            </w:rPr>
            <w:fldChar w:fldCharType="end"/>
          </w:r>
        </w:p>
        <w:p>
          <w:pPr>
            <w:pStyle w:val="13"/>
            <w:tabs>
              <w:tab w:val="right" w:leader="dot" w:pos="8306"/>
            </w:tabs>
          </w:pPr>
          <w:r>
            <w:rPr>
              <w:rFonts w:hint="eastAsia" w:eastAsia="黑体"/>
              <w:bCs/>
            </w:rPr>
            <w:fldChar w:fldCharType="begin"/>
          </w:r>
          <w:r>
            <w:rPr>
              <w:rFonts w:hint="eastAsia" w:eastAsia="黑体"/>
              <w:bCs/>
            </w:rPr>
            <w:instrText xml:space="preserve"> HYPERLINK \l _Toc12980 </w:instrText>
          </w:r>
          <w:r>
            <w:rPr>
              <w:rFonts w:hint="eastAsia" w:eastAsia="黑体"/>
              <w:bCs/>
            </w:rPr>
            <w:fldChar w:fldCharType="separate"/>
          </w:r>
          <w:r>
            <w:rPr>
              <w:rFonts w:hint="default"/>
            </w:rPr>
            <w:t xml:space="preserve">2.2.2. </w:t>
          </w:r>
          <w:r>
            <w:rPr>
              <w:rFonts w:hint="eastAsia"/>
            </w:rPr>
            <w:t>发起联合体报名</w:t>
          </w:r>
          <w:r>
            <w:tab/>
          </w:r>
          <w:r>
            <w:fldChar w:fldCharType="begin"/>
          </w:r>
          <w:r>
            <w:instrText xml:space="preserve"> PAGEREF _Toc12980 \h </w:instrText>
          </w:r>
          <w:r>
            <w:fldChar w:fldCharType="separate"/>
          </w:r>
          <w:r>
            <w:t>10</w:t>
          </w:r>
          <w:r>
            <w:fldChar w:fldCharType="end"/>
          </w:r>
          <w:r>
            <w:rPr>
              <w:rFonts w:hint="eastAsia" w:eastAsia="黑体"/>
              <w:bCs/>
            </w:rPr>
            <w:fldChar w:fldCharType="end"/>
          </w:r>
        </w:p>
        <w:p>
          <w:pPr>
            <w:pStyle w:val="13"/>
            <w:tabs>
              <w:tab w:val="right" w:leader="dot" w:pos="8306"/>
            </w:tabs>
          </w:pPr>
          <w:r>
            <w:rPr>
              <w:rFonts w:hint="eastAsia" w:eastAsia="黑体"/>
              <w:bCs/>
            </w:rPr>
            <w:fldChar w:fldCharType="begin"/>
          </w:r>
          <w:r>
            <w:rPr>
              <w:rFonts w:hint="eastAsia" w:eastAsia="黑体"/>
              <w:bCs/>
            </w:rPr>
            <w:instrText xml:space="preserve"> HYPERLINK \l _Toc26195 </w:instrText>
          </w:r>
          <w:r>
            <w:rPr>
              <w:rFonts w:hint="eastAsia" w:eastAsia="黑体"/>
              <w:bCs/>
            </w:rPr>
            <w:fldChar w:fldCharType="separate"/>
          </w:r>
          <w:r>
            <w:rPr>
              <w:rFonts w:hint="default"/>
            </w:rPr>
            <w:t xml:space="preserve">2.2.3. </w:t>
          </w:r>
          <w:r>
            <w:rPr>
              <w:rFonts w:hint="eastAsia"/>
            </w:rPr>
            <w:t>接受被邀请联合报名</w:t>
          </w:r>
          <w:r>
            <w:tab/>
          </w:r>
          <w:r>
            <w:fldChar w:fldCharType="begin"/>
          </w:r>
          <w:r>
            <w:instrText xml:space="preserve"> PAGEREF _Toc26195 \h </w:instrText>
          </w:r>
          <w:r>
            <w:fldChar w:fldCharType="separate"/>
          </w:r>
          <w:r>
            <w:t>11</w:t>
          </w:r>
          <w:r>
            <w:fldChar w:fldCharType="end"/>
          </w:r>
          <w:r>
            <w:rPr>
              <w:rFonts w:hint="eastAsia" w:eastAsia="黑体"/>
              <w:bCs/>
            </w:rPr>
            <w:fldChar w:fldCharType="end"/>
          </w:r>
        </w:p>
        <w:p>
          <w:pPr>
            <w:pStyle w:val="13"/>
            <w:tabs>
              <w:tab w:val="right" w:leader="dot" w:pos="8306"/>
            </w:tabs>
          </w:pPr>
          <w:r>
            <w:rPr>
              <w:rFonts w:hint="eastAsia" w:eastAsia="黑体"/>
              <w:bCs/>
            </w:rPr>
            <w:fldChar w:fldCharType="begin"/>
          </w:r>
          <w:r>
            <w:rPr>
              <w:rFonts w:hint="eastAsia" w:eastAsia="黑体"/>
              <w:bCs/>
            </w:rPr>
            <w:instrText xml:space="preserve"> HYPERLINK \l _Toc31773 </w:instrText>
          </w:r>
          <w:r>
            <w:rPr>
              <w:rFonts w:hint="eastAsia" w:eastAsia="黑体"/>
              <w:bCs/>
            </w:rPr>
            <w:fldChar w:fldCharType="separate"/>
          </w:r>
          <w:r>
            <w:rPr>
              <w:rFonts w:hint="default"/>
            </w:rPr>
            <w:t xml:space="preserve">2.2.4. </w:t>
          </w:r>
          <w:r>
            <w:rPr>
              <w:rFonts w:hint="eastAsia"/>
            </w:rPr>
            <w:t>提交联合体报名</w:t>
          </w:r>
          <w:r>
            <w:tab/>
          </w:r>
          <w:r>
            <w:fldChar w:fldCharType="begin"/>
          </w:r>
          <w:r>
            <w:instrText xml:space="preserve"> PAGEREF _Toc31773 \h </w:instrText>
          </w:r>
          <w:r>
            <w:fldChar w:fldCharType="separate"/>
          </w:r>
          <w:r>
            <w:t>11</w:t>
          </w:r>
          <w:r>
            <w:fldChar w:fldCharType="end"/>
          </w:r>
          <w:r>
            <w:rPr>
              <w:rFonts w:hint="eastAsia" w:eastAsia="黑体"/>
              <w:bCs/>
            </w:rPr>
            <w:fldChar w:fldCharType="end"/>
          </w:r>
        </w:p>
        <w:p>
          <w:pPr>
            <w:pStyle w:val="19"/>
            <w:tabs>
              <w:tab w:val="right" w:leader="dot" w:pos="8306"/>
            </w:tabs>
          </w:pPr>
          <w:r>
            <w:rPr>
              <w:rFonts w:hint="eastAsia" w:eastAsia="黑体"/>
              <w:bCs/>
            </w:rPr>
            <w:fldChar w:fldCharType="begin"/>
          </w:r>
          <w:r>
            <w:rPr>
              <w:rFonts w:hint="eastAsia" w:eastAsia="黑体"/>
              <w:bCs/>
            </w:rPr>
            <w:instrText xml:space="preserve"> HYPERLINK \l _Toc25978 </w:instrText>
          </w:r>
          <w:r>
            <w:rPr>
              <w:rFonts w:hint="eastAsia" w:eastAsia="黑体"/>
              <w:bCs/>
            </w:rPr>
            <w:fldChar w:fldCharType="separate"/>
          </w:r>
          <w:r>
            <w:rPr>
              <w:rFonts w:hint="default" w:ascii="宋体" w:hAnsi="宋体" w:eastAsia="宋体" w:cs="宋体"/>
            </w:rPr>
            <w:t xml:space="preserve">2.3. </w:t>
          </w:r>
          <w:r>
            <w:rPr>
              <w:rFonts w:hint="eastAsia"/>
            </w:rPr>
            <w:t>在线投标</w:t>
          </w:r>
          <w:r>
            <w:tab/>
          </w:r>
          <w:r>
            <w:fldChar w:fldCharType="begin"/>
          </w:r>
          <w:r>
            <w:instrText xml:space="preserve"> PAGEREF _Toc25978 \h </w:instrText>
          </w:r>
          <w:r>
            <w:fldChar w:fldCharType="separate"/>
          </w:r>
          <w:r>
            <w:t>12</w:t>
          </w:r>
          <w:r>
            <w:fldChar w:fldCharType="end"/>
          </w:r>
          <w:r>
            <w:rPr>
              <w:rFonts w:hint="eastAsia" w:eastAsia="黑体"/>
              <w:bCs/>
            </w:rPr>
            <w:fldChar w:fldCharType="end"/>
          </w:r>
        </w:p>
        <w:p>
          <w:pPr>
            <w:pStyle w:val="13"/>
            <w:tabs>
              <w:tab w:val="right" w:leader="dot" w:pos="8306"/>
            </w:tabs>
          </w:pPr>
          <w:r>
            <w:rPr>
              <w:rFonts w:hint="eastAsia" w:eastAsia="黑体"/>
              <w:bCs/>
            </w:rPr>
            <w:fldChar w:fldCharType="begin"/>
          </w:r>
          <w:r>
            <w:rPr>
              <w:rFonts w:hint="eastAsia" w:eastAsia="黑体"/>
              <w:bCs/>
            </w:rPr>
            <w:instrText xml:space="preserve"> HYPERLINK \l _Toc13094 </w:instrText>
          </w:r>
          <w:r>
            <w:rPr>
              <w:rFonts w:hint="eastAsia" w:eastAsia="黑体"/>
              <w:bCs/>
            </w:rPr>
            <w:fldChar w:fldCharType="separate"/>
          </w:r>
          <w:r>
            <w:rPr>
              <w:rFonts w:hint="default"/>
            </w:rPr>
            <w:t xml:space="preserve">2.3.1. </w:t>
          </w:r>
          <w:r>
            <w:rPr>
              <w:rFonts w:hint="eastAsia"/>
            </w:rPr>
            <w:t>设置授权代表</w:t>
          </w:r>
          <w:r>
            <w:tab/>
          </w:r>
          <w:r>
            <w:fldChar w:fldCharType="begin"/>
          </w:r>
          <w:r>
            <w:instrText xml:space="preserve"> PAGEREF _Toc13094 \h </w:instrText>
          </w:r>
          <w:r>
            <w:fldChar w:fldCharType="separate"/>
          </w:r>
          <w:r>
            <w:t>13</w:t>
          </w:r>
          <w:r>
            <w:fldChar w:fldCharType="end"/>
          </w:r>
          <w:r>
            <w:rPr>
              <w:rFonts w:hint="eastAsia" w:eastAsia="黑体"/>
              <w:bCs/>
            </w:rPr>
            <w:fldChar w:fldCharType="end"/>
          </w:r>
        </w:p>
        <w:p>
          <w:pPr>
            <w:pStyle w:val="13"/>
            <w:tabs>
              <w:tab w:val="right" w:leader="dot" w:pos="8306"/>
            </w:tabs>
          </w:pPr>
          <w:r>
            <w:rPr>
              <w:rFonts w:hint="eastAsia" w:eastAsia="黑体"/>
              <w:bCs/>
            </w:rPr>
            <w:fldChar w:fldCharType="begin"/>
          </w:r>
          <w:r>
            <w:rPr>
              <w:rFonts w:hint="eastAsia" w:eastAsia="黑体"/>
              <w:bCs/>
            </w:rPr>
            <w:instrText xml:space="preserve"> HYPERLINK \l _Toc20235 </w:instrText>
          </w:r>
          <w:r>
            <w:rPr>
              <w:rFonts w:hint="eastAsia" w:eastAsia="黑体"/>
              <w:bCs/>
            </w:rPr>
            <w:fldChar w:fldCharType="separate"/>
          </w:r>
          <w:r>
            <w:rPr>
              <w:rFonts w:hint="default"/>
            </w:rPr>
            <w:t xml:space="preserve">2.3.2. </w:t>
          </w:r>
          <w:r>
            <w:rPr>
              <w:rFonts w:hint="eastAsia"/>
            </w:rPr>
            <w:t>缴纳保证金</w:t>
          </w:r>
          <w:r>
            <w:tab/>
          </w:r>
          <w:r>
            <w:fldChar w:fldCharType="begin"/>
          </w:r>
          <w:r>
            <w:instrText xml:space="preserve"> PAGEREF _Toc20235 \h </w:instrText>
          </w:r>
          <w:r>
            <w:fldChar w:fldCharType="separate"/>
          </w:r>
          <w:r>
            <w:t>14</w:t>
          </w:r>
          <w:r>
            <w:fldChar w:fldCharType="end"/>
          </w:r>
          <w:r>
            <w:rPr>
              <w:rFonts w:hint="eastAsia" w:eastAsia="黑体"/>
              <w:bCs/>
            </w:rPr>
            <w:fldChar w:fldCharType="end"/>
          </w:r>
        </w:p>
        <w:p>
          <w:pPr>
            <w:pStyle w:val="13"/>
            <w:tabs>
              <w:tab w:val="right" w:leader="dot" w:pos="8306"/>
            </w:tabs>
          </w:pPr>
          <w:r>
            <w:rPr>
              <w:rFonts w:hint="eastAsia" w:eastAsia="黑体"/>
              <w:bCs/>
            </w:rPr>
            <w:fldChar w:fldCharType="begin"/>
          </w:r>
          <w:r>
            <w:rPr>
              <w:rFonts w:hint="eastAsia" w:eastAsia="黑体"/>
              <w:bCs/>
            </w:rPr>
            <w:instrText xml:space="preserve"> HYPERLINK \l _Toc17940 </w:instrText>
          </w:r>
          <w:r>
            <w:rPr>
              <w:rFonts w:hint="eastAsia" w:eastAsia="黑体"/>
              <w:bCs/>
            </w:rPr>
            <w:fldChar w:fldCharType="separate"/>
          </w:r>
          <w:r>
            <w:rPr>
              <w:rFonts w:hint="default"/>
            </w:rPr>
            <w:t xml:space="preserve">2.3.3. </w:t>
          </w:r>
          <w:r>
            <w:rPr>
              <w:rFonts w:hint="eastAsia"/>
              <w:lang w:val="en-US" w:eastAsia="zh-CN"/>
            </w:rPr>
            <w:t>在线</w:t>
          </w:r>
          <w:r>
            <w:rPr>
              <w:rFonts w:hint="eastAsia"/>
            </w:rPr>
            <w:t>投标</w:t>
          </w:r>
          <w:r>
            <w:tab/>
          </w:r>
          <w:r>
            <w:fldChar w:fldCharType="begin"/>
          </w:r>
          <w:r>
            <w:instrText xml:space="preserve"> PAGEREF _Toc17940 \h </w:instrText>
          </w:r>
          <w:r>
            <w:fldChar w:fldCharType="separate"/>
          </w:r>
          <w:r>
            <w:t>15</w:t>
          </w:r>
          <w:r>
            <w:fldChar w:fldCharType="end"/>
          </w:r>
          <w:r>
            <w:rPr>
              <w:rFonts w:hint="eastAsia" w:eastAsia="黑体"/>
              <w:bCs/>
            </w:rPr>
            <w:fldChar w:fldCharType="end"/>
          </w:r>
        </w:p>
        <w:p>
          <w:pPr>
            <w:pStyle w:val="19"/>
            <w:tabs>
              <w:tab w:val="right" w:leader="dot" w:pos="8306"/>
            </w:tabs>
          </w:pPr>
          <w:r>
            <w:rPr>
              <w:rFonts w:hint="eastAsia" w:eastAsia="黑体"/>
              <w:bCs/>
            </w:rPr>
            <w:fldChar w:fldCharType="begin"/>
          </w:r>
          <w:r>
            <w:rPr>
              <w:rFonts w:hint="eastAsia" w:eastAsia="黑体"/>
              <w:bCs/>
            </w:rPr>
            <w:instrText xml:space="preserve"> HYPERLINK \l _Toc13436 </w:instrText>
          </w:r>
          <w:r>
            <w:rPr>
              <w:rFonts w:hint="eastAsia" w:eastAsia="黑体"/>
              <w:bCs/>
            </w:rPr>
            <w:fldChar w:fldCharType="separate"/>
          </w:r>
          <w:r>
            <w:rPr>
              <w:rFonts w:hint="default" w:ascii="宋体" w:hAnsi="宋体" w:eastAsia="宋体" w:cs="宋体"/>
            </w:rPr>
            <w:t xml:space="preserve">2.4. </w:t>
          </w:r>
          <w:r>
            <w:rPr>
              <w:rFonts w:hint="eastAsia"/>
            </w:rPr>
            <w:t>查看中标项目</w:t>
          </w:r>
          <w:r>
            <w:tab/>
          </w:r>
          <w:r>
            <w:fldChar w:fldCharType="begin"/>
          </w:r>
          <w:r>
            <w:instrText xml:space="preserve"> PAGEREF _Toc13436 \h </w:instrText>
          </w:r>
          <w:r>
            <w:fldChar w:fldCharType="separate"/>
          </w:r>
          <w:r>
            <w:t>17</w:t>
          </w:r>
          <w:r>
            <w:fldChar w:fldCharType="end"/>
          </w:r>
          <w:r>
            <w:rPr>
              <w:rFonts w:hint="eastAsia" w:eastAsia="黑体"/>
              <w:bCs/>
            </w:rPr>
            <w:fldChar w:fldCharType="end"/>
          </w:r>
        </w:p>
        <w:p>
          <w:pPr>
            <w:pStyle w:val="18"/>
            <w:tabs>
              <w:tab w:val="right" w:leader="dot" w:pos="8306"/>
            </w:tabs>
          </w:pPr>
          <w:r>
            <w:rPr>
              <w:rFonts w:hint="eastAsia" w:eastAsia="黑体"/>
              <w:bCs/>
            </w:rPr>
            <w:fldChar w:fldCharType="begin"/>
          </w:r>
          <w:r>
            <w:rPr>
              <w:rFonts w:hint="eastAsia" w:eastAsia="黑体"/>
              <w:bCs/>
            </w:rPr>
            <w:instrText xml:space="preserve"> HYPERLINK \l _Toc5033 </w:instrText>
          </w:r>
          <w:r>
            <w:rPr>
              <w:rFonts w:hint="eastAsia" w:eastAsia="黑体"/>
              <w:bCs/>
            </w:rPr>
            <w:fldChar w:fldCharType="separate"/>
          </w:r>
          <w:r>
            <w:rPr>
              <w:rFonts w:ascii="黑体" w:hAnsi="Calibri" w:eastAsia="黑体" w:cs="Times New Roman"/>
            </w:rPr>
            <w:t xml:space="preserve">3. </w:t>
          </w:r>
          <w:r>
            <w:rPr>
              <w:rFonts w:hint="eastAsia" w:ascii="黑体" w:hAnsi="Calibri" w:eastAsia="黑体" w:cs="Times New Roman"/>
            </w:rPr>
            <w:t>技术支持</w:t>
          </w:r>
          <w:r>
            <w:tab/>
          </w:r>
          <w:r>
            <w:fldChar w:fldCharType="begin"/>
          </w:r>
          <w:r>
            <w:instrText xml:space="preserve"> PAGEREF _Toc5033 \h </w:instrText>
          </w:r>
          <w:r>
            <w:fldChar w:fldCharType="separate"/>
          </w:r>
          <w:r>
            <w:t>17</w:t>
          </w:r>
          <w:r>
            <w:fldChar w:fldCharType="end"/>
          </w:r>
          <w:r>
            <w:rPr>
              <w:rFonts w:hint="eastAsia" w:eastAsia="黑体"/>
              <w:bCs/>
            </w:rPr>
            <w:fldChar w:fldCharType="end"/>
          </w:r>
        </w:p>
        <w:p>
          <w:pPr>
            <w:jc w:val="center"/>
            <w:rPr>
              <w:rFonts w:eastAsia="黑体"/>
              <w:b/>
              <w:bCs/>
              <w:sz w:val="28"/>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eastAsia="黑体"/>
              <w:bCs/>
            </w:rPr>
            <w:fldChar w:fldCharType="end"/>
          </w:r>
        </w:p>
      </w:sdtContent>
    </w:sdt>
    <w:p>
      <w:pPr>
        <w:pStyle w:val="2"/>
        <w:widowControl w:val="0"/>
        <w:numPr>
          <w:ilvl w:val="0"/>
          <w:numId w:val="2"/>
        </w:numPr>
        <w:adjustRightInd/>
        <w:snapToGrid/>
        <w:jc w:val="both"/>
        <w:rPr>
          <w:rFonts w:ascii="黑体" w:hAnsi="Calibri" w:eastAsia="黑体" w:cs="Times New Roman"/>
        </w:rPr>
      </w:pPr>
      <w:bookmarkStart w:id="0" w:name="_Toc11712"/>
      <w:bookmarkStart w:id="1" w:name="_Toc290881815"/>
      <w:bookmarkStart w:id="2" w:name="_Toc407200889"/>
      <w:bookmarkStart w:id="3" w:name="_Toc11344"/>
      <w:r>
        <w:rPr>
          <w:rFonts w:hint="eastAsia" w:ascii="黑体" w:hAnsi="Calibri" w:eastAsia="黑体" w:cs="Times New Roman"/>
        </w:rPr>
        <w:t>登录</w:t>
      </w:r>
      <w:bookmarkEnd w:id="0"/>
      <w:bookmarkEnd w:id="1"/>
      <w:bookmarkEnd w:id="2"/>
      <w:bookmarkEnd w:id="3"/>
    </w:p>
    <w:p>
      <w:pPr>
        <w:widowControl w:val="0"/>
        <w:adjustRightInd/>
        <w:snapToGrid/>
        <w:spacing w:before="62" w:beforeLines="20" w:after="62" w:afterLines="20" w:line="360" w:lineRule="auto"/>
        <w:ind w:firstLine="439" w:firstLineChars="183"/>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投标企业在浏览器中打开广东省公共资源交易平台中打开：https://ygp.gdzwfw.gov.cn/#/44/index。点击右上方“登录”按钮，在省统一身份认证中通过法人扫码、输入账号密码或使用CA方式进行登录。</w:t>
      </w:r>
    </w:p>
    <w:p>
      <w:pPr>
        <w:widowControl w:val="0"/>
        <w:adjustRightInd/>
        <w:snapToGrid/>
        <w:spacing w:before="62" w:beforeLines="20" w:after="62" w:afterLines="20" w:line="360" w:lineRule="auto"/>
        <w:jc w:val="both"/>
        <w:rPr>
          <w:rFonts w:hint="eastAsia" w:ascii="仿宋" w:hAnsi="仿宋" w:eastAsia="仿宋" w:cs="仿宋"/>
        </w:rPr>
      </w:pPr>
      <w:r>
        <w:rPr>
          <w:rFonts w:hint="eastAsia" w:ascii="仿宋" w:hAnsi="仿宋" w:eastAsia="仿宋" w:cs="仿宋"/>
        </w:rPr>
        <w:drawing>
          <wp:inline distT="0" distB="0" distL="114300" distR="114300">
            <wp:extent cx="5266690" cy="2556510"/>
            <wp:effectExtent l="0" t="0" r="635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5"/>
                    <a:stretch>
                      <a:fillRect/>
                    </a:stretch>
                  </pic:blipFill>
                  <pic:spPr>
                    <a:xfrm>
                      <a:off x="0" y="0"/>
                      <a:ext cx="5266690" cy="2556510"/>
                    </a:xfrm>
                    <a:prstGeom prst="rect">
                      <a:avLst/>
                    </a:prstGeom>
                    <a:noFill/>
                    <a:ln>
                      <a:noFill/>
                    </a:ln>
                  </pic:spPr>
                </pic:pic>
              </a:graphicData>
            </a:graphic>
          </wp:inline>
        </w:drawing>
      </w:r>
    </w:p>
    <w:p>
      <w:pPr>
        <w:pStyle w:val="12"/>
        <w:rPr>
          <w:rFonts w:hint="eastAsia" w:ascii="仿宋" w:hAnsi="仿宋" w:eastAsia="仿宋" w:cs="仿宋"/>
        </w:rPr>
      </w:pPr>
      <w:r>
        <w:drawing>
          <wp:inline distT="0" distB="0" distL="114300" distR="114300">
            <wp:extent cx="5268595" cy="2551430"/>
            <wp:effectExtent l="0" t="0" r="4445" b="889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6"/>
                    <a:stretch>
                      <a:fillRect/>
                    </a:stretch>
                  </pic:blipFill>
                  <pic:spPr>
                    <a:xfrm>
                      <a:off x="0" y="0"/>
                      <a:ext cx="5268595" cy="2551430"/>
                    </a:xfrm>
                    <a:prstGeom prst="rect">
                      <a:avLst/>
                    </a:prstGeom>
                    <a:noFill/>
                    <a:ln>
                      <a:noFill/>
                    </a:ln>
                  </pic:spPr>
                </pic:pic>
              </a:graphicData>
            </a:graphic>
          </wp:inline>
        </w:drawing>
      </w:r>
    </w:p>
    <w:p>
      <w:pPr>
        <w:pStyle w:val="12"/>
        <w:rPr>
          <w:rFonts w:hint="eastAsia" w:ascii="仿宋" w:hAnsi="仿宋" w:eastAsia="仿宋" w:cs="仿宋"/>
        </w:rPr>
      </w:pPr>
    </w:p>
    <w:p>
      <w:pPr>
        <w:widowControl w:val="0"/>
        <w:adjustRightInd/>
        <w:snapToGrid/>
        <w:spacing w:before="62" w:beforeLines="20" w:after="62" w:afterLines="20" w:line="360" w:lineRule="auto"/>
        <w:ind w:firstLine="439" w:firstLineChars="183"/>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登录“广东省公共资源交易平台”后，点击右边侧“交易系统”。</w:t>
      </w:r>
    </w:p>
    <w:p>
      <w:pPr>
        <w:pStyle w:val="12"/>
      </w:pPr>
      <w:r>
        <w:drawing>
          <wp:inline distT="0" distB="0" distL="114300" distR="114300">
            <wp:extent cx="5268595" cy="2551430"/>
            <wp:effectExtent l="0" t="0" r="4445" b="889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7"/>
                    <a:stretch>
                      <a:fillRect/>
                    </a:stretch>
                  </pic:blipFill>
                  <pic:spPr>
                    <a:xfrm>
                      <a:off x="0" y="0"/>
                      <a:ext cx="5268595" cy="2551430"/>
                    </a:xfrm>
                    <a:prstGeom prst="rect">
                      <a:avLst/>
                    </a:prstGeom>
                    <a:noFill/>
                    <a:ln>
                      <a:noFill/>
                    </a:ln>
                  </pic:spPr>
                </pic:pic>
              </a:graphicData>
            </a:graphic>
          </wp:inline>
        </w:drawing>
      </w:r>
    </w:p>
    <w:p>
      <w:pPr>
        <w:pStyle w:val="12"/>
        <w:rPr>
          <w:rFonts w:hint="eastAsia"/>
          <w:lang w:val="en-US" w:eastAsia="zh-CN"/>
        </w:rPr>
      </w:pPr>
    </w:p>
    <w:p>
      <w:pPr>
        <w:widowControl w:val="0"/>
        <w:adjustRightInd/>
        <w:snapToGrid/>
        <w:spacing w:before="62" w:beforeLines="20" w:after="62" w:afterLines="20" w:line="360" w:lineRule="auto"/>
        <w:ind w:firstLine="439" w:firstLineChars="183"/>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选择地区“韶关市”。点击“韶关市公共资源交易平台”按钮。页面将自动跳转至韶关公共资源交易一体化平台（韶关交易系统）。</w:t>
      </w:r>
    </w:p>
    <w:p>
      <w:pPr>
        <w:pStyle w:val="12"/>
        <w:rPr>
          <w:rFonts w:hint="eastAsia" w:ascii="仿宋" w:hAnsi="仿宋" w:eastAsia="仿宋" w:cs="仿宋"/>
          <w:color w:val="0000FF"/>
          <w:kern w:val="2"/>
          <w:sz w:val="24"/>
          <w:szCs w:val="24"/>
        </w:rPr>
      </w:pPr>
      <w:r>
        <w:rPr>
          <w:rFonts w:hint="eastAsia" w:ascii="仿宋" w:hAnsi="仿宋" w:eastAsia="仿宋" w:cs="仿宋"/>
        </w:rPr>
        <w:drawing>
          <wp:inline distT="0" distB="0" distL="114300" distR="114300">
            <wp:extent cx="5010785" cy="2432685"/>
            <wp:effectExtent l="0" t="0" r="3175" b="5715"/>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8"/>
                    <a:stretch>
                      <a:fillRect/>
                    </a:stretch>
                  </pic:blipFill>
                  <pic:spPr>
                    <a:xfrm>
                      <a:off x="0" y="0"/>
                      <a:ext cx="5010785" cy="2432685"/>
                    </a:xfrm>
                    <a:prstGeom prst="rect">
                      <a:avLst/>
                    </a:prstGeom>
                    <a:noFill/>
                    <a:ln>
                      <a:noFill/>
                    </a:ln>
                  </pic:spPr>
                </pic:pic>
              </a:graphicData>
            </a:graphic>
          </wp:inline>
        </w:drawing>
      </w:r>
    </w:p>
    <w:p>
      <w:pPr>
        <w:widowControl w:val="0"/>
        <w:adjustRightInd/>
        <w:snapToGrid/>
        <w:spacing w:before="62" w:beforeLines="20" w:after="62" w:afterLines="20" w:line="360" w:lineRule="auto"/>
        <w:jc w:val="both"/>
        <w:rPr>
          <w:rFonts w:hint="eastAsia" w:ascii="仿宋" w:hAnsi="仿宋" w:eastAsia="仿宋" w:cs="仿宋"/>
        </w:rPr>
      </w:pPr>
      <w:r>
        <w:drawing>
          <wp:inline distT="0" distB="0" distL="114300" distR="114300">
            <wp:extent cx="5064760" cy="2453005"/>
            <wp:effectExtent l="0" t="0" r="10160" b="635"/>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9"/>
                    <a:stretch>
                      <a:fillRect/>
                    </a:stretch>
                  </pic:blipFill>
                  <pic:spPr>
                    <a:xfrm>
                      <a:off x="0" y="0"/>
                      <a:ext cx="5064760" cy="2453005"/>
                    </a:xfrm>
                    <a:prstGeom prst="rect">
                      <a:avLst/>
                    </a:prstGeom>
                    <a:noFill/>
                    <a:ln>
                      <a:noFill/>
                    </a:ln>
                  </pic:spPr>
                </pic:pic>
              </a:graphicData>
            </a:graphic>
          </wp:inline>
        </w:drawing>
      </w:r>
    </w:p>
    <w:p>
      <w:pPr>
        <w:pStyle w:val="12"/>
        <w:rPr>
          <w:rFonts w:hint="eastAsia" w:ascii="仿宋" w:hAnsi="仿宋" w:eastAsia="仿宋" w:cs="仿宋"/>
        </w:rPr>
      </w:pPr>
    </w:p>
    <w:p>
      <w:pPr>
        <w:pStyle w:val="12"/>
        <w:rPr>
          <w:rFonts w:hint="eastAsia" w:ascii="仿宋" w:hAnsi="仿宋" w:eastAsia="仿宋" w:cs="仿宋"/>
        </w:rPr>
      </w:pPr>
    </w:p>
    <w:p>
      <w:pPr>
        <w:pStyle w:val="12"/>
        <w:ind w:firstLine="42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注：</w:t>
      </w:r>
    </w:p>
    <w:p>
      <w:pPr>
        <w:widowControl w:val="0"/>
        <w:adjustRightInd/>
        <w:snapToGrid/>
        <w:spacing w:before="62" w:beforeLines="20" w:after="62" w:afterLines="20" w:line="360" w:lineRule="auto"/>
        <w:ind w:firstLine="420" w:firstLineChars="0"/>
        <w:jc w:val="both"/>
        <w:rPr>
          <w:rFonts w:hint="eastAsia" w:ascii="仿宋" w:hAnsi="仿宋" w:eastAsia="仿宋" w:cs="仿宋"/>
          <w:kern w:val="2"/>
          <w:sz w:val="24"/>
          <w:szCs w:val="24"/>
        </w:rPr>
      </w:pPr>
      <w:r>
        <w:rPr>
          <w:rFonts w:hint="eastAsia" w:ascii="宋体" w:hAnsi="宋体" w:eastAsia="宋体" w:cs="Times New Roman"/>
          <w:kern w:val="2"/>
          <w:sz w:val="24"/>
          <w:szCs w:val="24"/>
          <w:lang w:val="en-US" w:eastAsia="zh-CN"/>
        </w:rPr>
        <w:t>韶关市公共资源交易一体化平台系统地址：</w:t>
      </w:r>
      <w:r>
        <w:rPr>
          <w:rFonts w:hint="eastAsia" w:ascii="仿宋" w:hAnsi="仿宋" w:eastAsia="仿宋" w:cs="仿宋"/>
          <w:kern w:val="2"/>
          <w:sz w:val="24"/>
          <w:szCs w:val="24"/>
        </w:rPr>
        <w:fldChar w:fldCharType="begin"/>
      </w:r>
      <w:r>
        <w:rPr>
          <w:rFonts w:hint="eastAsia" w:ascii="仿宋" w:hAnsi="仿宋" w:eastAsia="仿宋" w:cs="仿宋"/>
          <w:kern w:val="2"/>
          <w:sz w:val="24"/>
          <w:szCs w:val="24"/>
        </w:rPr>
        <w:instrText xml:space="preserve"> HYPERLINK "http://ythpt.sg.gov.cn" </w:instrText>
      </w:r>
      <w:r>
        <w:rPr>
          <w:rFonts w:hint="eastAsia" w:ascii="仿宋" w:hAnsi="仿宋" w:eastAsia="仿宋" w:cs="仿宋"/>
          <w:kern w:val="2"/>
          <w:sz w:val="24"/>
          <w:szCs w:val="24"/>
        </w:rPr>
        <w:fldChar w:fldCharType="separate"/>
      </w:r>
      <w:r>
        <w:rPr>
          <w:rStyle w:val="23"/>
          <w:rFonts w:hint="eastAsia" w:ascii="仿宋" w:hAnsi="仿宋" w:eastAsia="仿宋" w:cs="仿宋"/>
          <w:kern w:val="2"/>
          <w:sz w:val="24"/>
          <w:szCs w:val="24"/>
        </w:rPr>
        <w:t>http://ythpt.sg.gov.cn</w:t>
      </w:r>
      <w:r>
        <w:rPr>
          <w:rFonts w:hint="eastAsia" w:ascii="仿宋" w:hAnsi="仿宋" w:eastAsia="仿宋" w:cs="仿宋"/>
          <w:kern w:val="2"/>
          <w:sz w:val="24"/>
          <w:szCs w:val="24"/>
        </w:rPr>
        <w:fldChar w:fldCharType="end"/>
      </w:r>
    </w:p>
    <w:p>
      <w:pPr>
        <w:widowControl w:val="0"/>
        <w:adjustRightInd/>
        <w:snapToGrid/>
        <w:spacing w:before="62" w:beforeLines="20" w:after="62" w:afterLines="20" w:line="360" w:lineRule="auto"/>
        <w:ind w:firstLine="439" w:firstLineChars="183"/>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广东省公共资源交易平台投标企业账号注册指引：</w:t>
      </w:r>
    </w:p>
    <w:p>
      <w:pPr>
        <w:pStyle w:val="12"/>
        <w:ind w:firstLine="42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"https://ygp.gdzwfw.gov.cn/ggzy-portal/index.html#/440200/fwzn/det" </w:instrText>
      </w:r>
      <w:r>
        <w:rPr>
          <w:rFonts w:hint="eastAsia" w:ascii="仿宋" w:hAnsi="仿宋" w:eastAsia="仿宋" w:cs="仿宋"/>
          <w:kern w:val="2"/>
          <w:sz w:val="24"/>
          <w:szCs w:val="24"/>
          <w:lang w:val="en-US" w:eastAsia="zh-CN" w:bidi="ar-SA"/>
        </w:rPr>
        <w:fldChar w:fldCharType="separate"/>
      </w:r>
      <w:r>
        <w:rPr>
          <w:rStyle w:val="23"/>
          <w:rFonts w:hint="eastAsia" w:ascii="仿宋" w:hAnsi="仿宋" w:eastAsia="仿宋" w:cs="仿宋"/>
          <w:kern w:val="2"/>
          <w:sz w:val="24"/>
          <w:szCs w:val="24"/>
          <w:lang w:val="en-US" w:eastAsia="zh-CN" w:bidi="ar-SA"/>
        </w:rPr>
        <w:t>https://ygp.gdzwfw.gov.cn/ggzy-portal/index.html#/440200/fwzn/det</w: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ab/>
      </w:r>
      <w:r>
        <w:rPr>
          <w:rStyle w:val="23"/>
          <w:rFonts w:hint="eastAsia" w:ascii="仿宋" w:hAnsi="仿宋" w:eastAsia="仿宋" w:cs="仿宋"/>
          <w:kern w:val="2"/>
          <w:sz w:val="24"/>
          <w:szCs w:val="24"/>
          <w:lang w:val="en-US" w:eastAsia="zh-CN" w:bidi="ar-SA"/>
        </w:rPr>
        <w:t>ail?id=173471850267941888</w:t>
      </w:r>
    </w:p>
    <w:p>
      <w:pPr>
        <w:widowControl w:val="0"/>
        <w:adjustRightInd/>
        <w:snapToGrid/>
        <w:spacing w:before="62" w:beforeLines="20" w:after="62" w:afterLines="20" w:line="360" w:lineRule="auto"/>
        <w:ind w:firstLine="439" w:firstLineChars="183"/>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建议使用360浏览器极速模式或谷歌浏览器。</w:t>
      </w:r>
    </w:p>
    <w:p/>
    <w:p>
      <w:pPr>
        <w:pStyle w:val="2"/>
        <w:widowControl w:val="0"/>
        <w:numPr>
          <w:ilvl w:val="0"/>
          <w:numId w:val="2"/>
        </w:numPr>
        <w:adjustRightInd/>
        <w:snapToGrid/>
        <w:jc w:val="both"/>
        <w:rPr>
          <w:rFonts w:ascii="黑体" w:hAnsi="Calibri" w:eastAsia="黑体" w:cs="Times New Roman"/>
        </w:rPr>
      </w:pPr>
      <w:bookmarkStart w:id="4" w:name="_Toc13785"/>
      <w:bookmarkStart w:id="5" w:name="_Toc14441"/>
      <w:r>
        <w:rPr>
          <w:rFonts w:hint="eastAsia" w:ascii="黑体" w:hAnsi="Calibri" w:eastAsia="黑体" w:cs="Times New Roman"/>
        </w:rPr>
        <w:t>业务操作说明</w:t>
      </w:r>
      <w:bookmarkEnd w:id="4"/>
      <w:bookmarkEnd w:id="5"/>
    </w:p>
    <w:p>
      <w:pPr>
        <w:pStyle w:val="3"/>
        <w:spacing w:line="240" w:lineRule="auto"/>
      </w:pPr>
      <w:bookmarkStart w:id="6" w:name="_Toc3475"/>
      <w:bookmarkStart w:id="7" w:name="_Toc16838"/>
      <w:r>
        <w:rPr>
          <w:rFonts w:hint="eastAsia"/>
          <w:lang w:val="en-US" w:eastAsia="zh-CN"/>
        </w:rPr>
        <w:t>企业入库</w:t>
      </w:r>
      <w:bookmarkEnd w:id="6"/>
      <w:bookmarkEnd w:id="7"/>
    </w:p>
    <w:p>
      <w:pPr>
        <w:pStyle w:val="4"/>
      </w:pPr>
      <w:bookmarkStart w:id="8" w:name="_Toc18724"/>
      <w:bookmarkStart w:id="9" w:name="_Toc5045"/>
      <w:r>
        <w:rPr>
          <w:rFonts w:hint="eastAsia"/>
          <w:lang w:val="en-US" w:eastAsia="zh-CN"/>
        </w:rPr>
        <w:t>企业资料完善入库</w:t>
      </w:r>
      <w:bookmarkEnd w:id="8"/>
      <w:bookmarkEnd w:id="9"/>
    </w:p>
    <w:p>
      <w:pPr>
        <w:widowControl w:val="0"/>
        <w:adjustRightInd/>
        <w:snapToGrid/>
        <w:spacing w:before="62" w:beforeLines="20" w:after="62" w:afterLines="20" w:line="360" w:lineRule="auto"/>
        <w:ind w:firstLine="439" w:firstLineChars="183"/>
        <w:jc w:val="both"/>
        <w:rPr>
          <w:rFonts w:hint="default"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投标企业在广东省公共资源交易平台中注册跳转过来韶关交易系统后，需要在韶关交易系统中完善相关的资料信息，登录进入企业服务台，点击首页“完善资料信息”的待办项，进入完善企业资料。</w:t>
      </w:r>
    </w:p>
    <w:p>
      <w:pPr>
        <w:widowControl w:val="0"/>
        <w:adjustRightInd/>
        <w:snapToGrid/>
        <w:spacing w:before="62" w:beforeLines="20" w:after="62" w:afterLines="20" w:line="360" w:lineRule="auto"/>
        <w:jc w:val="both"/>
      </w:pPr>
      <w:r>
        <w:drawing>
          <wp:inline distT="0" distB="0" distL="114300" distR="114300">
            <wp:extent cx="5270500" cy="1746885"/>
            <wp:effectExtent l="0" t="0" r="2540" b="571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0"/>
                    <a:stretch>
                      <a:fillRect/>
                    </a:stretch>
                  </pic:blipFill>
                  <pic:spPr>
                    <a:xfrm>
                      <a:off x="0" y="0"/>
                      <a:ext cx="5270500" cy="1746885"/>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20" w:firstLineChars="0"/>
        <w:jc w:val="both"/>
        <w:rPr>
          <w:rFonts w:hint="default"/>
          <w:lang w:val="en-US"/>
        </w:rPr>
      </w:pPr>
      <w:r>
        <w:rPr>
          <w:rFonts w:hint="eastAsia" w:ascii="宋体" w:hAnsi="宋体" w:eastAsia="宋体" w:cs="Times New Roman"/>
          <w:kern w:val="2"/>
          <w:sz w:val="24"/>
          <w:szCs w:val="24"/>
          <w:lang w:val="en-US" w:eastAsia="zh-CN"/>
        </w:rPr>
        <w:t>或点击右上角的“个人设置”菜单，然后在弹出的界面中点击“企业信息编辑”，也可以进入企业资料编辑界面。</w:t>
      </w:r>
    </w:p>
    <w:p>
      <w:pPr>
        <w:widowControl w:val="0"/>
        <w:adjustRightInd/>
        <w:snapToGrid/>
        <w:spacing w:before="62" w:beforeLines="20" w:after="62" w:afterLines="20" w:line="360" w:lineRule="auto"/>
        <w:jc w:val="both"/>
      </w:pPr>
      <w:r>
        <w:drawing>
          <wp:inline distT="0" distB="0" distL="114300" distR="114300">
            <wp:extent cx="5271135" cy="1205230"/>
            <wp:effectExtent l="0" t="0" r="1905" b="1397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1"/>
                    <a:stretch>
                      <a:fillRect/>
                    </a:stretch>
                  </pic:blipFill>
                  <pic:spPr>
                    <a:xfrm>
                      <a:off x="0" y="0"/>
                      <a:ext cx="5271135" cy="1205230"/>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投标企业注册后，需完善相关的资料信息，登录进入企业服务台，点击首页“完善资料信息”的待办项，进入完善企业资料页面。</w:t>
      </w:r>
    </w:p>
    <w:p>
      <w:pPr>
        <w:widowControl w:val="0"/>
        <w:adjustRightInd/>
        <w:snapToGrid/>
        <w:spacing w:before="62" w:beforeLines="20" w:after="62" w:afterLines="20" w:line="360" w:lineRule="auto"/>
        <w:ind w:firstLine="439" w:firstLineChars="183"/>
        <w:jc w:val="both"/>
        <w:rPr>
          <w:rFonts w:hint="default"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基本信息：填写*号资料</w:t>
      </w:r>
    </w:p>
    <w:p>
      <w:pPr>
        <w:widowControl w:val="0"/>
        <w:adjustRightInd/>
        <w:snapToGrid/>
        <w:spacing w:before="62" w:beforeLines="20" w:after="62" w:afterLines="20" w:line="360" w:lineRule="auto"/>
        <w:jc w:val="both"/>
        <w:rPr>
          <w:rFonts w:hint="eastAsia" w:ascii="宋体" w:hAnsi="宋体" w:eastAsia="宋体" w:cs="Times New Roman"/>
          <w:kern w:val="2"/>
          <w:sz w:val="24"/>
          <w:szCs w:val="24"/>
          <w:lang w:val="en-US" w:eastAsia="zh-CN"/>
        </w:rPr>
      </w:pPr>
      <w:r>
        <w:drawing>
          <wp:inline distT="0" distB="0" distL="114300" distR="114300">
            <wp:extent cx="5263515" cy="2936875"/>
            <wp:effectExtent l="0" t="0" r="9525" b="444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2"/>
                    <a:stretch>
                      <a:fillRect/>
                    </a:stretch>
                  </pic:blipFill>
                  <pic:spPr>
                    <a:xfrm>
                      <a:off x="0" y="0"/>
                      <a:ext cx="5263515" cy="2936875"/>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信息填报人：填写联系人及手机</w:t>
      </w:r>
    </w:p>
    <w:p>
      <w:pPr>
        <w:widowControl w:val="0"/>
        <w:adjustRightInd/>
        <w:snapToGrid/>
        <w:spacing w:before="62" w:beforeLines="20" w:after="62" w:afterLines="20" w:line="360" w:lineRule="auto"/>
        <w:jc w:val="both"/>
        <w:rPr>
          <w:rFonts w:hint="eastAsia" w:ascii="宋体" w:hAnsi="宋体" w:eastAsia="宋体" w:cs="Times New Roman"/>
          <w:kern w:val="2"/>
          <w:sz w:val="24"/>
          <w:szCs w:val="24"/>
          <w:lang w:val="en-US" w:eastAsia="zh-CN"/>
        </w:rPr>
      </w:pPr>
      <w:r>
        <w:drawing>
          <wp:inline distT="0" distB="0" distL="114300" distR="114300">
            <wp:extent cx="5262245" cy="581025"/>
            <wp:effectExtent l="0" t="0" r="10795" b="1333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13"/>
                    <a:stretch>
                      <a:fillRect/>
                    </a:stretch>
                  </pic:blipFill>
                  <pic:spPr>
                    <a:xfrm>
                      <a:off x="0" y="0"/>
                      <a:ext cx="5262245" cy="581025"/>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hint="default"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相关文件上传：上传承诺函、企业信息数据库授权书。其他如有也可上传。</w:t>
      </w:r>
    </w:p>
    <w:p>
      <w:pPr>
        <w:widowControl w:val="0"/>
        <w:adjustRightInd/>
        <w:snapToGrid/>
        <w:spacing w:before="62" w:beforeLines="20" w:after="62" w:afterLines="20" w:line="360" w:lineRule="auto"/>
        <w:jc w:val="both"/>
        <w:rPr>
          <w:rFonts w:hint="eastAsia" w:ascii="宋体" w:hAnsi="宋体" w:eastAsia="宋体" w:cs="Times New Roman"/>
          <w:kern w:val="2"/>
          <w:sz w:val="24"/>
          <w:szCs w:val="24"/>
          <w:lang w:val="en-US" w:eastAsia="zh-CN"/>
        </w:rPr>
      </w:pPr>
      <w:r>
        <w:drawing>
          <wp:inline distT="0" distB="0" distL="114300" distR="114300">
            <wp:extent cx="5260340" cy="589915"/>
            <wp:effectExtent l="0" t="0" r="12700" b="4445"/>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14"/>
                    <a:stretch>
                      <a:fillRect/>
                    </a:stretch>
                  </pic:blipFill>
                  <pic:spPr>
                    <a:xfrm>
                      <a:off x="0" y="0"/>
                      <a:ext cx="5260340" cy="589915"/>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hint="default"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申请开通业务：根据实际投标情况进行勾选。</w:t>
      </w:r>
    </w:p>
    <w:p>
      <w:pPr>
        <w:widowControl w:val="0"/>
        <w:adjustRightInd/>
        <w:snapToGrid/>
        <w:spacing w:before="62" w:beforeLines="20" w:after="62" w:afterLines="20" w:line="360" w:lineRule="auto"/>
        <w:jc w:val="both"/>
        <w:rPr>
          <w:rFonts w:hint="default" w:ascii="宋体" w:hAnsi="宋体" w:eastAsia="宋体" w:cs="Times New Roman"/>
          <w:kern w:val="2"/>
          <w:sz w:val="24"/>
          <w:szCs w:val="24"/>
          <w:lang w:val="en-US" w:eastAsia="zh-CN"/>
        </w:rPr>
      </w:pPr>
      <w:r>
        <w:drawing>
          <wp:inline distT="0" distB="0" distL="114300" distR="114300">
            <wp:extent cx="5273675" cy="864235"/>
            <wp:effectExtent l="0" t="0" r="14605" b="444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15"/>
                    <a:stretch>
                      <a:fillRect/>
                    </a:stretch>
                  </pic:blipFill>
                  <pic:spPr>
                    <a:xfrm>
                      <a:off x="0" y="0"/>
                      <a:ext cx="5273675" cy="864235"/>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hint="default"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企业证书信息：上传“营业执照”、“其他附件”中的“签字、印鉴、公章扫描件”“基本账户开户许可证”。如果有其他资质证书，也在这里上传。</w:t>
      </w:r>
    </w:p>
    <w:p>
      <w:pPr>
        <w:widowControl w:val="0"/>
        <w:adjustRightInd/>
        <w:snapToGrid/>
        <w:spacing w:before="62" w:beforeLines="20" w:after="62" w:afterLines="20" w:line="360" w:lineRule="auto"/>
        <w:jc w:val="both"/>
      </w:pPr>
      <w:r>
        <w:drawing>
          <wp:inline distT="0" distB="0" distL="114300" distR="114300">
            <wp:extent cx="5267325" cy="1106170"/>
            <wp:effectExtent l="0" t="0" r="5715" b="6350"/>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16"/>
                    <a:stretch>
                      <a:fillRect/>
                    </a:stretch>
                  </pic:blipFill>
                  <pic:spPr>
                    <a:xfrm>
                      <a:off x="0" y="0"/>
                      <a:ext cx="5267325" cy="1106170"/>
                    </a:xfrm>
                    <a:prstGeom prst="rect">
                      <a:avLst/>
                    </a:prstGeom>
                    <a:noFill/>
                    <a:ln>
                      <a:noFill/>
                    </a:ln>
                  </pic:spPr>
                </pic:pic>
              </a:graphicData>
            </a:graphic>
          </wp:inline>
        </w:drawing>
      </w:r>
    </w:p>
    <w:p>
      <w:pPr>
        <w:widowControl w:val="0"/>
        <w:adjustRightInd/>
        <w:snapToGrid/>
        <w:spacing w:before="62" w:beforeLines="20" w:after="62" w:afterLines="20" w:line="360" w:lineRule="auto"/>
        <w:jc w:val="both"/>
        <w:rPr>
          <w:rFonts w:hint="default"/>
          <w:lang w:val="en-US" w:eastAsia="zh-CN"/>
        </w:rPr>
      </w:pPr>
      <w:r>
        <w:drawing>
          <wp:inline distT="0" distB="0" distL="114300" distR="114300">
            <wp:extent cx="5268595" cy="1731645"/>
            <wp:effectExtent l="0" t="0" r="4445" b="5715"/>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17"/>
                    <a:stretch>
                      <a:fillRect/>
                    </a:stretch>
                  </pic:blipFill>
                  <pic:spPr>
                    <a:xfrm>
                      <a:off x="0" y="0"/>
                      <a:ext cx="5268595" cy="1731645"/>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hint="default"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企业资质：小额建设工程、建设工程投标企业，需要录入相关的企业资质。点击“新建”可以选择资质，然后设置资质等级、发证日期、截止日期、资质明细类型。</w:t>
      </w:r>
    </w:p>
    <w:p>
      <w:pPr>
        <w:widowControl w:val="0"/>
        <w:adjustRightInd/>
        <w:snapToGrid/>
        <w:spacing w:before="62" w:beforeLines="20" w:after="62" w:afterLines="20" w:line="360" w:lineRule="auto"/>
        <w:jc w:val="both"/>
        <w:rPr>
          <w:rFonts w:hint="default" w:ascii="宋体" w:hAnsi="宋体" w:eastAsia="宋体" w:cs="Times New Roman"/>
          <w:kern w:val="2"/>
          <w:sz w:val="24"/>
          <w:szCs w:val="24"/>
          <w:lang w:val="en-US" w:eastAsia="zh-CN"/>
        </w:rPr>
      </w:pPr>
      <w:r>
        <w:drawing>
          <wp:inline distT="0" distB="0" distL="114300" distR="114300">
            <wp:extent cx="5270500" cy="2158365"/>
            <wp:effectExtent l="0" t="0" r="2540" b="571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18"/>
                    <a:stretch>
                      <a:fillRect/>
                    </a:stretch>
                  </pic:blipFill>
                  <pic:spPr>
                    <a:xfrm>
                      <a:off x="0" y="0"/>
                      <a:ext cx="5270500" cy="2158365"/>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hint="default"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企业人员维护：录入企业投标相关的工作人员，例如法定代表人、授权代表、项目经理等。</w:t>
      </w:r>
    </w:p>
    <w:p>
      <w:pPr>
        <w:widowControl w:val="0"/>
        <w:adjustRightInd/>
        <w:snapToGrid/>
        <w:spacing w:before="62" w:beforeLines="20" w:after="62" w:afterLines="20" w:line="360" w:lineRule="auto"/>
        <w:jc w:val="both"/>
        <w:rPr>
          <w:rFonts w:hint="eastAsia" w:ascii="宋体" w:hAnsi="宋体" w:eastAsia="宋体" w:cs="Times New Roman"/>
          <w:kern w:val="2"/>
          <w:sz w:val="24"/>
          <w:szCs w:val="24"/>
          <w:lang w:val="en-US" w:eastAsia="zh-CN"/>
        </w:rPr>
      </w:pPr>
      <w:r>
        <w:drawing>
          <wp:inline distT="0" distB="0" distL="114300" distR="114300">
            <wp:extent cx="5263515" cy="818515"/>
            <wp:effectExtent l="0" t="0" r="9525" b="444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19"/>
                    <a:stretch>
                      <a:fillRect/>
                    </a:stretch>
                  </pic:blipFill>
                  <pic:spPr>
                    <a:xfrm>
                      <a:off x="0" y="0"/>
                      <a:ext cx="5263515" cy="818515"/>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hint="default"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点击“新增”可以新增企业人员，填写人员相关资料，上传“社保证明材料”、“资质证书”（执业注册情况、职业注册情况、专业技术情况、安全考核情况）等。添加后点击“保存”按钮保存企业人员信息。</w:t>
      </w:r>
    </w:p>
    <w:p>
      <w:pPr>
        <w:widowControl w:val="0"/>
        <w:adjustRightInd/>
        <w:snapToGrid/>
        <w:spacing w:before="62" w:beforeLines="20" w:after="62" w:afterLines="20" w:line="360" w:lineRule="auto"/>
        <w:jc w:val="both"/>
        <w:rPr>
          <w:rFonts w:hint="eastAsia" w:ascii="宋体" w:hAnsi="宋体" w:eastAsia="宋体" w:cs="Times New Roman"/>
          <w:kern w:val="2"/>
          <w:sz w:val="24"/>
          <w:szCs w:val="24"/>
          <w:lang w:val="en-US" w:eastAsia="zh-CN"/>
        </w:rPr>
      </w:pPr>
      <w:r>
        <w:drawing>
          <wp:inline distT="0" distB="0" distL="114300" distR="114300">
            <wp:extent cx="5262880" cy="2834005"/>
            <wp:effectExtent l="0" t="0" r="10160" b="63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20"/>
                    <a:stretch>
                      <a:fillRect/>
                    </a:stretch>
                  </pic:blipFill>
                  <pic:spPr>
                    <a:xfrm>
                      <a:off x="0" y="0"/>
                      <a:ext cx="5262880" cy="2834005"/>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hint="default"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企业信息都填写完成后，点击“保存并提交核验”按钮，提交资料进行核验。</w:t>
      </w:r>
    </w:p>
    <w:p>
      <w:pPr>
        <w:widowControl w:val="0"/>
        <w:adjustRightInd/>
        <w:snapToGrid/>
        <w:spacing w:before="62" w:beforeLines="20" w:after="62" w:afterLines="20" w:line="360" w:lineRule="auto"/>
        <w:jc w:val="both"/>
        <w:rPr>
          <w:rFonts w:hint="default" w:ascii="宋体" w:hAnsi="宋体" w:eastAsia="宋体" w:cs="Times New Roman"/>
          <w:kern w:val="2"/>
          <w:sz w:val="24"/>
          <w:szCs w:val="24"/>
          <w:lang w:val="en-US" w:eastAsia="zh-CN"/>
        </w:rPr>
      </w:pPr>
      <w:r>
        <w:drawing>
          <wp:inline distT="0" distB="0" distL="114300" distR="114300">
            <wp:extent cx="5273040" cy="554355"/>
            <wp:effectExtent l="0" t="0" r="0" b="9525"/>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21"/>
                    <a:stretch>
                      <a:fillRect/>
                    </a:stretch>
                  </pic:blipFill>
                  <pic:spPr>
                    <a:xfrm>
                      <a:off x="0" y="0"/>
                      <a:ext cx="5273040" cy="554355"/>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如果核验通过，企业将成功入库；如果核验不通过，企业将在待办中看到“完善资料信息”的待办事项，请补充相关资料后再次提交核验。</w:t>
      </w:r>
    </w:p>
    <w:p>
      <w:pPr>
        <w:widowControl w:val="0"/>
        <w:adjustRightInd/>
        <w:snapToGrid/>
        <w:spacing w:before="62" w:beforeLines="20" w:after="62" w:afterLines="20" w:line="360" w:lineRule="auto"/>
        <w:ind w:firstLine="439" w:firstLineChars="183"/>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详细入库操作指引可在以下地址下载查看：</w:t>
      </w:r>
    </w:p>
    <w:p>
      <w:pPr>
        <w:pStyle w:val="12"/>
        <w:ind w:firstLine="420" w:firstLineChars="0"/>
        <w:rPr>
          <w:rFonts w:hint="default" w:ascii="仿宋" w:hAnsi="仿宋" w:eastAsia="仿宋" w:cs="仿宋"/>
          <w:kern w:val="2"/>
          <w:sz w:val="24"/>
          <w:szCs w:val="24"/>
          <w:u w:val="single"/>
          <w:lang w:val="en-US" w:eastAsia="zh-CN" w:bidi="ar-SA"/>
        </w:rPr>
      </w:pPr>
      <w:r>
        <w:rPr>
          <w:rFonts w:hint="default" w:ascii="仿宋" w:hAnsi="仿宋" w:eastAsia="仿宋" w:cs="仿宋"/>
          <w:kern w:val="2"/>
          <w:sz w:val="24"/>
          <w:szCs w:val="24"/>
          <w:u w:val="single"/>
          <w:lang w:val="en-US" w:eastAsia="zh-CN" w:bidi="ar-SA"/>
        </w:rPr>
        <w:fldChar w:fldCharType="begin"/>
      </w:r>
      <w:r>
        <w:rPr>
          <w:rFonts w:hint="default" w:ascii="仿宋" w:hAnsi="仿宋" w:eastAsia="仿宋" w:cs="仿宋"/>
          <w:kern w:val="2"/>
          <w:sz w:val="24"/>
          <w:szCs w:val="24"/>
          <w:u w:val="single"/>
          <w:lang w:val="en-US" w:eastAsia="zh-CN" w:bidi="ar-SA"/>
        </w:rPr>
        <w:instrText xml:space="preserve"> HYPERLINK "https://ygp.gdzwfw.gov.cn/ggzy-portal/index.html#/440200/fwzn/detail?id=1630488559452938242" </w:instrText>
      </w:r>
      <w:r>
        <w:rPr>
          <w:rFonts w:hint="default" w:ascii="仿宋" w:hAnsi="仿宋" w:eastAsia="仿宋" w:cs="仿宋"/>
          <w:kern w:val="2"/>
          <w:sz w:val="24"/>
          <w:szCs w:val="24"/>
          <w:u w:val="single"/>
          <w:lang w:val="en-US" w:eastAsia="zh-CN" w:bidi="ar-SA"/>
        </w:rPr>
        <w:fldChar w:fldCharType="separate"/>
      </w:r>
      <w:r>
        <w:rPr>
          <w:rStyle w:val="23"/>
          <w:rFonts w:hint="default" w:ascii="仿宋" w:hAnsi="仿宋" w:eastAsia="仿宋" w:cs="仿宋"/>
          <w:kern w:val="2"/>
          <w:sz w:val="24"/>
          <w:szCs w:val="24"/>
          <w:lang w:val="en-US" w:eastAsia="zh-CN" w:bidi="ar-SA"/>
        </w:rPr>
        <w:t>https://ygp.gdzwfw.gov.cn/ggzy-portal/index.html#/440200/fwzn/detail?id=1630488559452938242</w:t>
      </w:r>
      <w:r>
        <w:rPr>
          <w:rFonts w:hint="default" w:ascii="仿宋" w:hAnsi="仿宋" w:eastAsia="仿宋" w:cs="仿宋"/>
          <w:kern w:val="2"/>
          <w:sz w:val="24"/>
          <w:szCs w:val="24"/>
          <w:u w:val="single"/>
          <w:lang w:val="en-US" w:eastAsia="zh-CN" w:bidi="ar-SA"/>
        </w:rPr>
        <w:fldChar w:fldCharType="end"/>
      </w:r>
    </w:p>
    <w:p>
      <w:pPr>
        <w:pStyle w:val="12"/>
        <w:ind w:firstLine="420" w:firstLineChars="0"/>
        <w:rPr>
          <w:rFonts w:hint="default" w:ascii="仿宋" w:hAnsi="仿宋" w:eastAsia="仿宋" w:cs="仿宋"/>
          <w:kern w:val="2"/>
          <w:sz w:val="24"/>
          <w:szCs w:val="24"/>
          <w:u w:val="single"/>
          <w:lang w:val="en-US" w:eastAsia="zh-CN" w:bidi="ar-SA"/>
        </w:rPr>
      </w:pPr>
    </w:p>
    <w:p>
      <w:pPr>
        <w:pStyle w:val="3"/>
        <w:spacing w:line="240" w:lineRule="auto"/>
      </w:pPr>
      <w:bookmarkStart w:id="10" w:name="_Toc9703"/>
      <w:r>
        <w:rPr>
          <w:rFonts w:hint="eastAsia"/>
        </w:rPr>
        <w:t>投标报名</w:t>
      </w:r>
      <w:bookmarkEnd w:id="10"/>
    </w:p>
    <w:p>
      <w:pPr>
        <w:pStyle w:val="4"/>
      </w:pPr>
      <w:bookmarkStart w:id="11" w:name="_Toc23592"/>
      <w:r>
        <w:rPr>
          <w:rFonts w:hint="eastAsia"/>
        </w:rPr>
        <w:t>项目报名</w:t>
      </w:r>
      <w:bookmarkEnd w:id="11"/>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hint="eastAsia" w:ascii="宋体" w:hAnsi="宋体" w:eastAsia="宋体" w:cs="Times New Roman"/>
          <w:kern w:val="2"/>
          <w:sz w:val="24"/>
          <w:szCs w:val="24"/>
        </w:rPr>
        <w:t>投标人点击菜单“</w:t>
      </w:r>
      <w:r>
        <w:rPr>
          <w:rFonts w:hint="eastAsia" w:ascii="宋体" w:hAnsi="宋体" w:eastAsia="宋体" w:cs="Times New Roman"/>
          <w:kern w:val="2"/>
          <w:sz w:val="24"/>
          <w:szCs w:val="24"/>
          <w:lang w:val="en-US" w:eastAsia="zh-CN"/>
        </w:rPr>
        <w:t>项目投标</w:t>
      </w:r>
      <w:r>
        <w:rPr>
          <w:rFonts w:hint="eastAsia" w:ascii="宋体" w:hAnsi="宋体" w:eastAsia="宋体" w:cs="Times New Roman"/>
          <w:kern w:val="2"/>
          <w:sz w:val="24"/>
          <w:szCs w:val="24"/>
        </w:rPr>
        <w:t xml:space="preserve"> &gt; 项目列表”，可以查看当前可报名的</w:t>
      </w:r>
      <w:r>
        <w:rPr>
          <w:rFonts w:hint="eastAsia" w:ascii="宋体" w:hAnsi="宋体" w:eastAsia="宋体" w:cs="Times New Roman"/>
          <w:kern w:val="2"/>
          <w:sz w:val="24"/>
          <w:szCs w:val="24"/>
          <w:lang w:val="en-US" w:eastAsia="zh-CN"/>
        </w:rPr>
        <w:t>产权</w:t>
      </w:r>
      <w:r>
        <w:rPr>
          <w:rFonts w:hint="eastAsia" w:ascii="宋体" w:hAnsi="宋体" w:eastAsia="宋体" w:cs="Times New Roman"/>
          <w:kern w:val="2"/>
          <w:sz w:val="24"/>
          <w:szCs w:val="24"/>
        </w:rPr>
        <w:t>招标项目。</w:t>
      </w:r>
    </w:p>
    <w:p>
      <w:r>
        <w:drawing>
          <wp:inline distT="0" distB="0" distL="114300" distR="114300">
            <wp:extent cx="5273040" cy="2121535"/>
            <wp:effectExtent l="0" t="0" r="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5273040" cy="2121535"/>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hint="eastAsia" w:ascii="宋体" w:hAnsi="宋体" w:eastAsia="宋体" w:cs="Times New Roman"/>
          <w:kern w:val="2"/>
          <w:sz w:val="24"/>
          <w:szCs w:val="24"/>
        </w:rPr>
        <w:t>点击一个项目的“报名”链接，可以进入查看项目信息，并进行报名。报名时输入“企业联系人”、“联系手机”，点击“报名”按钮，插入CA，输入正确的PIN码，即可报名。</w:t>
      </w:r>
    </w:p>
    <w:p>
      <w:r>
        <w:drawing>
          <wp:inline distT="0" distB="0" distL="114300" distR="114300">
            <wp:extent cx="5271135" cy="1468755"/>
            <wp:effectExtent l="0" t="0" r="190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5271135" cy="1468755"/>
                    </a:xfrm>
                    <a:prstGeom prst="rect">
                      <a:avLst/>
                    </a:prstGeom>
                    <a:noFill/>
                    <a:ln>
                      <a:noFill/>
                    </a:ln>
                  </pic:spPr>
                </pic:pic>
              </a:graphicData>
            </a:graphic>
          </wp:inline>
        </w:drawing>
      </w:r>
    </w:p>
    <w:p>
      <w:pPr>
        <w:jc w:val="center"/>
      </w:pPr>
      <w:r>
        <w:drawing>
          <wp:inline distT="0" distB="0" distL="114300" distR="114300">
            <wp:extent cx="2156460" cy="2346960"/>
            <wp:effectExtent l="0" t="0" r="762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4"/>
                    <a:stretch>
                      <a:fillRect/>
                    </a:stretch>
                  </pic:blipFill>
                  <pic:spPr>
                    <a:xfrm>
                      <a:off x="0" y="0"/>
                      <a:ext cx="2156460" cy="2346960"/>
                    </a:xfrm>
                    <a:prstGeom prst="rect">
                      <a:avLst/>
                    </a:prstGeom>
                    <a:noFill/>
                    <a:ln>
                      <a:noFill/>
                    </a:ln>
                  </pic:spPr>
                </pic:pic>
              </a:graphicData>
            </a:graphic>
          </wp:inline>
        </w:drawing>
      </w:r>
    </w:p>
    <w:p>
      <w:pPr>
        <w:pStyle w:val="4"/>
      </w:pPr>
      <w:bookmarkStart w:id="12" w:name="_Toc12980"/>
      <w:r>
        <w:rPr>
          <w:rFonts w:hint="eastAsia"/>
        </w:rPr>
        <w:t>发起联合体报名</w:t>
      </w:r>
      <w:bookmarkEnd w:id="12"/>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hint="eastAsia" w:ascii="宋体" w:hAnsi="宋体" w:eastAsia="宋体" w:cs="Times New Roman"/>
          <w:kern w:val="2"/>
          <w:sz w:val="24"/>
          <w:szCs w:val="24"/>
        </w:rPr>
        <w:t>如果项目允许联合体报名，则企业可以点击“联合体报名”按钮进行联合体报名。点击该按钮后，进入发起联合体报名页面，企业需要邀请其他企业一起联合报名。</w:t>
      </w:r>
    </w:p>
    <w:p>
      <w:r>
        <w:drawing>
          <wp:inline distT="0" distB="0" distL="114300" distR="114300">
            <wp:extent cx="5267325" cy="822960"/>
            <wp:effectExtent l="0" t="0" r="571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5"/>
                    <a:stretch>
                      <a:fillRect/>
                    </a:stretch>
                  </pic:blipFill>
                  <pic:spPr>
                    <a:xfrm>
                      <a:off x="0" y="0"/>
                      <a:ext cx="5267325" cy="822960"/>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hint="eastAsia" w:ascii="宋体" w:hAnsi="宋体" w:eastAsia="宋体" w:cs="Times New Roman"/>
          <w:kern w:val="2"/>
          <w:sz w:val="24"/>
          <w:szCs w:val="24"/>
        </w:rPr>
        <w:t>点击“添加联合投标企业”，在弹出来的企业选择页面，选择联合体企业，可以选择一个或多个联合投标企业。勾选企业，点击“确认选择”按钮，可以确认选择。</w:t>
      </w:r>
    </w:p>
    <w:p>
      <w:pPr>
        <w:widowControl w:val="0"/>
        <w:adjustRightInd/>
        <w:snapToGrid/>
        <w:spacing w:before="62" w:beforeLines="20" w:after="62" w:afterLines="20" w:line="360" w:lineRule="auto"/>
        <w:jc w:val="both"/>
        <w:rPr>
          <w:rFonts w:ascii="宋体" w:hAnsi="宋体" w:eastAsia="宋体" w:cs="Times New Roman"/>
          <w:kern w:val="2"/>
          <w:sz w:val="24"/>
          <w:szCs w:val="24"/>
        </w:rPr>
      </w:pPr>
      <w:r>
        <w:drawing>
          <wp:inline distT="0" distB="0" distL="114300" distR="114300">
            <wp:extent cx="5269865" cy="2351405"/>
            <wp:effectExtent l="0" t="0" r="3175" b="1079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6"/>
                    <a:stretch>
                      <a:fillRect/>
                    </a:stretch>
                  </pic:blipFill>
                  <pic:spPr>
                    <a:xfrm>
                      <a:off x="0" y="0"/>
                      <a:ext cx="5269865" cy="2351405"/>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hint="eastAsia" w:ascii="宋体" w:hAnsi="宋体" w:eastAsia="宋体" w:cs="Times New Roman"/>
          <w:kern w:val="2"/>
          <w:sz w:val="24"/>
          <w:szCs w:val="24"/>
        </w:rPr>
        <w:t>在发起联合体报名页面，列出刚刚选择的企业，点击按钮“</w:t>
      </w:r>
      <w:r>
        <w:rPr>
          <w:rFonts w:hint="eastAsia" w:ascii="宋体" w:hAnsi="宋体" w:eastAsia="宋体" w:cs="Times New Roman"/>
          <w:kern w:val="2"/>
          <w:sz w:val="24"/>
          <w:szCs w:val="24"/>
          <w:lang w:val="en-US" w:eastAsia="zh-CN"/>
        </w:rPr>
        <w:t>确认</w:t>
      </w:r>
      <w:r>
        <w:rPr>
          <w:rFonts w:hint="eastAsia" w:ascii="宋体" w:hAnsi="宋体" w:eastAsia="宋体" w:cs="Times New Roman"/>
          <w:kern w:val="2"/>
          <w:sz w:val="24"/>
          <w:szCs w:val="24"/>
        </w:rPr>
        <w:t>联合报名企业”，可以把联合报名信息发送给其他联合报名企业。</w:t>
      </w:r>
    </w:p>
    <w:p>
      <w:pPr>
        <w:rPr>
          <w:rFonts w:ascii="宋体" w:hAnsi="宋体" w:eastAsia="宋体" w:cs="Times New Roman"/>
          <w:kern w:val="2"/>
          <w:sz w:val="24"/>
          <w:szCs w:val="24"/>
        </w:rPr>
      </w:pPr>
      <w:r>
        <w:drawing>
          <wp:inline distT="0" distB="0" distL="114300" distR="114300">
            <wp:extent cx="5274310" cy="1530985"/>
            <wp:effectExtent l="0" t="0" r="13970" b="825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7"/>
                    <a:stretch>
                      <a:fillRect/>
                    </a:stretch>
                  </pic:blipFill>
                  <pic:spPr>
                    <a:xfrm>
                      <a:off x="0" y="0"/>
                      <a:ext cx="5274310" cy="1530985"/>
                    </a:xfrm>
                    <a:prstGeom prst="rect">
                      <a:avLst/>
                    </a:prstGeom>
                    <a:noFill/>
                    <a:ln>
                      <a:noFill/>
                    </a:ln>
                  </pic:spPr>
                </pic:pic>
              </a:graphicData>
            </a:graphic>
          </wp:inline>
        </w:drawing>
      </w:r>
    </w:p>
    <w:p>
      <w:pPr>
        <w:pStyle w:val="4"/>
      </w:pPr>
      <w:bookmarkStart w:id="13" w:name="_Toc26195"/>
      <w:r>
        <w:rPr>
          <w:rFonts w:hint="eastAsia"/>
        </w:rPr>
        <w:t>接受被邀请联合报名</w:t>
      </w:r>
      <w:bookmarkEnd w:id="13"/>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hint="eastAsia" w:ascii="宋体" w:hAnsi="宋体" w:eastAsia="宋体" w:cs="Times New Roman"/>
          <w:kern w:val="2"/>
          <w:sz w:val="24"/>
          <w:szCs w:val="24"/>
        </w:rPr>
        <w:t>被邀请企业点击菜单“项目投标 &gt; 被邀请联合报名”，可以查询该企业被邀请的报名记录。</w:t>
      </w:r>
    </w:p>
    <w:p>
      <w:pPr>
        <w:widowControl w:val="0"/>
        <w:adjustRightInd/>
        <w:snapToGrid/>
        <w:spacing w:before="62" w:beforeLines="20" w:after="62" w:afterLines="20" w:line="360" w:lineRule="auto"/>
        <w:jc w:val="both"/>
      </w:pPr>
      <w:r>
        <w:drawing>
          <wp:inline distT="0" distB="0" distL="114300" distR="114300">
            <wp:extent cx="5266690" cy="1358900"/>
            <wp:effectExtent l="0" t="0" r="6350" b="1270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8"/>
                    <a:stretch>
                      <a:fillRect/>
                    </a:stretch>
                  </pic:blipFill>
                  <pic:spPr>
                    <a:xfrm>
                      <a:off x="0" y="0"/>
                      <a:ext cx="5266690" cy="1358900"/>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hint="eastAsia" w:ascii="宋体" w:hAnsi="宋体" w:eastAsia="宋体" w:cs="Times New Roman"/>
          <w:kern w:val="2"/>
          <w:sz w:val="24"/>
          <w:szCs w:val="24"/>
        </w:rPr>
        <w:t>点击邀请列表中的“查看”链接，可以查看被邀请报名信息，点击“接受邀请”按钮，可以接受邀请；点击“不接受邀请”按钮拒绝邀请。</w:t>
      </w:r>
    </w:p>
    <w:p>
      <w:pPr>
        <w:widowControl w:val="0"/>
        <w:adjustRightInd/>
        <w:snapToGrid/>
        <w:spacing w:before="62" w:beforeLines="20" w:after="62" w:afterLines="20" w:line="360" w:lineRule="auto"/>
        <w:jc w:val="both"/>
        <w:rPr>
          <w:rFonts w:ascii="宋体" w:hAnsi="宋体" w:eastAsia="宋体" w:cs="Times New Roman"/>
          <w:kern w:val="2"/>
          <w:sz w:val="24"/>
          <w:szCs w:val="24"/>
        </w:rPr>
      </w:pPr>
      <w:r>
        <w:drawing>
          <wp:inline distT="0" distB="0" distL="114300" distR="114300">
            <wp:extent cx="5270500" cy="1911350"/>
            <wp:effectExtent l="0" t="0" r="2540" b="889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9"/>
                    <a:stretch>
                      <a:fillRect/>
                    </a:stretch>
                  </pic:blipFill>
                  <pic:spPr>
                    <a:xfrm>
                      <a:off x="0" y="0"/>
                      <a:ext cx="5270500" cy="1911350"/>
                    </a:xfrm>
                    <a:prstGeom prst="rect">
                      <a:avLst/>
                    </a:prstGeom>
                    <a:noFill/>
                    <a:ln>
                      <a:noFill/>
                    </a:ln>
                  </pic:spPr>
                </pic:pic>
              </a:graphicData>
            </a:graphic>
          </wp:inline>
        </w:drawing>
      </w:r>
    </w:p>
    <w:p>
      <w:pPr>
        <w:pStyle w:val="4"/>
      </w:pPr>
      <w:bookmarkStart w:id="14" w:name="_Toc31773"/>
      <w:r>
        <w:rPr>
          <w:rFonts w:hint="eastAsia"/>
        </w:rPr>
        <w:t>提交联合体报名</w:t>
      </w:r>
      <w:bookmarkEnd w:id="14"/>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hint="eastAsia" w:ascii="宋体" w:hAnsi="宋体" w:eastAsia="宋体" w:cs="Times New Roman"/>
          <w:kern w:val="2"/>
          <w:sz w:val="24"/>
          <w:szCs w:val="24"/>
        </w:rPr>
        <w:t>发起企业点击菜单“项目投标 &gt; 已报项目”，可以查询待提交的联合体报名记录。</w:t>
      </w:r>
    </w:p>
    <w:p>
      <w:pPr>
        <w:widowControl w:val="0"/>
        <w:adjustRightInd/>
        <w:snapToGrid/>
        <w:spacing w:before="62" w:beforeLines="20" w:after="62" w:afterLines="20" w:line="360" w:lineRule="auto"/>
        <w:jc w:val="both"/>
      </w:pPr>
      <w:r>
        <w:drawing>
          <wp:inline distT="0" distB="0" distL="0" distR="0">
            <wp:extent cx="5274310" cy="1400810"/>
            <wp:effectExtent l="0" t="0" r="254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0"/>
                    <a:stretch>
                      <a:fillRect/>
                    </a:stretch>
                  </pic:blipFill>
                  <pic:spPr>
                    <a:xfrm>
                      <a:off x="0" y="0"/>
                      <a:ext cx="5274310" cy="1400989"/>
                    </a:xfrm>
                    <a:prstGeom prst="rect">
                      <a:avLst/>
                    </a:prstGeom>
                  </pic:spPr>
                </pic:pic>
              </a:graphicData>
            </a:graphic>
          </wp:inline>
        </w:drawing>
      </w:r>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hint="eastAsia" w:ascii="宋体" w:hAnsi="宋体" w:eastAsia="宋体" w:cs="Times New Roman"/>
          <w:kern w:val="2"/>
          <w:sz w:val="24"/>
          <w:szCs w:val="24"/>
        </w:rPr>
        <w:t>点击列表中的“查看”链接，可以查看报名信息。</w:t>
      </w:r>
    </w:p>
    <w:p>
      <w:pPr>
        <w:widowControl w:val="0"/>
        <w:adjustRightInd/>
        <w:snapToGrid/>
        <w:spacing w:before="62" w:beforeLines="20" w:after="62" w:afterLines="20" w:line="360" w:lineRule="auto"/>
        <w:jc w:val="both"/>
      </w:pPr>
      <w:r>
        <w:drawing>
          <wp:inline distT="0" distB="0" distL="0" distR="0">
            <wp:extent cx="5274310" cy="1875790"/>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1"/>
                    <a:stretch>
                      <a:fillRect/>
                    </a:stretch>
                  </pic:blipFill>
                  <pic:spPr>
                    <a:xfrm>
                      <a:off x="0" y="0"/>
                      <a:ext cx="5274310" cy="1875921"/>
                    </a:xfrm>
                    <a:prstGeom prst="rect">
                      <a:avLst/>
                    </a:prstGeom>
                  </pic:spPr>
                </pic:pic>
              </a:graphicData>
            </a:graphic>
          </wp:inline>
        </w:drawing>
      </w:r>
    </w:p>
    <w:p>
      <w:pPr>
        <w:widowControl w:val="0"/>
        <w:adjustRightInd/>
        <w:snapToGrid/>
        <w:spacing w:before="62" w:beforeLines="20" w:after="62" w:afterLines="20" w:line="360" w:lineRule="auto"/>
        <w:ind w:firstLine="480" w:firstLineChars="200"/>
        <w:jc w:val="both"/>
        <w:rPr>
          <w:rFonts w:ascii="宋体" w:hAnsi="宋体" w:eastAsia="宋体" w:cs="Times New Roman"/>
          <w:kern w:val="2"/>
          <w:sz w:val="24"/>
          <w:szCs w:val="24"/>
        </w:rPr>
      </w:pPr>
      <w:r>
        <w:rPr>
          <w:rFonts w:hint="eastAsia" w:ascii="宋体" w:hAnsi="宋体" w:eastAsia="宋体" w:cs="Times New Roman"/>
          <w:kern w:val="2"/>
          <w:sz w:val="24"/>
          <w:szCs w:val="24"/>
        </w:rPr>
        <w:t>在确认其他联合报名企业登录系统接受邀请后，发起企业再点击“提交报名”按钮，可以提交联合体报名。</w:t>
      </w:r>
    </w:p>
    <w:p>
      <w:pPr>
        <w:widowControl w:val="0"/>
        <w:adjustRightInd/>
        <w:snapToGrid/>
        <w:spacing w:before="62" w:beforeLines="20" w:after="62" w:afterLines="20" w:line="360" w:lineRule="auto"/>
        <w:ind w:firstLine="439" w:firstLineChars="183"/>
        <w:jc w:val="both"/>
        <w:rPr>
          <w:rFonts w:hint="eastAsia" w:ascii="宋体" w:hAnsi="宋体" w:eastAsia="宋体" w:cs="Times New Roman"/>
          <w:kern w:val="2"/>
          <w:sz w:val="24"/>
          <w:szCs w:val="24"/>
        </w:rPr>
      </w:pPr>
      <w:r>
        <w:rPr>
          <w:rFonts w:hint="eastAsia" w:ascii="宋体" w:hAnsi="宋体" w:eastAsia="宋体" w:cs="Times New Roman"/>
          <w:kern w:val="2"/>
          <w:sz w:val="24"/>
          <w:szCs w:val="24"/>
        </w:rPr>
        <w:t>联合体报名提交后，由发起企业进行保证金的缴纳，以及投标标书的制作和递交。</w:t>
      </w:r>
    </w:p>
    <w:p>
      <w:pPr>
        <w:widowControl w:val="0"/>
        <w:adjustRightInd/>
        <w:snapToGrid/>
        <w:spacing w:before="62" w:beforeLines="20" w:after="62" w:afterLines="20" w:line="360" w:lineRule="auto"/>
        <w:jc w:val="both"/>
        <w:rPr>
          <w:rFonts w:ascii="宋体" w:hAnsi="宋体" w:eastAsia="宋体" w:cs="Times New Roman"/>
          <w:kern w:val="2"/>
          <w:sz w:val="24"/>
          <w:szCs w:val="24"/>
        </w:rPr>
      </w:pPr>
      <w:r>
        <w:drawing>
          <wp:inline distT="0" distB="0" distL="0" distR="0">
            <wp:extent cx="5160645" cy="1386840"/>
            <wp:effectExtent l="0" t="0" r="571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2"/>
                    <a:srcRect l="939" t="20242" r="1216" b="6321"/>
                    <a:stretch>
                      <a:fillRect/>
                    </a:stretch>
                  </pic:blipFill>
                  <pic:spPr>
                    <a:xfrm>
                      <a:off x="0" y="0"/>
                      <a:ext cx="5160645" cy="1386840"/>
                    </a:xfrm>
                    <a:prstGeom prst="rect">
                      <a:avLst/>
                    </a:prstGeom>
                  </pic:spPr>
                </pic:pic>
              </a:graphicData>
            </a:graphic>
          </wp:inline>
        </w:drawing>
      </w:r>
    </w:p>
    <w:p>
      <w:pPr>
        <w:pStyle w:val="3"/>
        <w:spacing w:line="240" w:lineRule="auto"/>
      </w:pPr>
      <w:bookmarkStart w:id="15" w:name="_Toc25978"/>
      <w:r>
        <w:rPr>
          <w:rFonts w:hint="eastAsia"/>
        </w:rPr>
        <w:t>在线投标</w:t>
      </w:r>
      <w:bookmarkEnd w:id="15"/>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hint="eastAsia" w:ascii="宋体" w:hAnsi="宋体" w:eastAsia="宋体" w:cs="Times New Roman"/>
          <w:kern w:val="2"/>
          <w:sz w:val="24"/>
          <w:szCs w:val="24"/>
        </w:rPr>
        <w:t>企业报名成功后，可以在线设置授权代表、缴纳保证金、</w:t>
      </w:r>
      <w:r>
        <w:rPr>
          <w:rFonts w:hint="eastAsia" w:ascii="宋体" w:hAnsi="宋体" w:eastAsia="宋体" w:cs="Times New Roman"/>
          <w:kern w:val="2"/>
          <w:sz w:val="24"/>
          <w:szCs w:val="24"/>
          <w:lang w:val="en-US" w:eastAsia="zh-CN"/>
        </w:rPr>
        <w:t>在线投标</w:t>
      </w:r>
      <w:r>
        <w:rPr>
          <w:rFonts w:hint="eastAsia" w:ascii="宋体" w:hAnsi="宋体" w:eastAsia="宋体" w:cs="Times New Roman"/>
          <w:kern w:val="2"/>
          <w:sz w:val="24"/>
          <w:szCs w:val="24"/>
        </w:rPr>
        <w:t>。点击“已报项目”，可以查看报名的项目。</w:t>
      </w:r>
    </w:p>
    <w:p>
      <w:pPr>
        <w:widowControl w:val="0"/>
        <w:adjustRightInd/>
        <w:snapToGrid/>
        <w:spacing w:before="62" w:beforeLines="20" w:after="62" w:afterLines="20" w:line="360" w:lineRule="auto"/>
        <w:jc w:val="both"/>
        <w:rPr>
          <w:rFonts w:ascii="宋体" w:hAnsi="宋体" w:eastAsia="宋体" w:cs="Times New Roman"/>
          <w:kern w:val="2"/>
          <w:sz w:val="24"/>
          <w:szCs w:val="24"/>
        </w:rPr>
      </w:pPr>
      <w:r>
        <w:drawing>
          <wp:inline distT="0" distB="0" distL="114300" distR="114300">
            <wp:extent cx="5264150" cy="2032000"/>
            <wp:effectExtent l="0" t="0" r="8890" b="1016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3"/>
                    <a:stretch>
                      <a:fillRect/>
                    </a:stretch>
                  </pic:blipFill>
                  <pic:spPr>
                    <a:xfrm>
                      <a:off x="0" y="0"/>
                      <a:ext cx="5264150" cy="2032000"/>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hint="eastAsia" w:ascii="宋体" w:hAnsi="宋体" w:eastAsia="宋体" w:cs="Times New Roman"/>
          <w:kern w:val="2"/>
          <w:sz w:val="24"/>
          <w:szCs w:val="24"/>
        </w:rPr>
        <w:t>点击项目的“查看”链接，可以进入报名项目，进行相关的操作。</w:t>
      </w:r>
    </w:p>
    <w:p>
      <w:pPr>
        <w:widowControl w:val="0"/>
        <w:adjustRightInd/>
        <w:snapToGrid/>
        <w:spacing w:before="62" w:beforeLines="20" w:after="62" w:afterLines="20" w:line="360" w:lineRule="auto"/>
        <w:jc w:val="both"/>
        <w:rPr>
          <w:rFonts w:ascii="宋体" w:hAnsi="宋体" w:eastAsia="宋体" w:cs="Times New Roman"/>
          <w:kern w:val="2"/>
          <w:sz w:val="24"/>
          <w:szCs w:val="24"/>
        </w:rPr>
      </w:pPr>
      <w:r>
        <w:drawing>
          <wp:inline distT="0" distB="0" distL="114300" distR="114300">
            <wp:extent cx="5273675" cy="842010"/>
            <wp:effectExtent l="0" t="0" r="14605" b="1143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4"/>
                    <a:stretch>
                      <a:fillRect/>
                    </a:stretch>
                  </pic:blipFill>
                  <pic:spPr>
                    <a:xfrm>
                      <a:off x="0" y="0"/>
                      <a:ext cx="5273675" cy="842010"/>
                    </a:xfrm>
                    <a:prstGeom prst="rect">
                      <a:avLst/>
                    </a:prstGeom>
                    <a:noFill/>
                    <a:ln>
                      <a:noFill/>
                    </a:ln>
                  </pic:spPr>
                </pic:pic>
              </a:graphicData>
            </a:graphic>
          </wp:inline>
        </w:drawing>
      </w:r>
    </w:p>
    <w:p>
      <w:pPr>
        <w:pStyle w:val="4"/>
      </w:pPr>
      <w:bookmarkStart w:id="16" w:name="_Toc13094"/>
      <w:r>
        <w:rPr>
          <w:rFonts w:hint="eastAsia"/>
        </w:rPr>
        <w:t>设置授权代表</w:t>
      </w:r>
      <w:bookmarkEnd w:id="16"/>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hint="eastAsia" w:ascii="宋体" w:hAnsi="宋体" w:eastAsia="宋体" w:cs="Times New Roman"/>
          <w:kern w:val="2"/>
          <w:sz w:val="24"/>
          <w:szCs w:val="24"/>
        </w:rPr>
        <w:t>在已报项目查看页面中，点击下方的“设置授权代表”按钮，可以设置企业的授权代表，该代表可以在开标时代表企业到现场进行投标签到以及递交纸质标书。授权代表从企业用户列表中选择，选中代表，点击“选择并返回”链接，可以设置成功。</w:t>
      </w:r>
    </w:p>
    <w:p>
      <w:r>
        <w:drawing>
          <wp:inline distT="0" distB="0" distL="114300" distR="114300">
            <wp:extent cx="5271135" cy="1323340"/>
            <wp:effectExtent l="0" t="0" r="1905" b="254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35"/>
                    <a:stretch>
                      <a:fillRect/>
                    </a:stretch>
                  </pic:blipFill>
                  <pic:spPr>
                    <a:xfrm>
                      <a:off x="0" y="0"/>
                      <a:ext cx="5271135" cy="1323340"/>
                    </a:xfrm>
                    <a:prstGeom prst="rect">
                      <a:avLst/>
                    </a:prstGeom>
                    <a:noFill/>
                    <a:ln>
                      <a:noFill/>
                    </a:ln>
                  </pic:spPr>
                </pic:pic>
              </a:graphicData>
            </a:graphic>
          </wp:inline>
        </w:drawing>
      </w:r>
    </w:p>
    <w:p>
      <w:pPr>
        <w:pStyle w:val="4"/>
      </w:pPr>
      <w:bookmarkStart w:id="21" w:name="_GoBack"/>
      <w:bookmarkEnd w:id="21"/>
      <w:bookmarkStart w:id="17" w:name="_Toc17940"/>
      <w:bookmarkStart w:id="18" w:name="_Toc20235"/>
      <w:r>
        <w:rPr>
          <w:rFonts w:hint="eastAsia"/>
          <w:lang w:val="en-US" w:eastAsia="zh-CN"/>
        </w:rPr>
        <w:t>在线</w:t>
      </w:r>
      <w:r>
        <w:rPr>
          <w:rFonts w:hint="eastAsia"/>
        </w:rPr>
        <w:t>投标</w:t>
      </w:r>
      <w:bookmarkEnd w:id="17"/>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hint="eastAsia" w:ascii="宋体" w:hAnsi="宋体" w:eastAsia="宋体" w:cs="Times New Roman"/>
          <w:kern w:val="2"/>
          <w:sz w:val="24"/>
          <w:szCs w:val="24"/>
        </w:rPr>
        <w:t>在已报项目查看页面中，点击下方的“在线投标”按钮，可以进入投标文件制作页面。</w:t>
      </w:r>
    </w:p>
    <w:p>
      <w:pPr>
        <w:widowControl w:val="0"/>
        <w:adjustRightInd/>
        <w:snapToGrid/>
        <w:spacing w:before="62" w:beforeLines="20" w:after="62" w:afterLines="20" w:line="360" w:lineRule="auto"/>
        <w:rPr>
          <w:rFonts w:ascii="宋体" w:hAnsi="宋体" w:eastAsia="宋体" w:cs="Times New Roman"/>
          <w:kern w:val="2"/>
          <w:sz w:val="24"/>
          <w:szCs w:val="24"/>
        </w:rPr>
      </w:pPr>
      <w:r>
        <w:drawing>
          <wp:inline distT="0" distB="0" distL="114300" distR="114300">
            <wp:extent cx="5273040" cy="787400"/>
            <wp:effectExtent l="0" t="0" r="0"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6"/>
                    <a:stretch>
                      <a:fillRect/>
                    </a:stretch>
                  </pic:blipFill>
                  <pic:spPr>
                    <a:xfrm>
                      <a:off x="0" y="0"/>
                      <a:ext cx="5273040" cy="787400"/>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hint="default" w:ascii="宋体" w:hAnsi="宋体" w:eastAsia="宋体" w:cs="Times New Roman"/>
          <w:kern w:val="2"/>
          <w:sz w:val="24"/>
          <w:szCs w:val="24"/>
          <w:lang w:val="en-US" w:eastAsia="zh-CN"/>
        </w:rPr>
      </w:pPr>
      <w:r>
        <w:rPr>
          <w:rFonts w:hint="eastAsia" w:ascii="宋体" w:hAnsi="宋体" w:eastAsia="宋体" w:cs="Times New Roman"/>
          <w:kern w:val="2"/>
          <w:sz w:val="24"/>
          <w:szCs w:val="24"/>
        </w:rPr>
        <w:t>1、填写开标一览表。</w:t>
      </w:r>
      <w:r>
        <w:rPr>
          <w:rFonts w:hint="eastAsia" w:ascii="宋体" w:hAnsi="宋体" w:eastAsia="宋体" w:cs="Times New Roman"/>
          <w:kern w:val="2"/>
          <w:sz w:val="24"/>
          <w:szCs w:val="24"/>
          <w:lang w:val="en-US" w:eastAsia="zh-CN"/>
        </w:rPr>
        <w:t>根据项目报价要求，填写报价下浮率或总报价。</w:t>
      </w:r>
    </w:p>
    <w:p>
      <w:r>
        <w:drawing>
          <wp:inline distT="0" distB="0" distL="114300" distR="114300">
            <wp:extent cx="5273040" cy="1677670"/>
            <wp:effectExtent l="0" t="0" r="0" b="1397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7"/>
                    <a:stretch>
                      <a:fillRect/>
                    </a:stretch>
                  </pic:blipFill>
                  <pic:spPr>
                    <a:xfrm>
                      <a:off x="0" y="0"/>
                      <a:ext cx="5273040" cy="1677670"/>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hint="eastAsia" w:ascii="宋体" w:hAnsi="宋体" w:eastAsia="宋体" w:cs="Times New Roman"/>
          <w:kern w:val="2"/>
          <w:sz w:val="24"/>
          <w:szCs w:val="24"/>
        </w:rPr>
        <w:t>2、对投标人资格条款进行响应。</w:t>
      </w:r>
      <w:r>
        <w:rPr>
          <w:rFonts w:hint="eastAsia" w:ascii="宋体" w:hAnsi="宋体" w:eastAsia="宋体" w:cs="Times New Roman"/>
          <w:kern w:val="2"/>
          <w:sz w:val="24"/>
          <w:szCs w:val="24"/>
          <w:lang w:val="en-US" w:eastAsia="zh-CN"/>
        </w:rPr>
        <w:t>如果</w:t>
      </w:r>
      <w:r>
        <w:rPr>
          <w:rFonts w:hint="eastAsia" w:ascii="宋体" w:hAnsi="宋体" w:eastAsia="宋体" w:cs="Times New Roman"/>
          <w:kern w:val="2"/>
          <w:sz w:val="24"/>
          <w:szCs w:val="24"/>
        </w:rPr>
        <w:t>需要上传投标文件的条款</w:t>
      </w:r>
      <w:r>
        <w:rPr>
          <w:rFonts w:hint="eastAsia" w:ascii="宋体" w:hAnsi="宋体" w:eastAsia="宋体" w:cs="Times New Roman"/>
          <w:kern w:val="2"/>
          <w:sz w:val="24"/>
          <w:szCs w:val="24"/>
          <w:lang w:eastAsia="zh-CN"/>
        </w:rPr>
        <w:t>，</w:t>
      </w:r>
      <w:r>
        <w:rPr>
          <w:rFonts w:hint="eastAsia" w:ascii="宋体" w:hAnsi="宋体" w:eastAsia="宋体" w:cs="Times New Roman"/>
          <w:kern w:val="2"/>
          <w:sz w:val="24"/>
          <w:szCs w:val="24"/>
          <w:lang w:val="en-US" w:eastAsia="zh-CN"/>
        </w:rPr>
        <w:t>上传相应的</w:t>
      </w:r>
      <w:r>
        <w:rPr>
          <w:rFonts w:hint="eastAsia" w:ascii="宋体" w:hAnsi="宋体" w:eastAsia="宋体" w:cs="Times New Roman"/>
          <w:kern w:val="2"/>
          <w:sz w:val="24"/>
          <w:szCs w:val="24"/>
        </w:rPr>
        <w:t>投标文件。注意：上传请按招标文件要求（可参考上传说明），上传该资格条款对应的投标文件，格式为PDF文档。</w:t>
      </w:r>
    </w:p>
    <w:p>
      <w:r>
        <w:drawing>
          <wp:inline distT="0" distB="0" distL="114300" distR="114300">
            <wp:extent cx="5273675" cy="1581150"/>
            <wp:effectExtent l="0" t="0" r="14605" b="381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38"/>
                    <a:stretch>
                      <a:fillRect/>
                    </a:stretch>
                  </pic:blipFill>
                  <pic:spPr>
                    <a:xfrm>
                      <a:off x="0" y="0"/>
                      <a:ext cx="5273675" cy="1581150"/>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hint="eastAsia" w:ascii="宋体" w:hAnsi="宋体" w:eastAsia="宋体" w:cs="Times New Roman"/>
          <w:kern w:val="2"/>
          <w:sz w:val="24"/>
          <w:szCs w:val="24"/>
        </w:rPr>
        <w:t>3、对符合性审查条款进行响应。响应方式：（1）填写“是否响应”“响应情况”；（2）针对需要上传投标文件的条款进行投标附件上传。注意：上传请按招标文件要求，上传该符合性审查条款对应的投标文件，而不是上传整个完整的投标文件。上传文件的格式为PDF格式。</w:t>
      </w:r>
    </w:p>
    <w:p>
      <w:r>
        <w:drawing>
          <wp:inline distT="0" distB="0" distL="114300" distR="114300">
            <wp:extent cx="5271770" cy="1597025"/>
            <wp:effectExtent l="0" t="0" r="1270" b="317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39"/>
                    <a:stretch>
                      <a:fillRect/>
                    </a:stretch>
                  </pic:blipFill>
                  <pic:spPr>
                    <a:xfrm>
                      <a:off x="0" y="0"/>
                      <a:ext cx="5271770" cy="1597025"/>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ascii="宋体" w:hAnsi="宋体" w:eastAsia="宋体" w:cs="Times New Roman"/>
          <w:kern w:val="2"/>
          <w:sz w:val="24"/>
          <w:szCs w:val="24"/>
        </w:rPr>
        <w:t>4</w:t>
      </w:r>
      <w:r>
        <w:rPr>
          <w:rFonts w:hint="eastAsia" w:ascii="宋体" w:hAnsi="宋体" w:eastAsia="宋体" w:cs="Times New Roman"/>
          <w:kern w:val="2"/>
          <w:sz w:val="24"/>
          <w:szCs w:val="24"/>
        </w:rPr>
        <w:t>、对详细评审进行响应。响应方式是针对需要上传投标文件的评分项目进行投标文件上传。注意：上传请按招标文件要求，上传该评分项目对应的投标文件，而不是上传整个完整的投标文件。上传文件的格式为PDF格式。</w:t>
      </w:r>
    </w:p>
    <w:p>
      <w:r>
        <w:drawing>
          <wp:inline distT="0" distB="0" distL="114300" distR="114300">
            <wp:extent cx="5264785" cy="2540000"/>
            <wp:effectExtent l="0" t="0" r="8255" b="508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40"/>
                    <a:stretch>
                      <a:fillRect/>
                    </a:stretch>
                  </pic:blipFill>
                  <pic:spPr>
                    <a:xfrm>
                      <a:off x="0" y="0"/>
                      <a:ext cx="5264785" cy="2540000"/>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pPr>
      <w:r>
        <w:rPr>
          <w:rFonts w:hint="eastAsia" w:ascii="宋体" w:hAnsi="宋体" w:eastAsia="宋体" w:cs="Times New Roman"/>
          <w:kern w:val="2"/>
          <w:sz w:val="24"/>
          <w:szCs w:val="24"/>
        </w:rPr>
        <w:t>在制作标书的过程中，可以随时点击“暂存”按钮保存所填写和上传的内容。</w:t>
      </w:r>
    </w:p>
    <w:p>
      <w:pPr>
        <w:ind w:firstLine="420" w:firstLineChars="0"/>
      </w:pPr>
      <w:r>
        <w:rPr>
          <w:rFonts w:hint="eastAsia" w:ascii="宋体" w:hAnsi="宋体" w:eastAsia="宋体" w:cs="Times New Roman"/>
          <w:kern w:val="2"/>
          <w:sz w:val="24"/>
          <w:szCs w:val="24"/>
          <w:lang w:val="en-US" w:eastAsia="zh-CN"/>
        </w:rPr>
        <w:t>5</w:t>
      </w:r>
      <w:r>
        <w:rPr>
          <w:rFonts w:hint="eastAsia" w:ascii="宋体" w:hAnsi="宋体" w:eastAsia="宋体" w:cs="Times New Roman"/>
          <w:kern w:val="2"/>
          <w:sz w:val="24"/>
          <w:szCs w:val="24"/>
        </w:rPr>
        <w:t>、</w:t>
      </w:r>
      <w:r>
        <w:rPr>
          <w:rFonts w:hint="eastAsia" w:ascii="宋体" w:hAnsi="宋体" w:eastAsia="宋体" w:cs="Times New Roman"/>
          <w:kern w:val="2"/>
          <w:sz w:val="24"/>
          <w:szCs w:val="24"/>
          <w:lang w:val="en-US" w:eastAsia="zh-CN"/>
        </w:rPr>
        <w:t>上传电子标书文件，请上传PDF格式的电子投标文件</w:t>
      </w:r>
      <w:r>
        <w:rPr>
          <w:rFonts w:hint="eastAsia" w:ascii="宋体" w:hAnsi="宋体" w:eastAsia="宋体" w:cs="Times New Roman"/>
          <w:kern w:val="2"/>
          <w:sz w:val="24"/>
          <w:szCs w:val="24"/>
        </w:rPr>
        <w:t>。</w:t>
      </w:r>
    </w:p>
    <w:p>
      <w:r>
        <w:drawing>
          <wp:inline distT="0" distB="0" distL="114300" distR="114300">
            <wp:extent cx="5265420" cy="1256665"/>
            <wp:effectExtent l="0" t="0" r="7620" b="825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41"/>
                    <a:stretch>
                      <a:fillRect/>
                    </a:stretch>
                  </pic:blipFill>
                  <pic:spPr>
                    <a:xfrm>
                      <a:off x="0" y="0"/>
                      <a:ext cx="5265420" cy="1256665"/>
                    </a:xfrm>
                    <a:prstGeom prst="rect">
                      <a:avLst/>
                    </a:prstGeom>
                    <a:noFill/>
                    <a:ln>
                      <a:noFill/>
                    </a:ln>
                  </pic:spPr>
                </pic:pic>
              </a:graphicData>
            </a:graphic>
          </wp:inline>
        </w:drawing>
      </w:r>
    </w:p>
    <w:p>
      <w:pPr>
        <w:ind w:left="0" w:leftChars="0" w:firstLine="439" w:firstLineChars="183"/>
        <w:rPr>
          <w:rFonts w:hint="eastAsia" w:ascii="宋体" w:hAnsi="宋体" w:eastAsia="宋体" w:cs="Times New Roman"/>
          <w:kern w:val="2"/>
          <w:sz w:val="24"/>
          <w:szCs w:val="24"/>
        </w:rPr>
      </w:pPr>
      <w:r>
        <w:rPr>
          <w:rFonts w:hint="eastAsia" w:ascii="宋体" w:hAnsi="宋体" w:eastAsia="宋体" w:cs="Times New Roman"/>
          <w:kern w:val="2"/>
          <w:sz w:val="24"/>
          <w:szCs w:val="24"/>
          <w:lang w:val="en-US" w:eastAsia="zh-CN"/>
        </w:rPr>
        <w:t>所有内容填写完成，并上传了电子投标文件后，</w:t>
      </w:r>
      <w:r>
        <w:rPr>
          <w:rFonts w:hint="eastAsia" w:ascii="宋体" w:hAnsi="宋体" w:eastAsia="宋体" w:cs="Times New Roman"/>
          <w:kern w:val="2"/>
          <w:sz w:val="24"/>
          <w:szCs w:val="24"/>
        </w:rPr>
        <w:t>点击“提交标书”按钮，提交投标。</w:t>
      </w:r>
    </w:p>
    <w:p>
      <w:pPr>
        <w:rPr>
          <w:rFonts w:hint="eastAsia" w:ascii="宋体" w:hAnsi="宋体" w:eastAsia="宋体" w:cs="Times New Roman"/>
          <w:kern w:val="2"/>
          <w:sz w:val="24"/>
          <w:szCs w:val="24"/>
        </w:rPr>
      </w:pPr>
      <w:r>
        <w:drawing>
          <wp:inline distT="0" distB="0" distL="114300" distR="114300">
            <wp:extent cx="5273040" cy="559435"/>
            <wp:effectExtent l="0" t="0" r="0" b="444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42"/>
                    <a:stretch>
                      <a:fillRect/>
                    </a:stretch>
                  </pic:blipFill>
                  <pic:spPr>
                    <a:xfrm>
                      <a:off x="0" y="0"/>
                      <a:ext cx="5273040" cy="559435"/>
                    </a:xfrm>
                    <a:prstGeom prst="rect">
                      <a:avLst/>
                    </a:prstGeom>
                    <a:noFill/>
                    <a:ln>
                      <a:noFill/>
                    </a:ln>
                  </pic:spPr>
                </pic:pic>
              </a:graphicData>
            </a:graphic>
          </wp:inline>
        </w:drawing>
      </w:r>
    </w:p>
    <w:p>
      <w:pPr>
        <w:pStyle w:val="4"/>
      </w:pPr>
      <w:r>
        <w:rPr>
          <w:rFonts w:hint="eastAsia"/>
          <w:lang w:val="en-US" w:eastAsia="zh-CN"/>
        </w:rPr>
        <w:t>因招文更新重置投标</w:t>
      </w:r>
    </w:p>
    <w:p>
      <w:pPr>
        <w:ind w:left="0" w:leftChars="0" w:firstLine="439" w:firstLineChars="183"/>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如招标文件更正修改了，特别是修改了关键信息，例如评审条件，需要重新进行在线投标。</w:t>
      </w:r>
    </w:p>
    <w:p>
      <w:pPr>
        <w:rPr>
          <w:rFonts w:hint="eastAsia" w:ascii="宋体" w:hAnsi="宋体" w:eastAsia="宋体" w:cs="Times New Roman"/>
          <w:kern w:val="2"/>
          <w:sz w:val="24"/>
          <w:szCs w:val="24"/>
          <w:lang w:val="en-US" w:eastAsia="zh-CN"/>
        </w:rPr>
      </w:pPr>
      <w:r>
        <w:drawing>
          <wp:inline distT="0" distB="0" distL="114300" distR="114300">
            <wp:extent cx="5267325" cy="768350"/>
            <wp:effectExtent l="0" t="0" r="5715" b="889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43"/>
                    <a:stretch>
                      <a:fillRect/>
                    </a:stretch>
                  </pic:blipFill>
                  <pic:spPr>
                    <a:xfrm>
                      <a:off x="0" y="0"/>
                      <a:ext cx="5267325" cy="768350"/>
                    </a:xfrm>
                    <a:prstGeom prst="rect">
                      <a:avLst/>
                    </a:prstGeom>
                    <a:noFill/>
                    <a:ln>
                      <a:noFill/>
                    </a:ln>
                  </pic:spPr>
                </pic:pic>
              </a:graphicData>
            </a:graphic>
          </wp:inline>
        </w:drawing>
      </w:r>
    </w:p>
    <w:p>
      <w:pPr>
        <w:pStyle w:val="4"/>
      </w:pPr>
      <w:r>
        <w:rPr>
          <w:rFonts w:hint="eastAsia"/>
        </w:rPr>
        <w:t>缴纳保证金</w:t>
      </w:r>
      <w:bookmarkEnd w:id="18"/>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hint="eastAsia" w:ascii="宋体" w:hAnsi="宋体" w:eastAsia="宋体" w:cs="Times New Roman"/>
          <w:kern w:val="2"/>
          <w:sz w:val="24"/>
          <w:szCs w:val="24"/>
        </w:rPr>
        <w:t>在已报项目处理页面中，点击下方的“缴纳保证金”按钮，可以进入缴纳投标保证金页面。</w:t>
      </w:r>
    </w:p>
    <w:p>
      <w:pPr>
        <w:widowControl w:val="0"/>
        <w:adjustRightInd/>
        <w:snapToGrid/>
        <w:spacing w:before="62" w:beforeLines="20" w:after="62" w:afterLines="20" w:line="360" w:lineRule="auto"/>
        <w:jc w:val="both"/>
      </w:pPr>
      <w:r>
        <w:drawing>
          <wp:inline distT="0" distB="0" distL="114300" distR="114300">
            <wp:extent cx="5271770" cy="869950"/>
            <wp:effectExtent l="0" t="0" r="1270" b="1397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4"/>
                    <a:stretch>
                      <a:fillRect/>
                    </a:stretch>
                  </pic:blipFill>
                  <pic:spPr>
                    <a:xfrm>
                      <a:off x="0" y="0"/>
                      <a:ext cx="5271770" cy="869950"/>
                    </a:xfrm>
                    <a:prstGeom prst="rect">
                      <a:avLst/>
                    </a:prstGeom>
                    <a:noFill/>
                    <a:ln>
                      <a:noFill/>
                    </a:ln>
                  </pic:spPr>
                </pic:pic>
              </a:graphicData>
            </a:graphic>
          </wp:inline>
        </w:drawing>
      </w:r>
    </w:p>
    <w:p>
      <w:pPr>
        <w:widowControl w:val="0"/>
        <w:adjustRightInd/>
        <w:snapToGrid/>
        <w:spacing w:before="62" w:beforeLines="20" w:after="62" w:afterLines="20" w:line="360" w:lineRule="auto"/>
        <w:jc w:val="both"/>
      </w:pPr>
      <w:r>
        <w:drawing>
          <wp:inline distT="0" distB="0" distL="114300" distR="114300">
            <wp:extent cx="5266690" cy="1059180"/>
            <wp:effectExtent l="0" t="0" r="6350" b="762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45"/>
                    <a:stretch>
                      <a:fillRect/>
                    </a:stretch>
                  </pic:blipFill>
                  <pic:spPr>
                    <a:xfrm>
                      <a:off x="0" y="0"/>
                      <a:ext cx="5266690" cy="1059180"/>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hint="default"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转账方式缴纳保证金时，需选择一家缴纳保证金的银行。</w:t>
      </w:r>
    </w:p>
    <w:p>
      <w:pPr>
        <w:widowControl w:val="0"/>
        <w:adjustRightInd/>
        <w:snapToGrid/>
        <w:spacing w:before="62" w:beforeLines="20" w:after="62" w:afterLines="20" w:line="360" w:lineRule="auto"/>
        <w:jc w:val="both"/>
        <w:rPr>
          <w:rFonts w:hint="eastAsia" w:ascii="宋体" w:hAnsi="宋体" w:eastAsia="宋体" w:cs="Times New Roman"/>
          <w:kern w:val="2"/>
          <w:sz w:val="24"/>
          <w:szCs w:val="24"/>
          <w:lang w:val="en-US" w:eastAsia="zh-CN"/>
        </w:rPr>
      </w:pPr>
      <w:r>
        <w:drawing>
          <wp:inline distT="0" distB="0" distL="114300" distR="114300">
            <wp:extent cx="5514975" cy="1612265"/>
            <wp:effectExtent l="0" t="0" r="1905" b="3175"/>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46"/>
                    <a:stretch>
                      <a:fillRect/>
                    </a:stretch>
                  </pic:blipFill>
                  <pic:spPr>
                    <a:xfrm>
                      <a:off x="0" y="0"/>
                      <a:ext cx="5514975" cy="1612265"/>
                    </a:xfrm>
                    <a:prstGeom prst="rect">
                      <a:avLst/>
                    </a:prstGeom>
                  </pic:spPr>
                </pic:pic>
              </a:graphicData>
            </a:graphic>
          </wp:inline>
        </w:drawing>
      </w:r>
    </w:p>
    <w:p>
      <w:pPr>
        <w:widowControl w:val="0"/>
        <w:adjustRightInd/>
        <w:snapToGrid/>
        <w:spacing w:before="62" w:beforeLines="20" w:after="62" w:afterLines="20" w:line="360" w:lineRule="auto"/>
        <w:ind w:firstLine="439" w:firstLineChars="183"/>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选中银行后，点击“确认，下一步”按钮，可以生成保证金付款子账号信息。</w:t>
      </w:r>
    </w:p>
    <w:p>
      <w:pPr>
        <w:widowControl w:val="0"/>
        <w:adjustRightInd/>
        <w:snapToGrid/>
        <w:spacing w:before="62" w:beforeLines="20" w:after="62" w:afterLines="20" w:line="360" w:lineRule="auto"/>
        <w:jc w:val="both"/>
        <w:rPr>
          <w:rFonts w:hint="eastAsia" w:ascii="宋体" w:hAnsi="宋体" w:eastAsia="宋体" w:cs="Times New Roman"/>
          <w:kern w:val="2"/>
          <w:sz w:val="24"/>
          <w:szCs w:val="24"/>
          <w:lang w:val="en-US" w:eastAsia="zh-CN"/>
        </w:rPr>
      </w:pPr>
      <w:r>
        <w:drawing>
          <wp:inline distT="0" distB="0" distL="114300" distR="114300">
            <wp:extent cx="5269865" cy="2205355"/>
            <wp:effectExtent l="0" t="0" r="3175" b="444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47"/>
                    <a:stretch>
                      <a:fillRect/>
                    </a:stretch>
                  </pic:blipFill>
                  <pic:spPr>
                    <a:xfrm>
                      <a:off x="0" y="0"/>
                      <a:ext cx="5269865" cy="2205355"/>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转账方式支付保证金，需要使用投标人公司账户，在保证金缴纳截止时间之前，一次性打入足额保证金到保证金收款子账号中，才能缴纳成功。</w:t>
      </w:r>
    </w:p>
    <w:p>
      <w:pPr>
        <w:widowControl w:val="0"/>
        <w:adjustRightInd/>
        <w:snapToGrid/>
        <w:spacing w:before="62" w:beforeLines="20" w:after="62" w:afterLines="20" w:line="360" w:lineRule="auto"/>
        <w:ind w:left="0" w:leftChars="0" w:firstLine="439" w:firstLineChars="183"/>
        <w:jc w:val="both"/>
        <w:rPr>
          <w:rFonts w:hint="default"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保函方式缴纳保证金时，填写开具保函银行、保函担保费、保函有效期、保函编号，上传保函扫描件。保证金缴纳成功，才能参与评标。</w:t>
      </w:r>
    </w:p>
    <w:p>
      <w:pPr>
        <w:widowControl w:val="0"/>
        <w:adjustRightInd/>
        <w:snapToGrid/>
        <w:spacing w:before="62" w:beforeLines="20" w:after="62" w:afterLines="20" w:line="360" w:lineRule="auto"/>
        <w:ind w:firstLine="402" w:firstLineChars="183"/>
        <w:jc w:val="both"/>
        <w:rPr>
          <w:rFonts w:hint="default" w:ascii="宋体" w:hAnsi="宋体" w:eastAsia="宋体" w:cs="Times New Roman"/>
          <w:kern w:val="2"/>
          <w:sz w:val="24"/>
          <w:szCs w:val="24"/>
          <w:lang w:val="en-US" w:eastAsia="zh-CN"/>
        </w:rPr>
      </w:pPr>
      <w:r>
        <w:drawing>
          <wp:inline distT="0" distB="0" distL="114300" distR="114300">
            <wp:extent cx="5261610" cy="1563370"/>
            <wp:effectExtent l="0" t="0" r="11430" b="635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48"/>
                    <a:stretch>
                      <a:fillRect/>
                    </a:stretch>
                  </pic:blipFill>
                  <pic:spPr>
                    <a:xfrm>
                      <a:off x="0" y="0"/>
                      <a:ext cx="5261610" cy="1563370"/>
                    </a:xfrm>
                    <a:prstGeom prst="rect">
                      <a:avLst/>
                    </a:prstGeom>
                    <a:noFill/>
                    <a:ln>
                      <a:noFill/>
                    </a:ln>
                  </pic:spPr>
                </pic:pic>
              </a:graphicData>
            </a:graphic>
          </wp:inline>
        </w:drawing>
      </w:r>
    </w:p>
    <w:p>
      <w:pPr>
        <w:widowControl w:val="0"/>
        <w:adjustRightInd/>
        <w:snapToGrid/>
        <w:spacing w:before="62" w:beforeLines="20" w:after="62" w:afterLines="20" w:line="360" w:lineRule="auto"/>
        <w:ind w:left="0" w:leftChars="0" w:firstLine="439" w:firstLineChars="183"/>
        <w:jc w:val="both"/>
        <w:rPr>
          <w:rFonts w:hint="eastAsia" w:ascii="宋体" w:hAnsi="宋体" w:eastAsia="宋体" w:cs="Times New Roman"/>
          <w:kern w:val="2"/>
          <w:sz w:val="24"/>
          <w:szCs w:val="24"/>
          <w:lang w:val="en-US" w:eastAsia="zh-CN"/>
        </w:rPr>
      </w:pPr>
    </w:p>
    <w:p>
      <w:pPr>
        <w:widowControl w:val="0"/>
        <w:adjustRightInd/>
        <w:snapToGrid/>
        <w:spacing w:before="62" w:beforeLines="20" w:after="62" w:afterLines="20" w:line="360" w:lineRule="auto"/>
        <w:ind w:left="0" w:leftChars="0" w:firstLine="439" w:firstLineChars="183"/>
        <w:jc w:val="both"/>
        <w:rPr>
          <w:rFonts w:hint="eastAsia" w:ascii="宋体" w:hAnsi="宋体" w:eastAsia="宋体" w:cs="Times New Roman"/>
          <w:kern w:val="2"/>
          <w:sz w:val="24"/>
          <w:szCs w:val="24"/>
          <w:lang w:val="en-US" w:eastAsia="zh-CN"/>
        </w:rPr>
      </w:pPr>
    </w:p>
    <w:p>
      <w:pPr>
        <w:pStyle w:val="3"/>
        <w:spacing w:line="240" w:lineRule="auto"/>
      </w:pPr>
      <w:bookmarkStart w:id="19" w:name="_Toc13436"/>
      <w:r>
        <w:rPr>
          <w:rFonts w:hint="eastAsia"/>
        </w:rPr>
        <w:t>查看中标项目</w:t>
      </w:r>
      <w:bookmarkEnd w:id="19"/>
    </w:p>
    <w:p>
      <w:pPr>
        <w:widowControl w:val="0"/>
        <w:adjustRightInd/>
        <w:snapToGrid/>
        <w:spacing w:before="62" w:beforeLines="20" w:after="62" w:afterLines="20" w:line="360" w:lineRule="auto"/>
        <w:ind w:firstLine="439" w:firstLineChars="183"/>
        <w:jc w:val="both"/>
        <w:rPr>
          <w:rFonts w:ascii="宋体" w:hAnsi="宋体" w:eastAsia="宋体" w:cs="Times New Roman"/>
          <w:kern w:val="2"/>
          <w:sz w:val="24"/>
          <w:szCs w:val="24"/>
        </w:rPr>
      </w:pPr>
      <w:r>
        <w:rPr>
          <w:rFonts w:hint="eastAsia" w:ascii="宋体" w:hAnsi="宋体" w:eastAsia="宋体" w:cs="Times New Roman"/>
          <w:kern w:val="2"/>
          <w:sz w:val="24"/>
          <w:szCs w:val="24"/>
        </w:rPr>
        <w:t>项目评标完成，并经过交易结果公示后，中标企业可以查看中标项目。点击菜单“</w:t>
      </w:r>
      <w:r>
        <w:rPr>
          <w:rFonts w:hint="eastAsia" w:ascii="宋体" w:hAnsi="宋体" w:eastAsia="宋体" w:cs="Times New Roman"/>
          <w:kern w:val="2"/>
          <w:sz w:val="24"/>
          <w:szCs w:val="24"/>
          <w:lang w:val="en-US" w:eastAsia="zh-CN"/>
        </w:rPr>
        <w:t>结果公示</w:t>
      </w:r>
      <w:r>
        <w:rPr>
          <w:rFonts w:hint="eastAsia" w:ascii="宋体" w:hAnsi="宋体" w:eastAsia="宋体" w:cs="Times New Roman"/>
          <w:kern w:val="2"/>
          <w:sz w:val="24"/>
          <w:szCs w:val="24"/>
        </w:rPr>
        <w:t xml:space="preserve"> &gt; 中标项目”，可以查看中标的</w:t>
      </w:r>
      <w:r>
        <w:rPr>
          <w:rFonts w:hint="eastAsia" w:ascii="宋体" w:hAnsi="宋体" w:eastAsia="宋体" w:cs="Times New Roman"/>
          <w:kern w:val="2"/>
          <w:sz w:val="24"/>
          <w:szCs w:val="24"/>
          <w:lang w:val="en-US" w:eastAsia="zh-CN"/>
        </w:rPr>
        <w:t>产权招标</w:t>
      </w:r>
      <w:r>
        <w:rPr>
          <w:rFonts w:hint="eastAsia" w:ascii="宋体" w:hAnsi="宋体" w:eastAsia="宋体" w:cs="Times New Roman"/>
          <w:kern w:val="2"/>
          <w:sz w:val="24"/>
          <w:szCs w:val="24"/>
        </w:rPr>
        <w:t>项目。</w:t>
      </w:r>
    </w:p>
    <w:p>
      <w:pPr>
        <w:widowControl w:val="0"/>
        <w:adjustRightInd/>
        <w:snapToGrid/>
        <w:spacing w:before="62" w:beforeLines="20" w:after="62" w:afterLines="20" w:line="360" w:lineRule="auto"/>
        <w:jc w:val="both"/>
      </w:pPr>
      <w:r>
        <w:drawing>
          <wp:inline distT="0" distB="0" distL="114300" distR="114300">
            <wp:extent cx="5266690" cy="1426210"/>
            <wp:effectExtent l="0" t="0" r="6350" b="635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49"/>
                    <a:stretch>
                      <a:fillRect/>
                    </a:stretch>
                  </pic:blipFill>
                  <pic:spPr>
                    <a:xfrm>
                      <a:off x="0" y="0"/>
                      <a:ext cx="5266690" cy="1426210"/>
                    </a:xfrm>
                    <a:prstGeom prst="rect">
                      <a:avLst/>
                    </a:prstGeom>
                    <a:noFill/>
                    <a:ln>
                      <a:noFill/>
                    </a:ln>
                  </pic:spPr>
                </pic:pic>
              </a:graphicData>
            </a:graphic>
          </wp:inline>
        </w:drawing>
      </w:r>
    </w:p>
    <w:p>
      <w:pPr>
        <w:widowControl w:val="0"/>
        <w:adjustRightInd/>
        <w:snapToGrid/>
        <w:spacing w:before="62" w:beforeLines="20" w:after="62" w:afterLines="20" w:line="360" w:lineRule="auto"/>
        <w:ind w:firstLine="439" w:firstLineChars="183"/>
        <w:jc w:val="both"/>
        <w:rPr>
          <w:rFonts w:hint="eastAsia" w:ascii="宋体" w:hAnsi="宋体" w:eastAsia="宋体" w:cs="Times New Roman"/>
          <w:kern w:val="2"/>
          <w:sz w:val="24"/>
          <w:szCs w:val="24"/>
        </w:rPr>
      </w:pPr>
      <w:r>
        <w:rPr>
          <w:rFonts w:hint="eastAsia" w:ascii="宋体" w:hAnsi="宋体" w:eastAsia="宋体" w:cs="Times New Roman"/>
          <w:kern w:val="2"/>
          <w:sz w:val="24"/>
          <w:szCs w:val="24"/>
        </w:rPr>
        <w:t>点击项目的“查看通知书”，可以查看及打印中标通知书。</w:t>
      </w:r>
    </w:p>
    <w:p>
      <w:pPr>
        <w:widowControl w:val="0"/>
        <w:adjustRightInd/>
        <w:snapToGrid/>
        <w:spacing w:before="62" w:beforeLines="20" w:after="62" w:afterLines="20" w:line="360" w:lineRule="auto"/>
        <w:jc w:val="both"/>
        <w:rPr>
          <w:rFonts w:hint="eastAsia" w:ascii="宋体" w:hAnsi="宋体" w:eastAsia="宋体" w:cs="Times New Roman"/>
          <w:kern w:val="2"/>
          <w:sz w:val="24"/>
          <w:szCs w:val="24"/>
          <w:lang w:eastAsia="zh-CN"/>
        </w:rPr>
      </w:pPr>
      <w:r>
        <w:drawing>
          <wp:inline distT="0" distB="0" distL="114300" distR="114300">
            <wp:extent cx="5267325" cy="1811655"/>
            <wp:effectExtent l="0" t="0" r="5715" b="19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0"/>
                    <a:stretch>
                      <a:fillRect/>
                    </a:stretch>
                  </pic:blipFill>
                  <pic:spPr>
                    <a:xfrm>
                      <a:off x="0" y="0"/>
                      <a:ext cx="5267325" cy="1811655"/>
                    </a:xfrm>
                    <a:prstGeom prst="rect">
                      <a:avLst/>
                    </a:prstGeom>
                    <a:noFill/>
                    <a:ln>
                      <a:noFill/>
                    </a:ln>
                  </pic:spPr>
                </pic:pic>
              </a:graphicData>
            </a:graphic>
          </wp:inline>
        </w:drawing>
      </w:r>
    </w:p>
    <w:p>
      <w:pPr>
        <w:pStyle w:val="2"/>
        <w:widowControl w:val="0"/>
        <w:numPr>
          <w:ilvl w:val="0"/>
          <w:numId w:val="2"/>
        </w:numPr>
        <w:adjustRightInd/>
        <w:snapToGrid/>
        <w:jc w:val="both"/>
        <w:rPr>
          <w:rFonts w:ascii="黑体" w:hAnsi="Calibri" w:eastAsia="黑体" w:cs="Times New Roman"/>
        </w:rPr>
      </w:pPr>
      <w:bookmarkStart w:id="20" w:name="_Toc5033"/>
      <w:r>
        <w:rPr>
          <w:rFonts w:hint="eastAsia" w:ascii="黑体" w:hAnsi="Calibri" w:eastAsia="黑体" w:cs="Times New Roman"/>
        </w:rPr>
        <w:t>技术支持</w:t>
      </w:r>
      <w:bookmarkEnd w:id="20"/>
    </w:p>
    <w:p>
      <w:pPr>
        <w:widowControl w:val="0"/>
        <w:adjustRightInd/>
        <w:snapToGrid/>
        <w:spacing w:before="62" w:beforeLines="20" w:after="62" w:afterLines="20" w:line="360" w:lineRule="auto"/>
        <w:ind w:firstLine="480" w:firstLineChars="200"/>
        <w:jc w:val="both"/>
        <w:rPr>
          <w:rFonts w:hint="default" w:ascii="宋体" w:hAnsi="宋体" w:eastAsia="宋体" w:cs="Times New Roman"/>
          <w:kern w:val="2"/>
          <w:sz w:val="24"/>
          <w:szCs w:val="24"/>
          <w:lang w:val="en-US" w:eastAsia="zh-CN"/>
        </w:rPr>
      </w:pPr>
      <w:r>
        <w:rPr>
          <w:rFonts w:hint="eastAsia" w:ascii="宋体" w:hAnsi="宋体" w:eastAsia="宋体" w:cs="Times New Roman"/>
          <w:kern w:val="2"/>
          <w:sz w:val="24"/>
          <w:szCs w:val="24"/>
        </w:rPr>
        <w:t>技术支持联系人：</w:t>
      </w:r>
      <w:r>
        <w:rPr>
          <w:rFonts w:hint="eastAsia" w:ascii="宋体" w:hAnsi="宋体" w:eastAsia="宋体" w:cs="Times New Roman"/>
          <w:kern w:val="2"/>
          <w:sz w:val="24"/>
          <w:szCs w:val="24"/>
          <w:lang w:val="en-US" w:eastAsia="zh-CN"/>
        </w:rPr>
        <w:t>伍工</w:t>
      </w:r>
    </w:p>
    <w:p>
      <w:pPr>
        <w:widowControl w:val="0"/>
        <w:adjustRightInd/>
        <w:snapToGrid/>
        <w:spacing w:before="62" w:beforeLines="20" w:after="62" w:afterLines="20" w:line="360" w:lineRule="auto"/>
        <w:ind w:firstLine="480" w:firstLineChars="200"/>
        <w:jc w:val="both"/>
        <w:rPr>
          <w:rFonts w:hint="default" w:ascii="宋体" w:hAnsi="宋体" w:eastAsia="宋体" w:cs="Times New Roman"/>
          <w:kern w:val="2"/>
          <w:sz w:val="24"/>
          <w:szCs w:val="24"/>
          <w:lang w:val="en-US" w:eastAsia="zh-CN"/>
        </w:rPr>
      </w:pPr>
      <w:r>
        <w:rPr>
          <w:rFonts w:hint="eastAsia" w:ascii="宋体" w:hAnsi="宋体" w:eastAsia="宋体" w:cs="Times New Roman"/>
          <w:kern w:val="2"/>
          <w:sz w:val="24"/>
          <w:szCs w:val="24"/>
        </w:rPr>
        <w:t>电话：</w:t>
      </w:r>
      <w:r>
        <w:rPr>
          <w:rFonts w:ascii="宋体" w:hAnsi="宋体" w:eastAsia="宋体" w:cs="Times New Roman"/>
          <w:kern w:val="2"/>
          <w:sz w:val="24"/>
          <w:szCs w:val="24"/>
        </w:rPr>
        <w:t>0751-83796</w:t>
      </w:r>
      <w:r>
        <w:rPr>
          <w:rFonts w:hint="eastAsia" w:ascii="宋体" w:hAnsi="宋体" w:eastAsia="宋体" w:cs="Times New Roman"/>
          <w:kern w:val="2"/>
          <w:sz w:val="24"/>
          <w:szCs w:val="24"/>
          <w:lang w:val="en-US" w:eastAsia="zh-CN"/>
        </w:rPr>
        <w:t>71</w:t>
      </w:r>
    </w:p>
    <w:p>
      <w:pPr>
        <w:widowControl w:val="0"/>
        <w:adjustRightInd/>
        <w:snapToGrid/>
        <w:spacing w:before="62" w:beforeLines="20" w:after="62" w:afterLines="20" w:line="360" w:lineRule="auto"/>
        <w:ind w:firstLine="480" w:firstLineChars="200"/>
        <w:jc w:val="both"/>
        <w:rPr>
          <w:rFonts w:hint="default" w:ascii="宋体" w:hAnsi="宋体" w:eastAsia="宋体" w:cs="Times New Roman"/>
          <w:kern w:val="2"/>
          <w:sz w:val="24"/>
          <w:szCs w:val="24"/>
          <w:lang w:val="en-US"/>
        </w:rPr>
      </w:pPr>
      <w:r>
        <w:rPr>
          <w:rFonts w:hint="eastAsia" w:asciiTheme="minorEastAsia" w:hAnsiTheme="minorEastAsia" w:eastAsiaTheme="minorEastAsia" w:cstheme="minorEastAsia"/>
          <w:b w:val="0"/>
          <w:bCs w:val="0"/>
          <w:color w:val="auto"/>
          <w:sz w:val="24"/>
          <w:szCs w:val="24"/>
          <w:lang w:val="en-US" w:eastAsia="zh-CN"/>
        </w:rPr>
        <w:t>QQ：260153990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5F568C"/>
    <w:multiLevelType w:val="multilevel"/>
    <w:tmpl w:val="3F5F568C"/>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6EBB02D"/>
    <w:multiLevelType w:val="multilevel"/>
    <w:tmpl w:val="56EBB02D"/>
    <w:lvl w:ilvl="0" w:tentative="0">
      <w:start w:val="2"/>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ascii="宋体" w:hAnsi="宋体" w:eastAsia="宋体" w:cs="宋体"/>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446"/>
    <w:rsid w:val="00016D7C"/>
    <w:rsid w:val="000208D4"/>
    <w:rsid w:val="00023BCB"/>
    <w:rsid w:val="00076FD7"/>
    <w:rsid w:val="00085330"/>
    <w:rsid w:val="0010396A"/>
    <w:rsid w:val="00126DDC"/>
    <w:rsid w:val="001674A9"/>
    <w:rsid w:val="0019202D"/>
    <w:rsid w:val="0019213D"/>
    <w:rsid w:val="001C7974"/>
    <w:rsid w:val="001D37BC"/>
    <w:rsid w:val="001E0DE5"/>
    <w:rsid w:val="00204938"/>
    <w:rsid w:val="00204C67"/>
    <w:rsid w:val="00213720"/>
    <w:rsid w:val="0026005C"/>
    <w:rsid w:val="00261103"/>
    <w:rsid w:val="00277D43"/>
    <w:rsid w:val="0029623D"/>
    <w:rsid w:val="002B0238"/>
    <w:rsid w:val="002E0A7A"/>
    <w:rsid w:val="00353081"/>
    <w:rsid w:val="00361A9A"/>
    <w:rsid w:val="003639BF"/>
    <w:rsid w:val="00392F2E"/>
    <w:rsid w:val="00394DB0"/>
    <w:rsid w:val="003955EE"/>
    <w:rsid w:val="003D3261"/>
    <w:rsid w:val="003F64D2"/>
    <w:rsid w:val="00473095"/>
    <w:rsid w:val="00476025"/>
    <w:rsid w:val="00493974"/>
    <w:rsid w:val="004964F4"/>
    <w:rsid w:val="00497ACA"/>
    <w:rsid w:val="00497D1D"/>
    <w:rsid w:val="004B0040"/>
    <w:rsid w:val="004C5854"/>
    <w:rsid w:val="004D4486"/>
    <w:rsid w:val="004F4BA6"/>
    <w:rsid w:val="00553A06"/>
    <w:rsid w:val="00585C63"/>
    <w:rsid w:val="00587402"/>
    <w:rsid w:val="005A5039"/>
    <w:rsid w:val="005D0438"/>
    <w:rsid w:val="005D7A9C"/>
    <w:rsid w:val="005E3C7E"/>
    <w:rsid w:val="005E3D86"/>
    <w:rsid w:val="00607340"/>
    <w:rsid w:val="00624078"/>
    <w:rsid w:val="00660F2E"/>
    <w:rsid w:val="006673DD"/>
    <w:rsid w:val="00671505"/>
    <w:rsid w:val="006750DD"/>
    <w:rsid w:val="006D3A05"/>
    <w:rsid w:val="007068E9"/>
    <w:rsid w:val="007313D9"/>
    <w:rsid w:val="007903F9"/>
    <w:rsid w:val="007B61A0"/>
    <w:rsid w:val="007D482A"/>
    <w:rsid w:val="007D5F54"/>
    <w:rsid w:val="007E153E"/>
    <w:rsid w:val="007E7D34"/>
    <w:rsid w:val="00816BD5"/>
    <w:rsid w:val="00822E3D"/>
    <w:rsid w:val="00841040"/>
    <w:rsid w:val="008729F6"/>
    <w:rsid w:val="008A0560"/>
    <w:rsid w:val="00902FC3"/>
    <w:rsid w:val="00904D87"/>
    <w:rsid w:val="00912B89"/>
    <w:rsid w:val="00926571"/>
    <w:rsid w:val="009409A1"/>
    <w:rsid w:val="009775C7"/>
    <w:rsid w:val="00983EA0"/>
    <w:rsid w:val="00987A32"/>
    <w:rsid w:val="009A47B4"/>
    <w:rsid w:val="009A75E4"/>
    <w:rsid w:val="009B6426"/>
    <w:rsid w:val="009E2CFA"/>
    <w:rsid w:val="00A2278D"/>
    <w:rsid w:val="00A24B21"/>
    <w:rsid w:val="00A26B9B"/>
    <w:rsid w:val="00A43B30"/>
    <w:rsid w:val="00A620C6"/>
    <w:rsid w:val="00A72F8D"/>
    <w:rsid w:val="00A776DF"/>
    <w:rsid w:val="00AA24B2"/>
    <w:rsid w:val="00AB30FB"/>
    <w:rsid w:val="00AC3A14"/>
    <w:rsid w:val="00B01DAA"/>
    <w:rsid w:val="00B02060"/>
    <w:rsid w:val="00B15D69"/>
    <w:rsid w:val="00B1679E"/>
    <w:rsid w:val="00B62D15"/>
    <w:rsid w:val="00B70C64"/>
    <w:rsid w:val="00B71363"/>
    <w:rsid w:val="00B90F17"/>
    <w:rsid w:val="00B9668A"/>
    <w:rsid w:val="00BB0E21"/>
    <w:rsid w:val="00BD4446"/>
    <w:rsid w:val="00BE09AC"/>
    <w:rsid w:val="00BE313A"/>
    <w:rsid w:val="00C017CA"/>
    <w:rsid w:val="00C21F38"/>
    <w:rsid w:val="00C44BA6"/>
    <w:rsid w:val="00CB00F0"/>
    <w:rsid w:val="00CB76F5"/>
    <w:rsid w:val="00CD359B"/>
    <w:rsid w:val="00D03586"/>
    <w:rsid w:val="00D2410F"/>
    <w:rsid w:val="00D41377"/>
    <w:rsid w:val="00D4795E"/>
    <w:rsid w:val="00DB3D83"/>
    <w:rsid w:val="00DC1088"/>
    <w:rsid w:val="00E04062"/>
    <w:rsid w:val="00E05FD5"/>
    <w:rsid w:val="00E2735C"/>
    <w:rsid w:val="00E27C8A"/>
    <w:rsid w:val="00E41EAE"/>
    <w:rsid w:val="00E645AC"/>
    <w:rsid w:val="00E93DB6"/>
    <w:rsid w:val="00E970BE"/>
    <w:rsid w:val="00EA0888"/>
    <w:rsid w:val="00EC74E3"/>
    <w:rsid w:val="00EE5CA6"/>
    <w:rsid w:val="00F049AC"/>
    <w:rsid w:val="00F105B0"/>
    <w:rsid w:val="00F22AED"/>
    <w:rsid w:val="00F3183A"/>
    <w:rsid w:val="00F65B8B"/>
    <w:rsid w:val="00FA6B7D"/>
    <w:rsid w:val="00FC12A8"/>
    <w:rsid w:val="00FD2F48"/>
    <w:rsid w:val="00FE3FD4"/>
    <w:rsid w:val="00FF516F"/>
    <w:rsid w:val="01F472A9"/>
    <w:rsid w:val="020515AD"/>
    <w:rsid w:val="02E90A4B"/>
    <w:rsid w:val="033918A1"/>
    <w:rsid w:val="03EB3121"/>
    <w:rsid w:val="03ED5B28"/>
    <w:rsid w:val="04D25334"/>
    <w:rsid w:val="05354D16"/>
    <w:rsid w:val="05637A0A"/>
    <w:rsid w:val="0594729B"/>
    <w:rsid w:val="05E232D5"/>
    <w:rsid w:val="060511EF"/>
    <w:rsid w:val="0652102D"/>
    <w:rsid w:val="07867CCC"/>
    <w:rsid w:val="08090F45"/>
    <w:rsid w:val="082B0EAC"/>
    <w:rsid w:val="08F40B89"/>
    <w:rsid w:val="09052CF6"/>
    <w:rsid w:val="093A1657"/>
    <w:rsid w:val="09CC3621"/>
    <w:rsid w:val="09D775EC"/>
    <w:rsid w:val="09EB4DD4"/>
    <w:rsid w:val="0A4E245A"/>
    <w:rsid w:val="0A82254C"/>
    <w:rsid w:val="0BAD7697"/>
    <w:rsid w:val="0BCC7539"/>
    <w:rsid w:val="0BCE455A"/>
    <w:rsid w:val="0BD4523F"/>
    <w:rsid w:val="0C8F447A"/>
    <w:rsid w:val="0D0C314A"/>
    <w:rsid w:val="0DA83BAD"/>
    <w:rsid w:val="0E2456FB"/>
    <w:rsid w:val="0E46076F"/>
    <w:rsid w:val="0EEE4223"/>
    <w:rsid w:val="100C0D4C"/>
    <w:rsid w:val="106E64E3"/>
    <w:rsid w:val="130945BE"/>
    <w:rsid w:val="13E64BA0"/>
    <w:rsid w:val="13FD21E7"/>
    <w:rsid w:val="140161EE"/>
    <w:rsid w:val="14710401"/>
    <w:rsid w:val="14C22DAB"/>
    <w:rsid w:val="14D27A43"/>
    <w:rsid w:val="152A750C"/>
    <w:rsid w:val="163E1B6A"/>
    <w:rsid w:val="165F6063"/>
    <w:rsid w:val="175B522E"/>
    <w:rsid w:val="17694042"/>
    <w:rsid w:val="17AD4280"/>
    <w:rsid w:val="17FE7199"/>
    <w:rsid w:val="18ED2FBF"/>
    <w:rsid w:val="19B463E6"/>
    <w:rsid w:val="1A203864"/>
    <w:rsid w:val="1A745923"/>
    <w:rsid w:val="1C523CA3"/>
    <w:rsid w:val="1C70295B"/>
    <w:rsid w:val="1D1A56AC"/>
    <w:rsid w:val="1D2D6657"/>
    <w:rsid w:val="1D630360"/>
    <w:rsid w:val="1DDC2B96"/>
    <w:rsid w:val="1E6D615C"/>
    <w:rsid w:val="1FE15D48"/>
    <w:rsid w:val="1FE95324"/>
    <w:rsid w:val="201F0A47"/>
    <w:rsid w:val="20A0536E"/>
    <w:rsid w:val="2272671C"/>
    <w:rsid w:val="22752D03"/>
    <w:rsid w:val="230462B1"/>
    <w:rsid w:val="23172F69"/>
    <w:rsid w:val="24A4347F"/>
    <w:rsid w:val="250D1426"/>
    <w:rsid w:val="253072AD"/>
    <w:rsid w:val="2558191F"/>
    <w:rsid w:val="259171FE"/>
    <w:rsid w:val="274A2DE5"/>
    <w:rsid w:val="27D068E0"/>
    <w:rsid w:val="289851DC"/>
    <w:rsid w:val="29020848"/>
    <w:rsid w:val="291137F5"/>
    <w:rsid w:val="29507463"/>
    <w:rsid w:val="29655F9E"/>
    <w:rsid w:val="29BE40DE"/>
    <w:rsid w:val="2A726F88"/>
    <w:rsid w:val="2BD72A64"/>
    <w:rsid w:val="2CCE5529"/>
    <w:rsid w:val="2E0119E3"/>
    <w:rsid w:val="2E1A2965"/>
    <w:rsid w:val="305F4A40"/>
    <w:rsid w:val="30966870"/>
    <w:rsid w:val="31722A0B"/>
    <w:rsid w:val="32610C95"/>
    <w:rsid w:val="32F83EEF"/>
    <w:rsid w:val="334718AA"/>
    <w:rsid w:val="3480562F"/>
    <w:rsid w:val="348A6927"/>
    <w:rsid w:val="34C92640"/>
    <w:rsid w:val="35E90A70"/>
    <w:rsid w:val="368D207C"/>
    <w:rsid w:val="381B4AF5"/>
    <w:rsid w:val="39E30ACA"/>
    <w:rsid w:val="39E62898"/>
    <w:rsid w:val="3AE536DC"/>
    <w:rsid w:val="3BB86550"/>
    <w:rsid w:val="3C8F6671"/>
    <w:rsid w:val="3CC40E25"/>
    <w:rsid w:val="3D056F2A"/>
    <w:rsid w:val="3D4B0F3E"/>
    <w:rsid w:val="3E1709BF"/>
    <w:rsid w:val="3EB06B77"/>
    <w:rsid w:val="42BC5C2A"/>
    <w:rsid w:val="437F30E1"/>
    <w:rsid w:val="43FE515C"/>
    <w:rsid w:val="441C2606"/>
    <w:rsid w:val="45071FDE"/>
    <w:rsid w:val="451B6685"/>
    <w:rsid w:val="45A06674"/>
    <w:rsid w:val="462D3B3B"/>
    <w:rsid w:val="464B7B28"/>
    <w:rsid w:val="47454352"/>
    <w:rsid w:val="47590561"/>
    <w:rsid w:val="48CB11C6"/>
    <w:rsid w:val="49125698"/>
    <w:rsid w:val="49126FC3"/>
    <w:rsid w:val="4AD01703"/>
    <w:rsid w:val="4B326047"/>
    <w:rsid w:val="4B8E50C5"/>
    <w:rsid w:val="4BAB31D1"/>
    <w:rsid w:val="4C4826B8"/>
    <w:rsid w:val="4CA87858"/>
    <w:rsid w:val="4CBF413E"/>
    <w:rsid w:val="4CC0624F"/>
    <w:rsid w:val="4CF34D93"/>
    <w:rsid w:val="4DCA45DE"/>
    <w:rsid w:val="4E432F4E"/>
    <w:rsid w:val="4EE17BB1"/>
    <w:rsid w:val="503414DD"/>
    <w:rsid w:val="50F938FF"/>
    <w:rsid w:val="51951BF2"/>
    <w:rsid w:val="51BC648A"/>
    <w:rsid w:val="51FE5395"/>
    <w:rsid w:val="53221854"/>
    <w:rsid w:val="53454559"/>
    <w:rsid w:val="5383217C"/>
    <w:rsid w:val="542F3C18"/>
    <w:rsid w:val="543A6931"/>
    <w:rsid w:val="551F1586"/>
    <w:rsid w:val="557D2B68"/>
    <w:rsid w:val="55B7012A"/>
    <w:rsid w:val="588D3BD8"/>
    <w:rsid w:val="58FA78C7"/>
    <w:rsid w:val="58FF02AC"/>
    <w:rsid w:val="59DF1B61"/>
    <w:rsid w:val="5AC00B9C"/>
    <w:rsid w:val="5B236FF2"/>
    <w:rsid w:val="5CF02465"/>
    <w:rsid w:val="5D993FFB"/>
    <w:rsid w:val="5DEE0F13"/>
    <w:rsid w:val="602D6443"/>
    <w:rsid w:val="603409D4"/>
    <w:rsid w:val="608E4CA2"/>
    <w:rsid w:val="611B0F24"/>
    <w:rsid w:val="618F400C"/>
    <w:rsid w:val="61AC0AD9"/>
    <w:rsid w:val="62537588"/>
    <w:rsid w:val="630000FC"/>
    <w:rsid w:val="63C766E9"/>
    <w:rsid w:val="63F03B14"/>
    <w:rsid w:val="64E62007"/>
    <w:rsid w:val="6564693C"/>
    <w:rsid w:val="65C4585B"/>
    <w:rsid w:val="65CC7931"/>
    <w:rsid w:val="66664C8F"/>
    <w:rsid w:val="67AF7989"/>
    <w:rsid w:val="67FC7C8C"/>
    <w:rsid w:val="68760031"/>
    <w:rsid w:val="69097D98"/>
    <w:rsid w:val="6ADC4E36"/>
    <w:rsid w:val="6B740B87"/>
    <w:rsid w:val="6BE77122"/>
    <w:rsid w:val="6C4F062A"/>
    <w:rsid w:val="6CDD1B53"/>
    <w:rsid w:val="6CF90CF0"/>
    <w:rsid w:val="6D136D3C"/>
    <w:rsid w:val="6D80459B"/>
    <w:rsid w:val="6E0D68B0"/>
    <w:rsid w:val="70547A9B"/>
    <w:rsid w:val="705E57AC"/>
    <w:rsid w:val="70B57AA1"/>
    <w:rsid w:val="726E6F4A"/>
    <w:rsid w:val="72E61EEA"/>
    <w:rsid w:val="73FD1259"/>
    <w:rsid w:val="763D2733"/>
    <w:rsid w:val="768440FD"/>
    <w:rsid w:val="76E05490"/>
    <w:rsid w:val="777B5C72"/>
    <w:rsid w:val="780517B1"/>
    <w:rsid w:val="785F0292"/>
    <w:rsid w:val="78633B3E"/>
    <w:rsid w:val="791D4434"/>
    <w:rsid w:val="79E011D5"/>
    <w:rsid w:val="7B657DEF"/>
    <w:rsid w:val="7B6B7C58"/>
    <w:rsid w:val="7B747935"/>
    <w:rsid w:val="7BF4741E"/>
    <w:rsid w:val="7C423754"/>
    <w:rsid w:val="7C6222A9"/>
    <w:rsid w:val="7C682D51"/>
    <w:rsid w:val="7C8C31E0"/>
    <w:rsid w:val="7CBE0147"/>
    <w:rsid w:val="7D935F6D"/>
    <w:rsid w:val="7E0C0B1E"/>
    <w:rsid w:val="7EB3003D"/>
    <w:rsid w:val="7F3429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26"/>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numPr>
        <w:ilvl w:val="1"/>
        <w:numId w:val="1"/>
      </w:numPr>
      <w:spacing w:before="260" w:after="260" w:line="416" w:lineRule="auto"/>
      <w:outlineLvl w:val="1"/>
    </w:pPr>
    <w:rPr>
      <w:rFonts w:eastAsia="黑体" w:asciiTheme="majorHAnsi" w:hAnsiTheme="majorHAnsi" w:cstheme="majorBidi"/>
      <w:b/>
      <w:bCs/>
      <w:sz w:val="32"/>
      <w:szCs w:val="32"/>
    </w:rPr>
  </w:style>
  <w:style w:type="paragraph" w:styleId="4">
    <w:name w:val="heading 3"/>
    <w:basedOn w:val="1"/>
    <w:next w:val="1"/>
    <w:unhideWhenUsed/>
    <w:qFormat/>
    <w:uiPriority w:val="9"/>
    <w:pPr>
      <w:keepNext/>
      <w:keepLines/>
      <w:numPr>
        <w:ilvl w:val="2"/>
        <w:numId w:val="1"/>
      </w:numPr>
      <w:spacing w:before="260" w:after="260" w:line="413" w:lineRule="auto"/>
      <w:outlineLvl w:val="2"/>
    </w:pPr>
    <w:rPr>
      <w:rFonts w:eastAsia="宋体"/>
      <w:sz w:val="32"/>
    </w:rPr>
  </w:style>
  <w:style w:type="paragraph" w:styleId="5">
    <w:name w:val="heading 4"/>
    <w:basedOn w:val="4"/>
    <w:next w:val="1"/>
    <w:semiHidden/>
    <w:unhideWhenUsed/>
    <w:qFormat/>
    <w:uiPriority w:val="9"/>
    <w:pPr>
      <w:numPr>
        <w:ilvl w:val="3"/>
      </w:numPr>
      <w:tabs>
        <w:tab w:val="left" w:pos="432"/>
        <w:tab w:val="left" w:pos="864"/>
        <w:tab w:val="left" w:pos="1290"/>
      </w:tabs>
      <w:spacing w:before="280" w:after="290" w:line="376" w:lineRule="auto"/>
      <w:outlineLvl w:val="3"/>
    </w:pPr>
    <w:rPr>
      <w:rFonts w:ascii="Arial" w:hAnsi="Arial" w:eastAsia="黑体"/>
      <w:sz w:val="28"/>
      <w:szCs w:val="28"/>
    </w:rPr>
  </w:style>
  <w:style w:type="paragraph" w:styleId="6">
    <w:name w:val="heading 5"/>
    <w:basedOn w:val="1"/>
    <w:next w:val="1"/>
    <w:semiHidden/>
    <w:unhideWhenUsed/>
    <w:qFormat/>
    <w:uiPriority w:val="9"/>
    <w:pPr>
      <w:keepNext/>
      <w:keepLines/>
      <w:numPr>
        <w:ilvl w:val="4"/>
        <w:numId w:val="1"/>
      </w:numPr>
      <w:tabs>
        <w:tab w:val="left" w:pos="1008"/>
      </w:tabs>
      <w:spacing w:before="280" w:after="290" w:line="372" w:lineRule="auto"/>
      <w:outlineLvl w:val="4"/>
    </w:pPr>
    <w:rPr>
      <w:b/>
      <w:sz w:val="28"/>
    </w:rPr>
  </w:style>
  <w:style w:type="paragraph" w:styleId="7">
    <w:name w:val="heading 6"/>
    <w:basedOn w:val="1"/>
    <w:next w:val="1"/>
    <w:semiHidden/>
    <w:unhideWhenUsed/>
    <w:qFormat/>
    <w:uiPriority w:val="9"/>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after="64" w:line="317" w:lineRule="auto"/>
      <w:outlineLvl w:val="6"/>
    </w:pPr>
    <w:rPr>
      <w:b/>
      <w:sz w:val="24"/>
    </w:rPr>
  </w:style>
  <w:style w:type="paragraph" w:styleId="9">
    <w:name w:val="heading 8"/>
    <w:basedOn w:val="1"/>
    <w:next w:val="1"/>
    <w:semiHidden/>
    <w:unhideWhenUsed/>
    <w:qFormat/>
    <w:uiPriority w:val="9"/>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after="64" w:line="317" w:lineRule="auto"/>
      <w:outlineLvl w:val="8"/>
    </w:pPr>
    <w:rPr>
      <w:rFonts w:ascii="Arial" w:hAnsi="Arial" w:eastAsia="黑体"/>
      <w:sz w:val="21"/>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33"/>
    <w:semiHidden/>
    <w:unhideWhenUsed/>
    <w:qFormat/>
    <w:uiPriority w:val="99"/>
  </w:style>
  <w:style w:type="paragraph" w:styleId="12">
    <w:name w:val="Body Text"/>
    <w:basedOn w:val="1"/>
    <w:qFormat/>
    <w:uiPriority w:val="0"/>
    <w:pPr>
      <w:spacing w:after="120" w:afterLines="0" w:afterAutospacing="0"/>
    </w:pPr>
  </w:style>
  <w:style w:type="paragraph" w:styleId="13">
    <w:name w:val="toc 3"/>
    <w:basedOn w:val="1"/>
    <w:next w:val="1"/>
    <w:unhideWhenUsed/>
    <w:qFormat/>
    <w:uiPriority w:val="39"/>
    <w:pPr>
      <w:ind w:left="840" w:leftChars="400"/>
    </w:pPr>
  </w:style>
  <w:style w:type="paragraph" w:styleId="14">
    <w:name w:val="Date"/>
    <w:basedOn w:val="1"/>
    <w:next w:val="1"/>
    <w:link w:val="25"/>
    <w:semiHidden/>
    <w:unhideWhenUsed/>
    <w:qFormat/>
    <w:uiPriority w:val="99"/>
    <w:pPr>
      <w:ind w:left="100" w:leftChars="2500"/>
    </w:pPr>
  </w:style>
  <w:style w:type="paragraph" w:styleId="15">
    <w:name w:val="Balloon Text"/>
    <w:basedOn w:val="1"/>
    <w:link w:val="35"/>
    <w:semiHidden/>
    <w:unhideWhenUsed/>
    <w:qFormat/>
    <w:uiPriority w:val="99"/>
    <w:pPr>
      <w:spacing w:after="0"/>
    </w:pPr>
    <w:rPr>
      <w:sz w:val="18"/>
      <w:szCs w:val="18"/>
    </w:rPr>
  </w:style>
  <w:style w:type="paragraph" w:styleId="16">
    <w:name w:val="footer"/>
    <w:basedOn w:val="1"/>
    <w:unhideWhenUsed/>
    <w:qFormat/>
    <w:uiPriority w:val="99"/>
    <w:pPr>
      <w:tabs>
        <w:tab w:val="center" w:pos="4153"/>
        <w:tab w:val="right" w:pos="8306"/>
      </w:tabs>
    </w:pPr>
    <w:rPr>
      <w:sz w:val="18"/>
    </w:rPr>
  </w:style>
  <w:style w:type="paragraph" w:styleId="17">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8">
    <w:name w:val="toc 1"/>
    <w:basedOn w:val="1"/>
    <w:next w:val="1"/>
    <w:unhideWhenUsed/>
    <w:qFormat/>
    <w:uiPriority w:val="39"/>
  </w:style>
  <w:style w:type="paragraph" w:styleId="19">
    <w:name w:val="toc 2"/>
    <w:basedOn w:val="1"/>
    <w:next w:val="1"/>
    <w:unhideWhenUsed/>
    <w:qFormat/>
    <w:uiPriority w:val="39"/>
    <w:pPr>
      <w:ind w:left="420" w:leftChars="200"/>
    </w:pPr>
  </w:style>
  <w:style w:type="paragraph" w:styleId="20">
    <w:name w:val="annotation subject"/>
    <w:basedOn w:val="11"/>
    <w:next w:val="11"/>
    <w:link w:val="34"/>
    <w:semiHidden/>
    <w:unhideWhenUsed/>
    <w:qFormat/>
    <w:uiPriority w:val="99"/>
    <w:rPr>
      <w:b/>
      <w:bCs/>
    </w:rPr>
  </w:style>
  <w:style w:type="character" w:styleId="23">
    <w:name w:val="Hyperlink"/>
    <w:basedOn w:val="22"/>
    <w:unhideWhenUsed/>
    <w:qFormat/>
    <w:uiPriority w:val="99"/>
    <w:rPr>
      <w:color w:val="0000FF"/>
      <w:u w:val="single"/>
    </w:rPr>
  </w:style>
  <w:style w:type="character" w:styleId="24">
    <w:name w:val="annotation reference"/>
    <w:basedOn w:val="22"/>
    <w:semiHidden/>
    <w:unhideWhenUsed/>
    <w:qFormat/>
    <w:uiPriority w:val="99"/>
    <w:rPr>
      <w:sz w:val="21"/>
      <w:szCs w:val="21"/>
    </w:rPr>
  </w:style>
  <w:style w:type="character" w:customStyle="1" w:styleId="25">
    <w:name w:val="日期 Char"/>
    <w:basedOn w:val="22"/>
    <w:link w:val="14"/>
    <w:semiHidden/>
    <w:qFormat/>
    <w:uiPriority w:val="99"/>
    <w:rPr>
      <w:rFonts w:ascii="Tahoma" w:hAnsi="Tahoma" w:eastAsia="微软雅黑"/>
      <w:kern w:val="0"/>
      <w:sz w:val="22"/>
    </w:rPr>
  </w:style>
  <w:style w:type="character" w:customStyle="1" w:styleId="26">
    <w:name w:val="标题 1 Char"/>
    <w:basedOn w:val="22"/>
    <w:link w:val="2"/>
    <w:qFormat/>
    <w:uiPriority w:val="9"/>
    <w:rPr>
      <w:rFonts w:ascii="Tahoma" w:hAnsi="Tahoma" w:eastAsia="微软雅黑"/>
      <w:b/>
      <w:bCs/>
      <w:kern w:val="44"/>
      <w:sz w:val="44"/>
      <w:szCs w:val="44"/>
    </w:rPr>
  </w:style>
  <w:style w:type="character" w:customStyle="1" w:styleId="27">
    <w:name w:val="标题 2 Char"/>
    <w:basedOn w:val="22"/>
    <w:link w:val="3"/>
    <w:qFormat/>
    <w:uiPriority w:val="9"/>
    <w:rPr>
      <w:rFonts w:eastAsia="黑体" w:asciiTheme="majorHAnsi" w:hAnsiTheme="majorHAnsi" w:cstheme="majorBidi"/>
      <w:b/>
      <w:bCs/>
      <w:kern w:val="0"/>
      <w:sz w:val="32"/>
      <w:szCs w:val="32"/>
    </w:rPr>
  </w:style>
  <w:style w:type="paragraph" w:styleId="28">
    <w:name w:val="List Paragraph"/>
    <w:basedOn w:val="1"/>
    <w:qFormat/>
    <w:uiPriority w:val="34"/>
    <w:pPr>
      <w:ind w:firstLine="420" w:firstLineChars="200"/>
    </w:pPr>
  </w:style>
  <w:style w:type="character" w:customStyle="1" w:styleId="29">
    <w:name w:val="apple-converted-space"/>
    <w:basedOn w:val="22"/>
    <w:qFormat/>
    <w:uiPriority w:val="0"/>
  </w:style>
  <w:style w:type="paragraph" w:customStyle="1" w:styleId="30">
    <w:name w:val="WPSOffice手动目录 1"/>
    <w:qFormat/>
    <w:uiPriority w:val="0"/>
    <w:rPr>
      <w:rFonts w:ascii="Calibri" w:hAnsi="Calibri" w:eastAsia="宋体" w:cs="Times New Roman"/>
      <w:lang w:val="en-US" w:eastAsia="zh-CN" w:bidi="ar-SA"/>
    </w:rPr>
  </w:style>
  <w:style w:type="paragraph" w:customStyle="1" w:styleId="31">
    <w:name w:val="WPSOffice手动目录 2"/>
    <w:qFormat/>
    <w:uiPriority w:val="0"/>
    <w:pPr>
      <w:ind w:left="200" w:leftChars="200"/>
    </w:pPr>
    <w:rPr>
      <w:rFonts w:ascii="Calibri" w:hAnsi="Calibri" w:eastAsia="宋体" w:cs="Times New Roman"/>
      <w:lang w:val="en-US" w:eastAsia="zh-CN" w:bidi="ar-SA"/>
    </w:rPr>
  </w:style>
  <w:style w:type="paragraph" w:customStyle="1" w:styleId="32">
    <w:name w:val="WPSOffice手动目录 3"/>
    <w:qFormat/>
    <w:uiPriority w:val="0"/>
    <w:pPr>
      <w:ind w:left="400" w:leftChars="400"/>
    </w:pPr>
    <w:rPr>
      <w:rFonts w:ascii="Calibri" w:hAnsi="Calibri" w:eastAsia="宋体" w:cs="Times New Roman"/>
      <w:lang w:val="en-US" w:eastAsia="zh-CN" w:bidi="ar-SA"/>
    </w:rPr>
  </w:style>
  <w:style w:type="character" w:customStyle="1" w:styleId="33">
    <w:name w:val="批注文字 Char"/>
    <w:basedOn w:val="22"/>
    <w:link w:val="11"/>
    <w:semiHidden/>
    <w:qFormat/>
    <w:uiPriority w:val="99"/>
    <w:rPr>
      <w:rFonts w:ascii="Tahoma" w:hAnsi="Tahoma" w:eastAsia="微软雅黑" w:cstheme="minorBidi"/>
      <w:sz w:val="22"/>
      <w:szCs w:val="22"/>
    </w:rPr>
  </w:style>
  <w:style w:type="character" w:customStyle="1" w:styleId="34">
    <w:name w:val="批注主题 Char"/>
    <w:basedOn w:val="33"/>
    <w:link w:val="20"/>
    <w:semiHidden/>
    <w:qFormat/>
    <w:uiPriority w:val="99"/>
    <w:rPr>
      <w:rFonts w:ascii="Tahoma" w:hAnsi="Tahoma" w:eastAsia="微软雅黑" w:cstheme="minorBidi"/>
      <w:b/>
      <w:bCs/>
      <w:sz w:val="22"/>
      <w:szCs w:val="22"/>
    </w:rPr>
  </w:style>
  <w:style w:type="character" w:customStyle="1" w:styleId="35">
    <w:name w:val="批注框文本 Char"/>
    <w:basedOn w:val="22"/>
    <w:link w:val="15"/>
    <w:semiHidden/>
    <w:qFormat/>
    <w:uiPriority w:val="99"/>
    <w:rPr>
      <w:rFonts w:ascii="Tahoma" w:hAnsi="Tahoma" w:eastAsia="微软雅黑" w:cstheme="minorBid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3E4328-645E-44AB-90FD-C082DD04DC61}">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Pages>
  <Words>420</Words>
  <Characters>2400</Characters>
  <Lines>20</Lines>
  <Paragraphs>5</Paragraphs>
  <TotalTime>200</TotalTime>
  <ScaleCrop>false</ScaleCrop>
  <LinksUpToDate>false</LinksUpToDate>
  <CharactersWithSpaces>2815</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2017-04-10T09:48:00Z</dcterms:created>
  <dc:creator>User</dc:creator>
  <cp:lastModifiedBy>Lenovo</cp:lastModifiedBy>
  <cp:lastPrinted>2020-05-28T02:43:00Z</cp:lastPrinted>
  <dcterms:modified xsi:type="dcterms:W3CDTF">2025-02-06T06:42:04Z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8E39F52F6FDA4173889807161146EB1A</vt:lpwstr>
  </property>
</Properties>
</file>