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B7BB6">
      <w:pPr>
        <w:pStyle w:val="47"/>
        <w:pageBreakBefore w:val="0"/>
        <w:kinsoku/>
        <w:wordWrap w:val="0"/>
        <w:overflowPunct/>
        <w:topLinePunct w:val="0"/>
        <w:bidi w:val="0"/>
        <w:spacing w:line="360" w:lineRule="auto"/>
        <w:jc w:val="center"/>
        <w:rPr>
          <w:rFonts w:hint="eastAsia" w:ascii="宋体" w:hAnsi="宋体" w:eastAsia="宋体" w:cs="宋体"/>
          <w:b/>
          <w:bCs/>
          <w:color w:val="auto"/>
          <w:spacing w:val="26"/>
          <w:sz w:val="48"/>
          <w:szCs w:val="48"/>
          <w:highlight w:val="none"/>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z w:val="52"/>
          <w:szCs w:val="52"/>
          <w:highlight w:val="none"/>
          <w:lang w:eastAsia="zh-CN"/>
        </w:rPr>
        <w:t>南雄市主田镇园岭、大坪头、朝阳移民村美丽家园项目施工</w:t>
      </w:r>
    </w:p>
    <w:p w14:paraId="25015588">
      <w:pPr>
        <w:pStyle w:val="47"/>
        <w:pageBreakBefore w:val="0"/>
        <w:kinsoku/>
        <w:wordWrap w:val="0"/>
        <w:overflowPunct/>
        <w:topLinePunct w:val="0"/>
        <w:bidi w:val="0"/>
        <w:spacing w:line="360" w:lineRule="auto"/>
        <w:jc w:val="center"/>
        <w:rPr>
          <w:rFonts w:hint="default" w:ascii="宋体" w:hAnsi="宋体" w:eastAsia="宋体" w:cs="宋体"/>
          <w:b/>
          <w:bCs/>
          <w:color w:val="auto"/>
          <w:spacing w:val="26"/>
          <w:sz w:val="32"/>
          <w:szCs w:val="32"/>
          <w:highlight w:val="none"/>
          <w:lang w:val="en-US" w:eastAsia="zh-CN"/>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pacing w:val="26"/>
          <w:sz w:val="32"/>
          <w:szCs w:val="32"/>
          <w:highlight w:val="none"/>
          <w:lang w:val="en-US" w:eastAsia="zh-CN"/>
          <w14:shadow w14:blurRad="50800" w14:dist="38100" w14:dir="2700000" w14:sx="100000" w14:sy="100000" w14:kx="0" w14:ky="0" w14:algn="tl">
            <w14:srgbClr w14:val="000000">
              <w14:alpha w14:val="60000"/>
            </w14:srgbClr>
          </w14:shadow>
        </w:rPr>
        <w:t>(合同编号：NX-ZTZ-YMCMLJY-SG)</w:t>
      </w:r>
    </w:p>
    <w:p w14:paraId="7F3BE48C">
      <w:pPr>
        <w:pStyle w:val="47"/>
        <w:pageBreakBefore w:val="0"/>
        <w:kinsoku/>
        <w:wordWrap w:val="0"/>
        <w:overflowPunct/>
        <w:topLinePunct w:val="0"/>
        <w:bidi w:val="0"/>
        <w:spacing w:line="360" w:lineRule="auto"/>
        <w:jc w:val="cente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t>招标文件</w:t>
      </w:r>
    </w:p>
    <w:p w14:paraId="31E03FD0">
      <w:pPr>
        <w:pStyle w:val="47"/>
        <w:pageBreakBefore w:val="0"/>
        <w:kinsoku/>
        <w:wordWrap w:val="0"/>
        <w:overflowPunct/>
        <w:topLinePunct w:val="0"/>
        <w:bidi w:val="0"/>
        <w:spacing w:line="360" w:lineRule="auto"/>
        <w:rPr>
          <w:rFonts w:hint="eastAsia" w:ascii="宋体" w:hAnsi="宋体" w:eastAsia="宋体" w:cs="宋体"/>
          <w:b/>
          <w:bCs/>
          <w:color w:val="auto"/>
          <w:spacing w:val="26"/>
          <w:sz w:val="52"/>
          <w:szCs w:val="52"/>
          <w:highlight w:val="none"/>
          <w14:shadow w14:blurRad="50800" w14:dist="38100" w14:dir="2700000" w14:sx="100000" w14:sy="100000" w14:kx="0" w14:ky="0" w14:algn="tl">
            <w14:srgbClr w14:val="000000">
              <w14:alpha w14:val="60000"/>
            </w14:srgbClr>
          </w14:shadow>
        </w:rPr>
      </w:pPr>
    </w:p>
    <w:p w14:paraId="62488C56">
      <w:pPr>
        <w:pStyle w:val="47"/>
        <w:pageBreakBefore w:val="0"/>
        <w:kinsoku/>
        <w:wordWrap w:val="0"/>
        <w:overflowPunct/>
        <w:topLinePunct w:val="0"/>
        <w:bidi w:val="0"/>
        <w:spacing w:line="360" w:lineRule="auto"/>
        <w:rPr>
          <w:rFonts w:hint="eastAsia" w:ascii="宋体" w:hAnsi="宋体" w:eastAsia="宋体" w:cs="宋体"/>
          <w:b/>
          <w:bCs/>
          <w:color w:val="auto"/>
          <w:spacing w:val="26"/>
          <w:sz w:val="52"/>
          <w:szCs w:val="52"/>
          <w:highlight w:val="none"/>
          <w14:shadow w14:blurRad="50800" w14:dist="38100" w14:dir="2700000" w14:sx="100000" w14:sy="100000" w14:kx="0" w14:ky="0" w14:algn="tl">
            <w14:srgbClr w14:val="000000">
              <w14:alpha w14:val="60000"/>
            </w14:srgbClr>
          </w14:shadow>
        </w:rPr>
      </w:pPr>
    </w:p>
    <w:tbl>
      <w:tblPr>
        <w:tblStyle w:val="14"/>
        <w:tblpPr w:leftFromText="180" w:rightFromText="180" w:vertAnchor="text" w:horzAnchor="page" w:tblpX="1312" w:tblpY="423"/>
        <w:tblOverlap w:val="never"/>
        <w:tblW w:w="9559" w:type="dxa"/>
        <w:tblInd w:w="0" w:type="dxa"/>
        <w:tblLayout w:type="fixed"/>
        <w:tblCellMar>
          <w:top w:w="0" w:type="dxa"/>
          <w:left w:w="0" w:type="dxa"/>
          <w:bottom w:w="0" w:type="dxa"/>
          <w:right w:w="0" w:type="dxa"/>
        </w:tblCellMar>
      </w:tblPr>
      <w:tblGrid>
        <w:gridCol w:w="4765"/>
        <w:gridCol w:w="4794"/>
      </w:tblGrid>
      <w:tr w14:paraId="204754C4">
        <w:tblPrEx>
          <w:tblCellMar>
            <w:top w:w="0" w:type="dxa"/>
            <w:left w:w="0" w:type="dxa"/>
            <w:bottom w:w="0" w:type="dxa"/>
            <w:right w:w="0" w:type="dxa"/>
          </w:tblCellMar>
        </w:tblPrEx>
        <w:trPr>
          <w:trHeight w:val="763" w:hRule="atLeast"/>
        </w:trPr>
        <w:tc>
          <w:tcPr>
            <w:tcW w:w="4765" w:type="dxa"/>
            <w:noWrap w:val="0"/>
            <w:vAlign w:val="center"/>
          </w:tcPr>
          <w:p w14:paraId="45A2C9EA">
            <w:pPr>
              <w:pStyle w:val="48"/>
              <w:pageBreakBefore w:val="0"/>
              <w:kinsoku/>
              <w:wordWrap w:val="0"/>
              <w:overflowPunct/>
              <w:topLinePunct w:val="0"/>
              <w:bidi w:val="0"/>
              <w:spacing w:line="240" w:lineRule="auto"/>
              <w:rPr>
                <w:rFonts w:hint="eastAsia" w:hAnsi="宋体" w:cs="宋体"/>
                <w:color w:val="auto"/>
                <w:sz w:val="28"/>
                <w:szCs w:val="28"/>
                <w:highlight w:val="none"/>
              </w:rPr>
            </w:pPr>
            <w:r>
              <w:rPr>
                <w:rFonts w:hint="eastAsia" w:hAnsi="宋体" w:cs="宋体"/>
                <w:color w:val="auto"/>
                <w:sz w:val="28"/>
                <w:szCs w:val="28"/>
                <w:highlight w:val="none"/>
              </w:rPr>
              <w:t xml:space="preserve"> 招        标        人（盖 章）：</w:t>
            </w:r>
          </w:p>
        </w:tc>
        <w:tc>
          <w:tcPr>
            <w:tcW w:w="4794" w:type="dxa"/>
            <w:noWrap w:val="0"/>
            <w:vAlign w:val="center"/>
          </w:tcPr>
          <w:p w14:paraId="6B79DFF5">
            <w:pPr>
              <w:pStyle w:val="48"/>
              <w:pageBreakBefore w:val="0"/>
              <w:kinsoku/>
              <w:wordWrap w:val="0"/>
              <w:overflowPunct/>
              <w:topLinePunct w:val="0"/>
              <w:bidi w:val="0"/>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南雄市水利建设工程建设管理中心</w:t>
            </w:r>
          </w:p>
        </w:tc>
      </w:tr>
      <w:tr w14:paraId="71A5190E">
        <w:tblPrEx>
          <w:tblCellMar>
            <w:top w:w="0" w:type="dxa"/>
            <w:left w:w="0" w:type="dxa"/>
            <w:bottom w:w="0" w:type="dxa"/>
            <w:right w:w="0" w:type="dxa"/>
          </w:tblCellMar>
        </w:tblPrEx>
        <w:trPr>
          <w:trHeight w:val="836" w:hRule="atLeast"/>
        </w:trPr>
        <w:tc>
          <w:tcPr>
            <w:tcW w:w="4765" w:type="dxa"/>
            <w:noWrap w:val="0"/>
            <w:vAlign w:val="center"/>
          </w:tcPr>
          <w:p w14:paraId="1804EA22">
            <w:pPr>
              <w:pStyle w:val="48"/>
              <w:pageBreakBefore w:val="0"/>
              <w:kinsoku/>
              <w:wordWrap w:val="0"/>
              <w:overflowPunct/>
              <w:topLinePunct w:val="0"/>
              <w:bidi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招标人工作领导小组负责人（签字）：</w:t>
            </w:r>
          </w:p>
        </w:tc>
        <w:tc>
          <w:tcPr>
            <w:tcW w:w="4794" w:type="dxa"/>
            <w:noWrap w:val="0"/>
            <w:vAlign w:val="center"/>
          </w:tcPr>
          <w:p w14:paraId="1B329948">
            <w:pPr>
              <w:pStyle w:val="48"/>
              <w:pageBreakBefore w:val="0"/>
              <w:kinsoku/>
              <w:wordWrap w:val="0"/>
              <w:overflowPunct/>
              <w:topLinePunct w:val="0"/>
              <w:bidi w:val="0"/>
              <w:spacing w:line="240" w:lineRule="auto"/>
              <w:rPr>
                <w:rFonts w:hint="eastAsia" w:hAnsi="宋体" w:cs="宋体"/>
                <w:color w:val="auto"/>
                <w:sz w:val="28"/>
                <w:szCs w:val="28"/>
                <w:highlight w:val="none"/>
              </w:rPr>
            </w:pPr>
          </w:p>
        </w:tc>
      </w:tr>
      <w:tr w14:paraId="7BDFF2AA">
        <w:tblPrEx>
          <w:tblCellMar>
            <w:top w:w="0" w:type="dxa"/>
            <w:left w:w="0" w:type="dxa"/>
            <w:bottom w:w="0" w:type="dxa"/>
            <w:right w:w="0" w:type="dxa"/>
          </w:tblCellMar>
        </w:tblPrEx>
        <w:trPr>
          <w:trHeight w:val="782" w:hRule="atLeast"/>
        </w:trPr>
        <w:tc>
          <w:tcPr>
            <w:tcW w:w="4765" w:type="dxa"/>
            <w:noWrap w:val="0"/>
            <w:vAlign w:val="center"/>
          </w:tcPr>
          <w:p w14:paraId="7CE13960">
            <w:pPr>
              <w:pStyle w:val="48"/>
              <w:pageBreakBefore w:val="0"/>
              <w:kinsoku/>
              <w:wordWrap w:val="0"/>
              <w:overflowPunct/>
              <w:topLinePunct w:val="0"/>
              <w:bidi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代  理  机  构（盖 章）：</w:t>
            </w:r>
          </w:p>
        </w:tc>
        <w:tc>
          <w:tcPr>
            <w:tcW w:w="4794" w:type="dxa"/>
            <w:noWrap w:val="0"/>
            <w:vAlign w:val="center"/>
          </w:tcPr>
          <w:p w14:paraId="7183D8E9">
            <w:pPr>
              <w:pStyle w:val="48"/>
              <w:pageBreakBefore w:val="0"/>
              <w:kinsoku/>
              <w:wordWrap w:val="0"/>
              <w:overflowPunct/>
              <w:topLinePunct w:val="0"/>
              <w:bidi w:val="0"/>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韶关市中利工程咨询有限公司</w:t>
            </w:r>
          </w:p>
        </w:tc>
      </w:tr>
      <w:tr w14:paraId="1584FF1B">
        <w:tblPrEx>
          <w:tblCellMar>
            <w:top w:w="0" w:type="dxa"/>
            <w:left w:w="0" w:type="dxa"/>
            <w:bottom w:w="0" w:type="dxa"/>
            <w:right w:w="0" w:type="dxa"/>
          </w:tblCellMar>
        </w:tblPrEx>
        <w:trPr>
          <w:trHeight w:val="861" w:hRule="atLeast"/>
        </w:trPr>
        <w:tc>
          <w:tcPr>
            <w:tcW w:w="4765" w:type="dxa"/>
            <w:noWrap w:val="0"/>
            <w:vAlign w:val="center"/>
          </w:tcPr>
          <w:p w14:paraId="7D1284AC">
            <w:pPr>
              <w:pStyle w:val="48"/>
              <w:pageBreakBefore w:val="0"/>
              <w:kinsoku/>
              <w:wordWrap w:val="0"/>
              <w:overflowPunct/>
              <w:topLinePunct w:val="0"/>
              <w:bidi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人 （签字）：</w:t>
            </w:r>
          </w:p>
        </w:tc>
        <w:tc>
          <w:tcPr>
            <w:tcW w:w="4794" w:type="dxa"/>
            <w:noWrap w:val="0"/>
            <w:vAlign w:val="center"/>
          </w:tcPr>
          <w:p w14:paraId="51F91DA9">
            <w:pPr>
              <w:pStyle w:val="48"/>
              <w:pageBreakBefore w:val="0"/>
              <w:kinsoku/>
              <w:wordWrap w:val="0"/>
              <w:overflowPunct/>
              <w:topLinePunct w:val="0"/>
              <w:bidi w:val="0"/>
              <w:spacing w:line="240" w:lineRule="auto"/>
              <w:rPr>
                <w:rFonts w:hint="eastAsia" w:hAnsi="宋体" w:cs="宋体"/>
                <w:color w:val="auto"/>
                <w:sz w:val="28"/>
                <w:szCs w:val="28"/>
                <w:highlight w:val="none"/>
              </w:rPr>
            </w:pPr>
          </w:p>
        </w:tc>
      </w:tr>
      <w:tr w14:paraId="0C61C7A2">
        <w:tblPrEx>
          <w:tblCellMar>
            <w:top w:w="0" w:type="dxa"/>
            <w:left w:w="0" w:type="dxa"/>
            <w:bottom w:w="0" w:type="dxa"/>
            <w:right w:w="0" w:type="dxa"/>
          </w:tblCellMar>
        </w:tblPrEx>
        <w:trPr>
          <w:trHeight w:val="878" w:hRule="atLeast"/>
        </w:trPr>
        <w:tc>
          <w:tcPr>
            <w:tcW w:w="4765" w:type="dxa"/>
            <w:noWrap w:val="0"/>
            <w:vAlign w:val="center"/>
          </w:tcPr>
          <w:p w14:paraId="27D3040E">
            <w:pPr>
              <w:pStyle w:val="48"/>
              <w:pageBreakBefore w:val="0"/>
              <w:kinsoku/>
              <w:wordWrap w:val="0"/>
              <w:overflowPunct/>
              <w:topLinePunct w:val="0"/>
              <w:bidi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招标代理机构项目负责人 （签字）：</w:t>
            </w:r>
          </w:p>
        </w:tc>
        <w:tc>
          <w:tcPr>
            <w:tcW w:w="4794" w:type="dxa"/>
            <w:noWrap w:val="0"/>
            <w:vAlign w:val="center"/>
          </w:tcPr>
          <w:p w14:paraId="163F4C30">
            <w:pPr>
              <w:pStyle w:val="48"/>
              <w:pageBreakBefore w:val="0"/>
              <w:kinsoku/>
              <w:wordWrap w:val="0"/>
              <w:overflowPunct/>
              <w:topLinePunct w:val="0"/>
              <w:bidi w:val="0"/>
              <w:spacing w:line="240" w:lineRule="auto"/>
              <w:rPr>
                <w:rFonts w:hint="eastAsia" w:hAnsi="宋体" w:cs="宋体"/>
                <w:color w:val="auto"/>
                <w:sz w:val="28"/>
                <w:szCs w:val="28"/>
                <w:highlight w:val="none"/>
              </w:rPr>
            </w:pPr>
          </w:p>
        </w:tc>
      </w:tr>
      <w:tr w14:paraId="779D13E8">
        <w:tblPrEx>
          <w:tblCellMar>
            <w:top w:w="0" w:type="dxa"/>
            <w:left w:w="0" w:type="dxa"/>
            <w:bottom w:w="0" w:type="dxa"/>
            <w:right w:w="0" w:type="dxa"/>
          </w:tblCellMar>
        </w:tblPrEx>
        <w:trPr>
          <w:trHeight w:val="685" w:hRule="atLeast"/>
        </w:trPr>
        <w:tc>
          <w:tcPr>
            <w:tcW w:w="4765" w:type="dxa"/>
            <w:noWrap w:val="0"/>
            <w:vAlign w:val="center"/>
          </w:tcPr>
          <w:p w14:paraId="1F32F23A">
            <w:pPr>
              <w:pStyle w:val="48"/>
              <w:pageBreakBefore w:val="0"/>
              <w:kinsoku/>
              <w:wordWrap w:val="0"/>
              <w:overflowPunct/>
              <w:topLinePunct w:val="0"/>
              <w:bidi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日  期： </w:t>
            </w:r>
          </w:p>
        </w:tc>
        <w:tc>
          <w:tcPr>
            <w:tcW w:w="4794" w:type="dxa"/>
            <w:noWrap w:val="0"/>
            <w:vAlign w:val="center"/>
          </w:tcPr>
          <w:p w14:paraId="44D1754B">
            <w:pPr>
              <w:pStyle w:val="48"/>
              <w:pageBreakBefore w:val="0"/>
              <w:kinsoku/>
              <w:wordWrap w:val="0"/>
              <w:overflowPunct/>
              <w:topLinePunct w:val="0"/>
              <w:bidi w:val="0"/>
              <w:spacing w:line="240" w:lineRule="auto"/>
              <w:rPr>
                <w:rFonts w:hint="eastAsia" w:hAnsi="宋体" w:cs="宋体"/>
                <w:color w:val="auto"/>
                <w:sz w:val="28"/>
                <w:highlight w:val="none"/>
              </w:rPr>
            </w:pPr>
            <w:r>
              <w:rPr>
                <w:rFonts w:hint="eastAsia" w:hAnsi="宋体" w:cs="宋体"/>
                <w:color w:val="auto"/>
                <w:sz w:val="28"/>
                <w:highlight w:val="none"/>
              </w:rPr>
              <w:t>202</w:t>
            </w:r>
            <w:r>
              <w:rPr>
                <w:rFonts w:hint="eastAsia" w:hAnsi="宋体" w:cs="宋体"/>
                <w:color w:val="auto"/>
                <w:sz w:val="28"/>
                <w:highlight w:val="none"/>
                <w:lang w:val="en-US" w:eastAsia="zh-CN"/>
              </w:rPr>
              <w:t>6</w:t>
            </w:r>
            <w:r>
              <w:rPr>
                <w:rFonts w:hint="eastAsia" w:hAnsi="宋体" w:cs="宋体"/>
                <w:color w:val="auto"/>
                <w:sz w:val="28"/>
                <w:highlight w:val="none"/>
              </w:rPr>
              <w:t>年</w:t>
            </w:r>
            <w:r>
              <w:rPr>
                <w:rFonts w:hint="eastAsia" w:hAnsi="宋体" w:cs="宋体"/>
                <w:color w:val="auto"/>
                <w:sz w:val="28"/>
                <w:highlight w:val="none"/>
                <w:lang w:val="en-US" w:eastAsia="zh-CN"/>
              </w:rPr>
              <w:t>5</w:t>
            </w:r>
            <w:r>
              <w:rPr>
                <w:rFonts w:hint="eastAsia" w:hAnsi="宋体" w:cs="宋体"/>
                <w:color w:val="auto"/>
                <w:sz w:val="28"/>
                <w:highlight w:val="none"/>
              </w:rPr>
              <w:t>月</w:t>
            </w:r>
          </w:p>
        </w:tc>
      </w:tr>
    </w:tbl>
    <w:p w14:paraId="754B1189">
      <w:pPr>
        <w:pageBreakBefore w:val="0"/>
        <w:kinsoku/>
        <w:wordWrap w:val="0"/>
        <w:overflowPunct/>
        <w:topLinePunct w:val="0"/>
        <w:bidi w:val="0"/>
        <w:rPr>
          <w:rFonts w:hint="eastAsia" w:ascii="宋体" w:hAnsi="宋体" w:eastAsia="宋体" w:cs="宋体"/>
          <w:b/>
          <w:bCs/>
          <w:color w:val="auto"/>
          <w:kern w:val="2"/>
          <w:sz w:val="56"/>
          <w:szCs w:val="72"/>
          <w:highlight w:val="none"/>
          <w:u w:val="none"/>
          <w:lang w:val="en-US" w:eastAsia="zh-CN" w:bidi="ar-SA"/>
        </w:rPr>
      </w:pPr>
    </w:p>
    <w:p w14:paraId="04C09720">
      <w:pPr>
        <w:pStyle w:val="6"/>
        <w:rPr>
          <w:rFonts w:hint="eastAsia"/>
          <w:color w:val="auto"/>
          <w:highlight w:val="none"/>
          <w:lang w:val="en-US" w:eastAsia="zh-CN"/>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7504AF73">
      <w:pPr>
        <w:pageBreakBefore w:val="0"/>
        <w:kinsoku/>
        <w:wordWrap w:val="0"/>
        <w:overflowPunct/>
        <w:topLinePunct w:val="0"/>
        <w:bidi w:val="0"/>
        <w:rPr>
          <w:rFonts w:hint="eastAsia"/>
          <w:color w:val="auto"/>
          <w:highlight w:val="none"/>
        </w:rPr>
      </w:pPr>
      <w:r>
        <w:rPr>
          <w:rFonts w:hint="eastAsia"/>
          <w:color w:val="auto"/>
          <w:highlight w:val="none"/>
        </w:rPr>
        <w:br w:type="page"/>
      </w:r>
    </w:p>
    <w:p w14:paraId="32729D57">
      <w:pPr>
        <w:pStyle w:val="9"/>
        <w:pageBreakBefore w:val="0"/>
        <w:kinsoku/>
        <w:wordWrap w:val="0"/>
        <w:overflowPunct/>
        <w:topLinePunct w:val="0"/>
        <w:bidi w:val="0"/>
        <w:rPr>
          <w:rFonts w:hint="eastAsia"/>
          <w:color w:val="auto"/>
          <w:highlight w:val="none"/>
        </w:rPr>
      </w:pPr>
    </w:p>
    <w:p w14:paraId="16F7CD0A">
      <w:pPr>
        <w:pageBreakBefore w:val="0"/>
        <w:kinsoku/>
        <w:wordWrap w:val="0"/>
        <w:overflowPunct/>
        <w:topLinePunct w:val="0"/>
        <w:bidi w:val="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目录</w:t>
      </w:r>
    </w:p>
    <w:p w14:paraId="2B3E845D">
      <w:pPr>
        <w:pStyle w:val="11"/>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_Toc26909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_Toc26909 \h </w:instrText>
      </w:r>
      <w:r>
        <w:rPr>
          <w:color w:val="auto"/>
          <w:sz w:val="24"/>
          <w:szCs w:val="24"/>
          <w:highlight w:val="none"/>
        </w:rPr>
        <w:fldChar w:fldCharType="separate"/>
      </w:r>
      <w:r>
        <w:rPr>
          <w:color w:val="auto"/>
          <w:sz w:val="24"/>
          <w:szCs w:val="24"/>
          <w:highlight w:val="none"/>
        </w:rPr>
        <w:t>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196A776">
      <w:pPr>
        <w:pStyle w:val="12"/>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_Toc21198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投标人须知前附表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_Toc21198 \h </w:instrText>
      </w:r>
      <w:r>
        <w:rPr>
          <w:color w:val="auto"/>
          <w:sz w:val="24"/>
          <w:szCs w:val="24"/>
          <w:highlight w:val="none"/>
        </w:rPr>
        <w:fldChar w:fldCharType="separate"/>
      </w:r>
      <w:r>
        <w:rPr>
          <w:color w:val="auto"/>
          <w:sz w:val="24"/>
          <w:szCs w:val="24"/>
          <w:highlight w:val="none"/>
        </w:rPr>
        <w:t>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1552C76">
      <w:pPr>
        <w:pStyle w:val="12"/>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_Toc11043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第二节 重要事项时间地点一览表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_Toc11043 \h </w:instrText>
      </w:r>
      <w:r>
        <w:rPr>
          <w:color w:val="auto"/>
          <w:sz w:val="24"/>
          <w:szCs w:val="24"/>
          <w:highlight w:val="none"/>
        </w:rPr>
        <w:fldChar w:fldCharType="separate"/>
      </w:r>
      <w:r>
        <w:rPr>
          <w:color w:val="auto"/>
          <w:sz w:val="24"/>
          <w:szCs w:val="24"/>
          <w:highlight w:val="none"/>
        </w:rPr>
        <w:t>11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D1968C9">
      <w:pPr>
        <w:pStyle w:val="12"/>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_Toc20569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投标人须知正文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_Toc20569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F09803A">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_Toc19144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1</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4"/>
          <w:sz w:val="24"/>
          <w:szCs w:val="24"/>
          <w:highlight w:val="none"/>
        </w:rPr>
        <w:t>．项目概况、招标范围和标段划分、投标费用等</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_Toc19144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83F0DB2">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_Toc32570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2．</w:t>
      </w:r>
      <w:r>
        <w:rPr>
          <w:rFonts w:hint="eastAsia" w:ascii="宋体" w:hAnsi="宋体" w:eastAsia="宋体" w:cs="宋体"/>
          <w:bCs w:val="0"/>
          <w:color w:val="auto"/>
          <w:sz w:val="24"/>
          <w:szCs w:val="24"/>
          <w:highlight w:val="none"/>
          <w:lang w:eastAsia="zh-CN"/>
        </w:rPr>
        <w:t>投标人</w:t>
      </w:r>
      <w:r>
        <w:rPr>
          <w:rFonts w:hint="eastAsia" w:ascii="宋体" w:hAnsi="宋体" w:eastAsia="宋体" w:cs="宋体"/>
          <w:bCs w:val="0"/>
          <w:color w:val="auto"/>
          <w:sz w:val="24"/>
          <w:szCs w:val="24"/>
          <w:highlight w:val="none"/>
        </w:rPr>
        <w:t>资质要求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_Toc32570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FB187A">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_Toc4305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3．招标文件的获取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_Toc4305 \h </w:instrText>
      </w:r>
      <w:r>
        <w:rPr>
          <w:color w:val="auto"/>
          <w:sz w:val="24"/>
          <w:szCs w:val="24"/>
          <w:highlight w:val="none"/>
        </w:rPr>
        <w:fldChar w:fldCharType="separate"/>
      </w:r>
      <w:r>
        <w:rPr>
          <w:color w:val="auto"/>
          <w:sz w:val="24"/>
          <w:szCs w:val="24"/>
          <w:highlight w:val="none"/>
        </w:rPr>
        <w:t>14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FF53D41">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_Toc16564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4</w:t>
      </w:r>
      <w:r>
        <w:rPr>
          <w:rFonts w:hint="eastAsia" w:ascii="宋体" w:hAnsi="宋体" w:eastAsia="宋体" w:cs="宋体"/>
          <w:bCs/>
          <w:color w:val="auto"/>
          <w:spacing w:val="-8"/>
          <w:sz w:val="24"/>
          <w:szCs w:val="24"/>
          <w:highlight w:val="none"/>
          <w:lang w:val="en-US" w:eastAsia="zh-CN"/>
        </w:rPr>
        <w:t xml:space="preserve"> </w:t>
      </w:r>
      <w:r>
        <w:rPr>
          <w:rFonts w:hint="eastAsia" w:ascii="宋体" w:hAnsi="宋体" w:eastAsia="宋体" w:cs="宋体"/>
          <w:bCs/>
          <w:color w:val="auto"/>
          <w:spacing w:val="-8"/>
          <w:sz w:val="24"/>
          <w:szCs w:val="24"/>
          <w:highlight w:val="none"/>
        </w:rPr>
        <w:t>．工期要求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_Toc16564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15D3B40">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_Toc28358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5</w:t>
      </w:r>
      <w:r>
        <w:rPr>
          <w:rFonts w:hint="eastAsia" w:ascii="宋体" w:hAnsi="宋体" w:eastAsia="宋体" w:cs="宋体"/>
          <w:bCs/>
          <w:color w:val="auto"/>
          <w:spacing w:val="-5"/>
          <w:sz w:val="24"/>
          <w:szCs w:val="24"/>
          <w:highlight w:val="none"/>
          <w:lang w:val="en-US" w:eastAsia="zh-CN"/>
        </w:rPr>
        <w:t xml:space="preserve"> </w:t>
      </w:r>
      <w:r>
        <w:rPr>
          <w:rFonts w:hint="eastAsia" w:ascii="宋体" w:hAnsi="宋体" w:eastAsia="宋体" w:cs="宋体"/>
          <w:bCs/>
          <w:color w:val="auto"/>
          <w:spacing w:val="-5"/>
          <w:sz w:val="24"/>
          <w:szCs w:val="24"/>
          <w:highlight w:val="none"/>
        </w:rPr>
        <w:t>．质量标准和材料、机械要求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_Toc28358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32DCFA3">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_Toc10320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6</w:t>
      </w:r>
      <w:r>
        <w:rPr>
          <w:rFonts w:hint="eastAsia" w:ascii="宋体" w:hAnsi="宋体" w:eastAsia="宋体" w:cs="宋体"/>
          <w:bCs/>
          <w:color w:val="auto"/>
          <w:spacing w:val="-20"/>
          <w:sz w:val="24"/>
          <w:szCs w:val="24"/>
          <w:highlight w:val="none"/>
        </w:rPr>
        <w:t xml:space="preserve"> </w:t>
      </w:r>
      <w:r>
        <w:rPr>
          <w:rFonts w:hint="eastAsia" w:ascii="宋体" w:hAnsi="宋体" w:eastAsia="宋体" w:cs="宋体"/>
          <w:bCs/>
          <w:color w:val="auto"/>
          <w:spacing w:val="-6"/>
          <w:sz w:val="24"/>
          <w:szCs w:val="24"/>
          <w:highlight w:val="none"/>
        </w:rPr>
        <w:t>．施工条件及现场踏勘</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_Toc10320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9468FFF">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_Toc31135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7</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5"/>
          <w:sz w:val="24"/>
          <w:szCs w:val="24"/>
          <w:highlight w:val="none"/>
        </w:rPr>
        <w:t>．招标文件的提问和答疑</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_Toc31135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4B385DE">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_Toc28760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8</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5"/>
          <w:sz w:val="24"/>
          <w:szCs w:val="24"/>
          <w:highlight w:val="none"/>
        </w:rPr>
        <w:t>．</w:t>
      </w:r>
      <w:r>
        <w:rPr>
          <w:rFonts w:hint="eastAsia" w:ascii="宋体" w:hAnsi="宋体" w:eastAsia="宋体" w:cs="宋体"/>
          <w:bCs/>
          <w:color w:val="auto"/>
          <w:spacing w:val="-1"/>
          <w:sz w:val="24"/>
          <w:szCs w:val="24"/>
          <w:highlight w:val="none"/>
          <w:lang w:eastAsia="zh-CN"/>
        </w:rPr>
        <w:t>最高投标限价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_Toc28760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0832966">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_Toc24303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9</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8"/>
          <w:sz w:val="24"/>
          <w:szCs w:val="24"/>
          <w:highlight w:val="none"/>
        </w:rPr>
        <w:t>．投标报价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_Toc24303 \h </w:instrText>
      </w:r>
      <w:r>
        <w:rPr>
          <w:color w:val="auto"/>
          <w:sz w:val="24"/>
          <w:szCs w:val="24"/>
          <w:highlight w:val="none"/>
        </w:rPr>
        <w:fldChar w:fldCharType="separate"/>
      </w:r>
      <w:r>
        <w:rPr>
          <w:color w:val="auto"/>
          <w:sz w:val="24"/>
          <w:szCs w:val="24"/>
          <w:highlight w:val="none"/>
        </w:rPr>
        <w:t>19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4110556">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_Toc8919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10 ．投标文件的编制要求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_Toc8919 \h </w:instrText>
      </w:r>
      <w:r>
        <w:rPr>
          <w:color w:val="auto"/>
          <w:sz w:val="24"/>
          <w:szCs w:val="24"/>
          <w:highlight w:val="none"/>
        </w:rPr>
        <w:fldChar w:fldCharType="separate"/>
      </w:r>
      <w:r>
        <w:rPr>
          <w:color w:val="auto"/>
          <w:sz w:val="24"/>
          <w:szCs w:val="24"/>
          <w:highlight w:val="none"/>
        </w:rPr>
        <w:t>20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E0C8BA4">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_Toc20552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rPr>
        <w:t>11.</w:t>
      </w:r>
      <w:r>
        <w:rPr>
          <w:rFonts w:hint="eastAsia" w:ascii="宋体" w:hAnsi="宋体" w:eastAsia="宋体" w:cs="宋体"/>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_Toc20552 \h </w:instrText>
      </w:r>
      <w:r>
        <w:rPr>
          <w:color w:val="auto"/>
          <w:sz w:val="24"/>
          <w:szCs w:val="24"/>
          <w:highlight w:val="none"/>
        </w:rPr>
        <w:fldChar w:fldCharType="separate"/>
      </w:r>
      <w:r>
        <w:rPr>
          <w:color w:val="auto"/>
          <w:sz w:val="24"/>
          <w:szCs w:val="24"/>
          <w:highlight w:val="none"/>
        </w:rPr>
        <w:t>23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8E52CC4">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_Toc9188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lang w:val="en-US" w:eastAsia="zh-CN"/>
        </w:rPr>
        <w:t>12.</w:t>
      </w:r>
      <w:r>
        <w:rPr>
          <w:rFonts w:hint="eastAsia" w:ascii="宋体" w:hAnsi="宋体" w:eastAsia="宋体" w:cs="宋体"/>
          <w:bCs/>
          <w:color w:val="auto"/>
          <w:spacing w:val="22"/>
          <w:w w:val="101"/>
          <w:sz w:val="24"/>
          <w:szCs w:val="24"/>
          <w:highlight w:val="none"/>
        </w:rPr>
        <w:t xml:space="preserve"> </w:t>
      </w:r>
      <w:r>
        <w:rPr>
          <w:rFonts w:hint="eastAsia" w:ascii="宋体" w:hAnsi="宋体" w:eastAsia="宋体" w:cs="宋体"/>
          <w:bCs/>
          <w:color w:val="auto"/>
          <w:spacing w:val="-4"/>
          <w:sz w:val="24"/>
          <w:szCs w:val="24"/>
          <w:highlight w:val="none"/>
        </w:rPr>
        <w:t>电子投标及投标解密失败及突发情况的补救方案</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_Toc9188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BAE0E43">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_Toc32501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13</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7"/>
          <w:sz w:val="24"/>
          <w:szCs w:val="24"/>
          <w:highlight w:val="none"/>
        </w:rPr>
        <w:t>．投标文件的提交</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_Toc32501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F0399F3">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_Toc28423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14</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11"/>
          <w:sz w:val="24"/>
          <w:szCs w:val="24"/>
          <w:highlight w:val="none"/>
        </w:rPr>
        <w:t>．开标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_Toc28423 \h </w:instrText>
      </w:r>
      <w:r>
        <w:rPr>
          <w:color w:val="auto"/>
          <w:sz w:val="24"/>
          <w:szCs w:val="24"/>
          <w:highlight w:val="none"/>
        </w:rPr>
        <w:fldChar w:fldCharType="separate"/>
      </w:r>
      <w:r>
        <w:rPr>
          <w:color w:val="auto"/>
          <w:sz w:val="24"/>
          <w:szCs w:val="24"/>
          <w:highlight w:val="none"/>
        </w:rPr>
        <w:t>25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72A3D79">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_Toc21044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15</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11"/>
          <w:sz w:val="24"/>
          <w:szCs w:val="24"/>
          <w:highlight w:val="none"/>
        </w:rPr>
        <w:t>．评标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_Toc21044 \h </w:instrText>
      </w:r>
      <w:r>
        <w:rPr>
          <w:color w:val="auto"/>
          <w:sz w:val="24"/>
          <w:szCs w:val="24"/>
          <w:highlight w:val="none"/>
        </w:rPr>
        <w:fldChar w:fldCharType="separate"/>
      </w:r>
      <w:r>
        <w:rPr>
          <w:color w:val="auto"/>
          <w:sz w:val="24"/>
          <w:szCs w:val="24"/>
          <w:highlight w:val="none"/>
        </w:rPr>
        <w:t>26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11ECF54">
      <w:pPr>
        <w:pStyle w:val="12"/>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ind w:firstLine="480" w:firstLineChars="200"/>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_Toc10482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snapToGrid w:val="0"/>
          <w:color w:val="auto"/>
          <w:sz w:val="24"/>
          <w:szCs w:val="24"/>
          <w:highlight w:val="none"/>
        </w:rPr>
        <w:t>16．</w:t>
      </w:r>
      <w:r>
        <w:rPr>
          <w:rFonts w:hint="eastAsia" w:ascii="宋体" w:hAnsi="宋体" w:eastAsia="宋体" w:cs="宋体"/>
          <w:snapToGrid w:val="0"/>
          <w:color w:val="auto"/>
          <w:sz w:val="24"/>
          <w:szCs w:val="24"/>
          <w:highlight w:val="none"/>
          <w:lang w:eastAsia="zh-CN"/>
        </w:rPr>
        <w:t>评标结果公示</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_Toc10482 \h </w:instrText>
      </w:r>
      <w:r>
        <w:rPr>
          <w:color w:val="auto"/>
          <w:sz w:val="24"/>
          <w:szCs w:val="24"/>
          <w:highlight w:val="none"/>
        </w:rPr>
        <w:fldChar w:fldCharType="separate"/>
      </w:r>
      <w:r>
        <w:rPr>
          <w:color w:val="auto"/>
          <w:sz w:val="24"/>
          <w:szCs w:val="24"/>
          <w:highlight w:val="none"/>
        </w:rPr>
        <w:t>36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F1B8098">
      <w:pPr>
        <w:pStyle w:val="12"/>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_Toc5273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否决投标条件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_Toc5273 \h </w:instrText>
      </w:r>
      <w:r>
        <w:rPr>
          <w:color w:val="auto"/>
          <w:sz w:val="24"/>
          <w:szCs w:val="24"/>
          <w:highlight w:val="none"/>
        </w:rPr>
        <w:fldChar w:fldCharType="separate"/>
      </w:r>
      <w:r>
        <w:rPr>
          <w:color w:val="auto"/>
          <w:sz w:val="24"/>
          <w:szCs w:val="24"/>
          <w:highlight w:val="none"/>
        </w:rPr>
        <w:t>37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CA47105">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_Toc28653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8"/>
          <w:sz w:val="24"/>
          <w:szCs w:val="24"/>
          <w:highlight w:val="none"/>
        </w:rPr>
        <w:t>．资格评审环节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_Toc28653 \h </w:instrText>
      </w:r>
      <w:r>
        <w:rPr>
          <w:color w:val="auto"/>
          <w:sz w:val="24"/>
          <w:szCs w:val="24"/>
          <w:highlight w:val="none"/>
        </w:rPr>
        <w:fldChar w:fldCharType="separate"/>
      </w:r>
      <w:r>
        <w:rPr>
          <w:color w:val="auto"/>
          <w:sz w:val="24"/>
          <w:szCs w:val="24"/>
          <w:highlight w:val="none"/>
        </w:rPr>
        <w:t>37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61722F4">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_Toc31049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．形式评审环节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_Toc31049 \h </w:instrText>
      </w:r>
      <w:r>
        <w:rPr>
          <w:color w:val="auto"/>
          <w:sz w:val="24"/>
          <w:szCs w:val="24"/>
          <w:highlight w:val="none"/>
        </w:rPr>
        <w:fldChar w:fldCharType="separate"/>
      </w:r>
      <w:r>
        <w:rPr>
          <w:color w:val="auto"/>
          <w:sz w:val="24"/>
          <w:szCs w:val="24"/>
          <w:highlight w:val="none"/>
        </w:rPr>
        <w:t>38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B1EA7F3">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_Toc8222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3</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6"/>
          <w:sz w:val="24"/>
          <w:szCs w:val="24"/>
          <w:highlight w:val="none"/>
        </w:rPr>
        <w:t>．响应性评审环节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_Toc8222 \h </w:instrText>
      </w:r>
      <w:r>
        <w:rPr>
          <w:color w:val="auto"/>
          <w:sz w:val="24"/>
          <w:szCs w:val="24"/>
          <w:highlight w:val="none"/>
        </w:rPr>
        <w:fldChar w:fldCharType="separate"/>
      </w:r>
      <w:r>
        <w:rPr>
          <w:color w:val="auto"/>
          <w:sz w:val="24"/>
          <w:szCs w:val="24"/>
          <w:highlight w:val="none"/>
        </w:rPr>
        <w:t>38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3A09D40">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_Toc12817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4</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11"/>
          <w:sz w:val="24"/>
          <w:szCs w:val="24"/>
          <w:highlight w:val="none"/>
        </w:rPr>
        <w:t>．其他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_Toc12817 \h </w:instrText>
      </w:r>
      <w:r>
        <w:rPr>
          <w:color w:val="auto"/>
          <w:sz w:val="24"/>
          <w:szCs w:val="24"/>
          <w:highlight w:val="none"/>
        </w:rPr>
        <w:fldChar w:fldCharType="separate"/>
      </w:r>
      <w:r>
        <w:rPr>
          <w:color w:val="auto"/>
          <w:sz w:val="24"/>
          <w:szCs w:val="24"/>
          <w:highlight w:val="none"/>
        </w:rPr>
        <w:t>39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96B0CEC">
      <w:pPr>
        <w:pStyle w:val="12"/>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_Toc14339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w:t>
      </w:r>
      <w:r>
        <w:rPr>
          <w:rFonts w:hint="eastAsia" w:ascii="宋体" w:hAnsi="宋体" w:eastAsia="宋体" w:cs="宋体"/>
          <w:bCs/>
          <w:color w:val="auto"/>
          <w:spacing w:val="-3"/>
          <w:sz w:val="24"/>
          <w:szCs w:val="24"/>
          <w:highlight w:val="none"/>
          <w:lang w:val="en-US" w:eastAsia="zh-CN"/>
        </w:rPr>
        <w:t>五</w:t>
      </w:r>
      <w:r>
        <w:rPr>
          <w:rFonts w:hint="eastAsia" w:ascii="宋体" w:hAnsi="宋体" w:eastAsia="宋体" w:cs="宋体"/>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定标规定及细则（本项目采用票决数量法定标）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_Toc14339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485BDB0">
      <w:pPr>
        <w:pStyle w:val="12"/>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_Toc832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w:t>
      </w:r>
      <w:r>
        <w:rPr>
          <w:rFonts w:hint="eastAsia" w:ascii="宋体" w:hAnsi="宋体" w:eastAsia="宋体" w:cs="宋体"/>
          <w:bCs/>
          <w:color w:val="auto"/>
          <w:spacing w:val="-3"/>
          <w:sz w:val="24"/>
          <w:szCs w:val="24"/>
          <w:highlight w:val="none"/>
          <w:lang w:val="en-US" w:eastAsia="zh-CN"/>
        </w:rPr>
        <w:t>六</w:t>
      </w:r>
      <w:r>
        <w:rPr>
          <w:rFonts w:hint="eastAsia" w:ascii="宋体" w:hAnsi="宋体" w:eastAsia="宋体" w:cs="宋体"/>
          <w:bCs/>
          <w:color w:val="auto"/>
          <w:spacing w:val="-3"/>
          <w:sz w:val="24"/>
          <w:szCs w:val="24"/>
          <w:highlight w:val="none"/>
        </w:rPr>
        <w:t>节 中标确认</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_Toc832 \h </w:instrText>
      </w:r>
      <w:r>
        <w:rPr>
          <w:color w:val="auto"/>
          <w:sz w:val="24"/>
          <w:szCs w:val="24"/>
          <w:highlight w:val="none"/>
        </w:rPr>
        <w:fldChar w:fldCharType="separate"/>
      </w:r>
      <w:r>
        <w:rPr>
          <w:color w:val="auto"/>
          <w:sz w:val="24"/>
          <w:szCs w:val="24"/>
          <w:highlight w:val="none"/>
        </w:rPr>
        <w:t>43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B1187F0">
      <w:pPr>
        <w:pStyle w:val="11"/>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_Toc6398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Cs/>
          <w:color w:val="auto"/>
          <w:spacing w:val="-7"/>
          <w:sz w:val="24"/>
          <w:szCs w:val="24"/>
          <w:highlight w:val="none"/>
        </w:rPr>
        <w:t>中标人须知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_Toc6398 \h </w:instrText>
      </w:r>
      <w:r>
        <w:rPr>
          <w:color w:val="auto"/>
          <w:sz w:val="24"/>
          <w:szCs w:val="24"/>
          <w:highlight w:val="none"/>
        </w:rPr>
        <w:fldChar w:fldCharType="separate"/>
      </w:r>
      <w:r>
        <w:rPr>
          <w:color w:val="auto"/>
          <w:sz w:val="24"/>
          <w:szCs w:val="24"/>
          <w:highlight w:val="none"/>
        </w:rPr>
        <w:t>45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B4C3ABB">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_Toc1365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rPr>
        <w:t>1</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9"/>
          <w:sz w:val="24"/>
          <w:szCs w:val="24"/>
          <w:highlight w:val="none"/>
        </w:rPr>
        <w:t>．中标通知书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_Toc1365 \h </w:instrText>
      </w:r>
      <w:r>
        <w:rPr>
          <w:color w:val="auto"/>
          <w:sz w:val="24"/>
          <w:szCs w:val="24"/>
          <w:highlight w:val="none"/>
        </w:rPr>
        <w:fldChar w:fldCharType="separate"/>
      </w:r>
      <w:r>
        <w:rPr>
          <w:color w:val="auto"/>
          <w:sz w:val="24"/>
          <w:szCs w:val="24"/>
          <w:highlight w:val="none"/>
        </w:rPr>
        <w:t>45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589E0CB">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_Toc15303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．中标结果公示</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_Toc15303 \h </w:instrText>
      </w:r>
      <w:r>
        <w:rPr>
          <w:color w:val="auto"/>
          <w:sz w:val="24"/>
          <w:szCs w:val="24"/>
          <w:highlight w:val="none"/>
        </w:rPr>
        <w:fldChar w:fldCharType="separate"/>
      </w:r>
      <w:r>
        <w:rPr>
          <w:color w:val="auto"/>
          <w:sz w:val="24"/>
          <w:szCs w:val="24"/>
          <w:highlight w:val="none"/>
        </w:rPr>
        <w:t>45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54B44B2">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_Toc22911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3</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8"/>
          <w:sz w:val="24"/>
          <w:szCs w:val="24"/>
          <w:highlight w:val="none"/>
        </w:rPr>
        <w:t>．履约保证</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_Toc22911 \h </w:instrText>
      </w:r>
      <w:r>
        <w:rPr>
          <w:color w:val="auto"/>
          <w:sz w:val="24"/>
          <w:szCs w:val="24"/>
          <w:highlight w:val="none"/>
        </w:rPr>
        <w:fldChar w:fldCharType="separate"/>
      </w:r>
      <w:r>
        <w:rPr>
          <w:color w:val="auto"/>
          <w:sz w:val="24"/>
          <w:szCs w:val="24"/>
          <w:highlight w:val="none"/>
        </w:rPr>
        <w:t>45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5D67916">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_Toc25309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4</w:t>
      </w:r>
      <w:r>
        <w:rPr>
          <w:rFonts w:hint="eastAsia" w:ascii="宋体" w:hAnsi="宋体" w:eastAsia="宋体" w:cs="宋体"/>
          <w:bCs/>
          <w:color w:val="auto"/>
          <w:spacing w:val="-27"/>
          <w:sz w:val="24"/>
          <w:szCs w:val="24"/>
          <w:highlight w:val="none"/>
        </w:rPr>
        <w:t xml:space="preserve"> </w:t>
      </w:r>
      <w:r>
        <w:rPr>
          <w:rFonts w:hint="eastAsia" w:ascii="宋体" w:hAnsi="宋体" w:eastAsia="宋体" w:cs="宋体"/>
          <w:bCs/>
          <w:color w:val="auto"/>
          <w:spacing w:val="-8"/>
          <w:sz w:val="24"/>
          <w:szCs w:val="24"/>
          <w:highlight w:val="none"/>
        </w:rPr>
        <w:t>．合同订立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_Toc25309 \h </w:instrText>
      </w:r>
      <w:r>
        <w:rPr>
          <w:color w:val="auto"/>
          <w:sz w:val="24"/>
          <w:szCs w:val="24"/>
          <w:highlight w:val="none"/>
        </w:rPr>
        <w:fldChar w:fldCharType="separate"/>
      </w:r>
      <w:r>
        <w:rPr>
          <w:color w:val="auto"/>
          <w:sz w:val="24"/>
          <w:szCs w:val="24"/>
          <w:highlight w:val="none"/>
        </w:rPr>
        <w:t>46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43EB1A9">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_Toc28192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5</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6"/>
          <w:sz w:val="24"/>
          <w:szCs w:val="24"/>
          <w:highlight w:val="none"/>
        </w:rPr>
        <w:t>．放弃中标的处理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_Toc28192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79AB8C5">
      <w:pPr>
        <w:pStyle w:val="11"/>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_Toc10612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拟签订合同的主要条款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_Toc10612 \h </w:instrText>
      </w:r>
      <w:r>
        <w:rPr>
          <w:color w:val="auto"/>
          <w:sz w:val="24"/>
          <w:szCs w:val="24"/>
          <w:highlight w:val="none"/>
        </w:rPr>
        <w:fldChar w:fldCharType="separate"/>
      </w:r>
      <w:r>
        <w:rPr>
          <w:color w:val="auto"/>
          <w:sz w:val="24"/>
          <w:szCs w:val="24"/>
          <w:highlight w:val="none"/>
        </w:rPr>
        <w:t>48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F2333F6">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_Toc9868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8"/>
          <w:sz w:val="24"/>
          <w:szCs w:val="24"/>
          <w:highlight w:val="none"/>
        </w:rPr>
        <w:t>．工程承包方式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_Toc9868 \h </w:instrText>
      </w:r>
      <w:r>
        <w:rPr>
          <w:color w:val="auto"/>
          <w:sz w:val="24"/>
          <w:szCs w:val="24"/>
          <w:highlight w:val="none"/>
        </w:rPr>
        <w:fldChar w:fldCharType="separate"/>
      </w:r>
      <w:r>
        <w:rPr>
          <w:color w:val="auto"/>
          <w:sz w:val="24"/>
          <w:szCs w:val="24"/>
          <w:highlight w:val="none"/>
        </w:rPr>
        <w:t>48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DC01057">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_Toc3771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．工程结算原则</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_Toc3771 \h </w:instrText>
      </w:r>
      <w:r>
        <w:rPr>
          <w:color w:val="auto"/>
          <w:sz w:val="24"/>
          <w:szCs w:val="24"/>
          <w:highlight w:val="none"/>
        </w:rPr>
        <w:fldChar w:fldCharType="separate"/>
      </w:r>
      <w:r>
        <w:rPr>
          <w:color w:val="auto"/>
          <w:sz w:val="24"/>
          <w:szCs w:val="24"/>
          <w:highlight w:val="none"/>
        </w:rPr>
        <w:t>48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8A1154B">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_Toc12732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3. 工程付款办法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_Toc12732 \h </w:instrText>
      </w:r>
      <w:r>
        <w:rPr>
          <w:color w:val="auto"/>
          <w:sz w:val="24"/>
          <w:szCs w:val="24"/>
          <w:highlight w:val="none"/>
        </w:rPr>
        <w:fldChar w:fldCharType="separate"/>
      </w:r>
      <w:r>
        <w:rPr>
          <w:color w:val="auto"/>
          <w:sz w:val="24"/>
          <w:szCs w:val="24"/>
          <w:highlight w:val="none"/>
        </w:rPr>
        <w:t>54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8BF6C32">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_Toc2108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4</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7"/>
          <w:sz w:val="24"/>
          <w:szCs w:val="24"/>
          <w:highlight w:val="none"/>
        </w:rPr>
        <w:t>．专用合同条款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_Toc2108 \h </w:instrText>
      </w:r>
      <w:r>
        <w:rPr>
          <w:color w:val="auto"/>
          <w:sz w:val="24"/>
          <w:szCs w:val="24"/>
          <w:highlight w:val="none"/>
        </w:rPr>
        <w:fldChar w:fldCharType="separate"/>
      </w:r>
      <w:r>
        <w:rPr>
          <w:color w:val="auto"/>
          <w:sz w:val="24"/>
          <w:szCs w:val="24"/>
          <w:highlight w:val="none"/>
        </w:rPr>
        <w:t>55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E1AD54F">
      <w:pPr>
        <w:pStyle w:val="11"/>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_Toc4003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技术要求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_Toc4003 \h </w:instrText>
      </w:r>
      <w:r>
        <w:rPr>
          <w:color w:val="auto"/>
          <w:sz w:val="24"/>
          <w:szCs w:val="24"/>
          <w:highlight w:val="none"/>
        </w:rPr>
        <w:fldChar w:fldCharType="separate"/>
      </w:r>
      <w:r>
        <w:rPr>
          <w:color w:val="auto"/>
          <w:sz w:val="24"/>
          <w:szCs w:val="24"/>
          <w:highlight w:val="none"/>
        </w:rPr>
        <w:t>62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04DF9E7">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1</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6"/>
          <w:sz w:val="24"/>
          <w:szCs w:val="24"/>
          <w:highlight w:val="none"/>
        </w:rPr>
        <w:t>．</w:t>
      </w:r>
      <w:r>
        <w:rPr>
          <w:rFonts w:hint="eastAsia" w:ascii="宋体" w:hAnsi="宋体" w:eastAsia="宋体" w:cs="宋体"/>
          <w:bCs/>
          <w:color w:val="auto"/>
          <w:spacing w:val="-1"/>
          <w:sz w:val="24"/>
          <w:szCs w:val="24"/>
          <w:highlight w:val="none"/>
        </w:rPr>
        <w:t>房屋建筑工程建设项目</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_Toc15469 \h </w:instrText>
      </w:r>
      <w:r>
        <w:rPr>
          <w:color w:val="auto"/>
          <w:sz w:val="24"/>
          <w:szCs w:val="24"/>
          <w:highlight w:val="none"/>
        </w:rPr>
        <w:fldChar w:fldCharType="separate"/>
      </w:r>
      <w:r>
        <w:rPr>
          <w:color w:val="auto"/>
          <w:sz w:val="24"/>
          <w:szCs w:val="24"/>
          <w:highlight w:val="none"/>
        </w:rPr>
        <w:t>62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816C19C">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2</w:t>
      </w:r>
      <w:r>
        <w:rPr>
          <w:rFonts w:hint="eastAsia" w:ascii="宋体" w:hAnsi="宋体" w:eastAsia="宋体" w:cs="宋体"/>
          <w:bCs/>
          <w:color w:val="auto"/>
          <w:spacing w:val="-18"/>
          <w:sz w:val="24"/>
          <w:szCs w:val="24"/>
          <w:highlight w:val="none"/>
        </w:rPr>
        <w:t xml:space="preserve"> </w:t>
      </w:r>
      <w:r>
        <w:rPr>
          <w:rFonts w:hint="eastAsia" w:ascii="宋体" w:hAnsi="宋体" w:eastAsia="宋体" w:cs="宋体"/>
          <w:bCs/>
          <w:color w:val="auto"/>
          <w:spacing w:val="-5"/>
          <w:sz w:val="24"/>
          <w:szCs w:val="24"/>
          <w:highlight w:val="none"/>
        </w:rPr>
        <w:t>．市政基础设施工程建设项目</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_Toc509 \h </w:instrText>
      </w:r>
      <w:r>
        <w:rPr>
          <w:color w:val="auto"/>
          <w:sz w:val="24"/>
          <w:szCs w:val="24"/>
          <w:highlight w:val="none"/>
        </w:rPr>
        <w:fldChar w:fldCharType="separate"/>
      </w:r>
      <w:r>
        <w:rPr>
          <w:color w:val="auto"/>
          <w:sz w:val="24"/>
          <w:szCs w:val="24"/>
          <w:highlight w:val="none"/>
        </w:rPr>
        <w:t>62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D4415DB">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_Toc20146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3</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8"/>
          <w:sz w:val="24"/>
          <w:szCs w:val="24"/>
          <w:highlight w:val="none"/>
        </w:rPr>
        <w:t>．备查要求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_Toc20146 \h </w:instrText>
      </w:r>
      <w:r>
        <w:rPr>
          <w:color w:val="auto"/>
          <w:sz w:val="24"/>
          <w:szCs w:val="24"/>
          <w:highlight w:val="none"/>
        </w:rPr>
        <w:fldChar w:fldCharType="separate"/>
      </w:r>
      <w:r>
        <w:rPr>
          <w:color w:val="auto"/>
          <w:sz w:val="24"/>
          <w:szCs w:val="24"/>
          <w:highlight w:val="none"/>
        </w:rPr>
        <w:t>63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0A0FE0D">
      <w:pPr>
        <w:pStyle w:val="11"/>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_Toc19671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Cs/>
          <w:color w:val="auto"/>
          <w:spacing w:val="-5"/>
          <w:sz w:val="24"/>
          <w:szCs w:val="24"/>
          <w:highlight w:val="none"/>
        </w:rPr>
        <w:t>图纸和招标工程量清单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_Toc19671 \h </w:instrText>
      </w:r>
      <w:r>
        <w:rPr>
          <w:color w:val="auto"/>
          <w:sz w:val="24"/>
          <w:szCs w:val="24"/>
          <w:highlight w:val="none"/>
        </w:rPr>
        <w:fldChar w:fldCharType="separate"/>
      </w:r>
      <w:r>
        <w:rPr>
          <w:color w:val="auto"/>
          <w:sz w:val="24"/>
          <w:szCs w:val="24"/>
          <w:highlight w:val="none"/>
        </w:rPr>
        <w:t>64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DBC5030">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_Toc12366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4"/>
          <w:sz w:val="24"/>
          <w:szCs w:val="24"/>
          <w:highlight w:val="none"/>
        </w:rPr>
        <w:t>1</w:t>
      </w:r>
      <w:r>
        <w:rPr>
          <w:rFonts w:hint="eastAsia" w:ascii="宋体" w:hAnsi="宋体" w:eastAsia="宋体" w:cs="宋体"/>
          <w:bCs/>
          <w:color w:val="auto"/>
          <w:spacing w:val="-27"/>
          <w:sz w:val="24"/>
          <w:szCs w:val="24"/>
          <w:highlight w:val="none"/>
        </w:rPr>
        <w:t xml:space="preserve"> </w:t>
      </w:r>
      <w:r>
        <w:rPr>
          <w:rFonts w:hint="eastAsia" w:ascii="宋体" w:hAnsi="宋体" w:eastAsia="宋体" w:cs="宋体"/>
          <w:bCs/>
          <w:color w:val="auto"/>
          <w:spacing w:val="-14"/>
          <w:sz w:val="24"/>
          <w:szCs w:val="24"/>
          <w:highlight w:val="none"/>
        </w:rPr>
        <w:t>．图纸</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_Toc12366 \h </w:instrText>
      </w:r>
      <w:r>
        <w:rPr>
          <w:color w:val="auto"/>
          <w:sz w:val="24"/>
          <w:szCs w:val="24"/>
          <w:highlight w:val="none"/>
        </w:rPr>
        <w:fldChar w:fldCharType="separate"/>
      </w:r>
      <w:r>
        <w:rPr>
          <w:color w:val="auto"/>
          <w:sz w:val="24"/>
          <w:szCs w:val="24"/>
          <w:highlight w:val="none"/>
        </w:rPr>
        <w:t>64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AD590DE">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_Toc3108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2</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6"/>
          <w:sz w:val="24"/>
          <w:szCs w:val="24"/>
          <w:highlight w:val="none"/>
        </w:rPr>
        <w:t>．招标工程量清单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_Toc3108 \h </w:instrText>
      </w:r>
      <w:r>
        <w:rPr>
          <w:color w:val="auto"/>
          <w:sz w:val="24"/>
          <w:szCs w:val="24"/>
          <w:highlight w:val="none"/>
        </w:rPr>
        <w:fldChar w:fldCharType="separate"/>
      </w:r>
      <w:r>
        <w:rPr>
          <w:color w:val="auto"/>
          <w:sz w:val="24"/>
          <w:szCs w:val="24"/>
          <w:highlight w:val="none"/>
        </w:rPr>
        <w:t>64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7CB8155">
      <w:pPr>
        <w:pStyle w:val="11"/>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_Toc17955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_Toc17955 \h </w:instrText>
      </w:r>
      <w:r>
        <w:rPr>
          <w:color w:val="auto"/>
          <w:sz w:val="24"/>
          <w:szCs w:val="24"/>
          <w:highlight w:val="none"/>
        </w:rPr>
        <w:fldChar w:fldCharType="separate"/>
      </w:r>
      <w:r>
        <w:rPr>
          <w:color w:val="auto"/>
          <w:sz w:val="24"/>
          <w:szCs w:val="24"/>
          <w:highlight w:val="none"/>
        </w:rPr>
        <w:t>65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0C9B1E9">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_Toc20241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Cs/>
          <w:color w:val="auto"/>
          <w:spacing w:val="-4"/>
          <w:sz w:val="24"/>
          <w:szCs w:val="24"/>
          <w:highlight w:val="none"/>
        </w:rPr>
        <w:t>封面</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_Toc20241 \h </w:instrText>
      </w:r>
      <w:r>
        <w:rPr>
          <w:color w:val="auto"/>
          <w:sz w:val="24"/>
          <w:szCs w:val="24"/>
          <w:highlight w:val="none"/>
        </w:rPr>
        <w:fldChar w:fldCharType="separate"/>
      </w:r>
      <w:r>
        <w:rPr>
          <w:color w:val="auto"/>
          <w:sz w:val="24"/>
          <w:szCs w:val="24"/>
          <w:highlight w:val="none"/>
        </w:rPr>
        <w:t>65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F0A6EB7">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_Toc28978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格式二 投标函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_Toc28978 \h </w:instrText>
      </w:r>
      <w:r>
        <w:rPr>
          <w:color w:val="auto"/>
          <w:sz w:val="24"/>
          <w:szCs w:val="24"/>
          <w:highlight w:val="none"/>
        </w:rPr>
        <w:fldChar w:fldCharType="separate"/>
      </w:r>
      <w:r>
        <w:rPr>
          <w:color w:val="auto"/>
          <w:sz w:val="24"/>
          <w:szCs w:val="24"/>
          <w:highlight w:val="none"/>
        </w:rPr>
        <w:t>66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1926D8B">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_Toc28418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格式三 各项承诺一览表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_Toc28418 \h </w:instrText>
      </w:r>
      <w:r>
        <w:rPr>
          <w:color w:val="auto"/>
          <w:sz w:val="24"/>
          <w:szCs w:val="24"/>
          <w:highlight w:val="none"/>
        </w:rPr>
        <w:fldChar w:fldCharType="separate"/>
      </w:r>
      <w:r>
        <w:rPr>
          <w:color w:val="auto"/>
          <w:sz w:val="24"/>
          <w:szCs w:val="24"/>
          <w:highlight w:val="none"/>
        </w:rPr>
        <w:t>67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D6C0AD8">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_Toc14378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格式四 授权委托书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_Toc14378 \h </w:instrText>
      </w:r>
      <w:r>
        <w:rPr>
          <w:color w:val="auto"/>
          <w:sz w:val="24"/>
          <w:szCs w:val="24"/>
          <w:highlight w:val="none"/>
        </w:rPr>
        <w:fldChar w:fldCharType="separate"/>
      </w:r>
      <w:r>
        <w:rPr>
          <w:color w:val="auto"/>
          <w:sz w:val="24"/>
          <w:szCs w:val="24"/>
          <w:highlight w:val="none"/>
        </w:rPr>
        <w:t>69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E8F0390">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_Toc1878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格式五 法定代表人身份证明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_Toc1878 \h </w:instrText>
      </w:r>
      <w:r>
        <w:rPr>
          <w:color w:val="auto"/>
          <w:sz w:val="24"/>
          <w:szCs w:val="24"/>
          <w:highlight w:val="none"/>
        </w:rPr>
        <w:fldChar w:fldCharType="separate"/>
      </w:r>
      <w:r>
        <w:rPr>
          <w:color w:val="auto"/>
          <w:sz w:val="24"/>
          <w:szCs w:val="24"/>
          <w:highlight w:val="none"/>
        </w:rPr>
        <w:t>70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1F8FECC">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_Toc667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格式六 联合体协议书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_Toc667 \h </w:instrText>
      </w:r>
      <w:r>
        <w:rPr>
          <w:color w:val="auto"/>
          <w:sz w:val="24"/>
          <w:szCs w:val="24"/>
          <w:highlight w:val="none"/>
        </w:rPr>
        <w:fldChar w:fldCharType="separate"/>
      </w:r>
      <w:r>
        <w:rPr>
          <w:color w:val="auto"/>
          <w:sz w:val="24"/>
          <w:szCs w:val="24"/>
          <w:highlight w:val="none"/>
        </w:rPr>
        <w:t>71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054E68D">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_Toc23649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格式七 投标人基本情况表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_Toc23649 \h </w:instrText>
      </w:r>
      <w:r>
        <w:rPr>
          <w:color w:val="auto"/>
          <w:sz w:val="24"/>
          <w:szCs w:val="24"/>
          <w:highlight w:val="none"/>
        </w:rPr>
        <w:fldChar w:fldCharType="separate"/>
      </w:r>
      <w:r>
        <w:rPr>
          <w:color w:val="auto"/>
          <w:sz w:val="24"/>
          <w:szCs w:val="24"/>
          <w:highlight w:val="none"/>
        </w:rPr>
        <w:t>72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FCEAB9F">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_Toc6783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格式八 项目经理简历表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_Toc6783 \h </w:instrText>
      </w:r>
      <w:r>
        <w:rPr>
          <w:color w:val="auto"/>
          <w:sz w:val="24"/>
          <w:szCs w:val="24"/>
          <w:highlight w:val="none"/>
        </w:rPr>
        <w:fldChar w:fldCharType="separate"/>
      </w:r>
      <w:r>
        <w:rPr>
          <w:color w:val="auto"/>
          <w:sz w:val="24"/>
          <w:szCs w:val="24"/>
          <w:highlight w:val="none"/>
        </w:rPr>
        <w:t>73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AB8D0D2">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_Toc13128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格式九 项目经理任职声明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_Toc13128 \h </w:instrText>
      </w:r>
      <w:r>
        <w:rPr>
          <w:color w:val="auto"/>
          <w:sz w:val="24"/>
          <w:szCs w:val="24"/>
          <w:highlight w:val="none"/>
        </w:rPr>
        <w:fldChar w:fldCharType="separate"/>
      </w:r>
      <w:r>
        <w:rPr>
          <w:color w:val="auto"/>
          <w:sz w:val="24"/>
          <w:szCs w:val="24"/>
          <w:highlight w:val="none"/>
        </w:rPr>
        <w:t>74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BFBEEAF">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_Toc3888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 项目技术负责人简历表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_Toc3888 \h </w:instrText>
      </w:r>
      <w:r>
        <w:rPr>
          <w:color w:val="auto"/>
          <w:sz w:val="24"/>
          <w:szCs w:val="24"/>
          <w:highlight w:val="none"/>
        </w:rPr>
        <w:fldChar w:fldCharType="separate"/>
      </w:r>
      <w:r>
        <w:rPr>
          <w:color w:val="auto"/>
          <w:sz w:val="24"/>
          <w:szCs w:val="24"/>
          <w:highlight w:val="none"/>
        </w:rPr>
        <w:t>75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D5C5BD3">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_Toc27039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格式十一 项目管理机构组成表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_Toc27039 \h </w:instrText>
      </w:r>
      <w:r>
        <w:rPr>
          <w:color w:val="auto"/>
          <w:sz w:val="24"/>
          <w:szCs w:val="24"/>
          <w:highlight w:val="none"/>
        </w:rPr>
        <w:fldChar w:fldCharType="separate"/>
      </w:r>
      <w:r>
        <w:rPr>
          <w:color w:val="auto"/>
          <w:sz w:val="24"/>
          <w:szCs w:val="24"/>
          <w:highlight w:val="none"/>
        </w:rPr>
        <w:t>76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F80EBE0">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_Toc11536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格式十二 建造师查询页（有效期+建造师签字）</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_Toc11536 \h </w:instrText>
      </w:r>
      <w:r>
        <w:rPr>
          <w:color w:val="auto"/>
          <w:sz w:val="24"/>
          <w:szCs w:val="24"/>
          <w:highlight w:val="none"/>
        </w:rPr>
        <w:fldChar w:fldCharType="separate"/>
      </w:r>
      <w:r>
        <w:rPr>
          <w:color w:val="auto"/>
          <w:sz w:val="24"/>
          <w:szCs w:val="24"/>
          <w:highlight w:val="none"/>
        </w:rPr>
        <w:t>77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B40CB56">
      <w:pPr>
        <w:pStyle w:val="8"/>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_Toc21232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w:t>
      </w:r>
      <w:r>
        <w:rPr>
          <w:rFonts w:hint="eastAsia" w:ascii="宋体" w:hAnsi="宋体" w:eastAsia="宋体" w:cs="宋体"/>
          <w:bCs/>
          <w:color w:val="auto"/>
          <w:spacing w:val="-4"/>
          <w:sz w:val="24"/>
          <w:szCs w:val="24"/>
          <w:highlight w:val="none"/>
          <w:lang w:val="en-US" w:eastAsia="zh-CN"/>
        </w:rPr>
        <w:t>三</w:t>
      </w:r>
      <w:r>
        <w:rPr>
          <w:rFonts w:hint="eastAsia" w:ascii="宋体" w:hAnsi="宋体" w:eastAsia="宋体" w:cs="宋体"/>
          <w:bCs/>
          <w:color w:val="auto"/>
          <w:spacing w:val="-4"/>
          <w:sz w:val="24"/>
          <w:szCs w:val="24"/>
          <w:highlight w:val="none"/>
        </w:rPr>
        <w:t xml:space="preserve">  原件一览表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_Toc21232 \h </w:instrText>
      </w:r>
      <w:r>
        <w:rPr>
          <w:color w:val="auto"/>
          <w:sz w:val="24"/>
          <w:szCs w:val="24"/>
          <w:highlight w:val="none"/>
        </w:rPr>
        <w:fldChar w:fldCharType="separate"/>
      </w:r>
      <w:r>
        <w:rPr>
          <w:color w:val="auto"/>
          <w:sz w:val="24"/>
          <w:szCs w:val="24"/>
          <w:highlight w:val="none"/>
        </w:rPr>
        <w:t>79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5E747E8">
      <w:pPr>
        <w:pStyle w:val="12"/>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ind w:firstLine="480" w:firstLineChars="200"/>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_Toc5994 </w:instrText>
      </w:r>
      <w:r>
        <w:rPr>
          <w:rFonts w:hint="eastAsia" w:ascii="宋体" w:hAnsi="宋体" w:eastAsia="宋体" w:cs="宋体"/>
          <w:color w:val="auto"/>
          <w:sz w:val="24"/>
          <w:szCs w:val="24"/>
          <w:highlight w:val="none"/>
        </w:rPr>
        <w:fldChar w:fldCharType="separate"/>
      </w:r>
      <w:r>
        <w:rPr>
          <w:rFonts w:hint="eastAsia" w:ascii="Times New Roman" w:hAnsi="宋体" w:eastAsia="宋体" w:cs="Times New Roman"/>
          <w:bCs/>
          <w:color w:val="auto"/>
          <w:kern w:val="0"/>
          <w:sz w:val="24"/>
          <w:szCs w:val="24"/>
          <w:highlight w:val="none"/>
          <w:lang w:val="en-US" w:eastAsia="zh-CN" w:bidi="ar-SA"/>
        </w:rPr>
        <w:t>格式十四 助力项目承诺书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_Toc5994 \h </w:instrText>
      </w:r>
      <w:r>
        <w:rPr>
          <w:color w:val="auto"/>
          <w:sz w:val="24"/>
          <w:szCs w:val="24"/>
          <w:highlight w:val="none"/>
        </w:rPr>
        <w:fldChar w:fldCharType="separate"/>
      </w:r>
      <w:r>
        <w:rPr>
          <w:color w:val="auto"/>
          <w:sz w:val="24"/>
          <w:szCs w:val="24"/>
          <w:highlight w:val="none"/>
        </w:rPr>
        <w:t>80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C1F0AE2">
      <w:pPr>
        <w:pStyle w:val="12"/>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ind w:firstLine="480" w:firstLineChars="200"/>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_Toc21404 </w:instrText>
      </w:r>
      <w:r>
        <w:rPr>
          <w:rFonts w:hint="eastAsia" w:ascii="宋体" w:hAnsi="宋体" w:eastAsia="宋体" w:cs="宋体"/>
          <w:color w:val="auto"/>
          <w:sz w:val="24"/>
          <w:szCs w:val="24"/>
          <w:highlight w:val="none"/>
        </w:rPr>
        <w:fldChar w:fldCharType="separate"/>
      </w:r>
      <w:r>
        <w:rPr>
          <w:rFonts w:hint="eastAsia" w:ascii="Times New Roman" w:hAnsi="宋体" w:eastAsia="宋体" w:cs="Times New Roman"/>
          <w:bCs/>
          <w:color w:val="auto"/>
          <w:sz w:val="24"/>
          <w:szCs w:val="24"/>
          <w:highlight w:val="none"/>
          <w:lang w:eastAsia="zh-CN"/>
        </w:rPr>
        <w:t>格式十</w:t>
      </w:r>
      <w:r>
        <w:rPr>
          <w:rFonts w:hint="eastAsia" w:ascii="Times New Roman" w:hAnsi="宋体" w:cs="Times New Roman"/>
          <w:bCs/>
          <w:color w:val="auto"/>
          <w:sz w:val="24"/>
          <w:szCs w:val="24"/>
          <w:highlight w:val="none"/>
          <w:lang w:val="en-US" w:eastAsia="zh-CN"/>
        </w:rPr>
        <w:t xml:space="preserve">五  </w:t>
      </w:r>
      <w:r>
        <w:rPr>
          <w:rFonts w:hint="eastAsia" w:ascii="Times New Roman" w:hAnsi="宋体" w:eastAsia="宋体" w:cs="Times New Roman"/>
          <w:bCs/>
          <w:color w:val="auto"/>
          <w:sz w:val="24"/>
          <w:szCs w:val="24"/>
          <w:highlight w:val="none"/>
          <w:lang w:val="en-US" w:eastAsia="zh-CN"/>
        </w:rPr>
        <w:t>定标因素评审资料</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_Toc21404 \h </w:instrText>
      </w:r>
      <w:r>
        <w:rPr>
          <w:color w:val="auto"/>
          <w:sz w:val="24"/>
          <w:szCs w:val="24"/>
          <w:highlight w:val="none"/>
        </w:rPr>
        <w:fldChar w:fldCharType="separate"/>
      </w:r>
      <w:r>
        <w:rPr>
          <w:color w:val="auto"/>
          <w:sz w:val="24"/>
          <w:szCs w:val="24"/>
          <w:highlight w:val="none"/>
        </w:rPr>
        <w:t>81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5C3ED9D">
      <w:pPr>
        <w:pStyle w:val="12"/>
        <w:keepNext w:val="0"/>
        <w:keepLines w:val="0"/>
        <w:pageBreakBefore w:val="0"/>
        <w:widowControl/>
        <w:tabs>
          <w:tab w:val="right" w:leader="dot" w:pos="9746"/>
        </w:tabs>
        <w:kinsoku/>
        <w:wordWrap w:val="0"/>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_Toc15955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建设工程施工合同</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_Toc15955 \h </w:instrText>
      </w:r>
      <w:r>
        <w:rPr>
          <w:color w:val="auto"/>
          <w:sz w:val="24"/>
          <w:szCs w:val="24"/>
          <w:highlight w:val="none"/>
        </w:rPr>
        <w:fldChar w:fldCharType="separate"/>
      </w:r>
      <w:r>
        <w:rPr>
          <w:color w:val="auto"/>
          <w:sz w:val="24"/>
          <w:szCs w:val="24"/>
          <w:highlight w:val="none"/>
        </w:rPr>
        <w:t>82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BA2C37D">
      <w:pPr>
        <w:keepNext w:val="0"/>
        <w:keepLines w:val="0"/>
        <w:pageBreakBefore w:val="0"/>
        <w:widowControl/>
        <w:kinsoku/>
        <w:wordWrap w:val="0"/>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color w:val="auto"/>
          <w:sz w:val="24"/>
          <w:szCs w:val="24"/>
          <w:highlight w:val="none"/>
        </w:rPr>
        <w:sectPr>
          <w:headerReference r:id="rId4" w:type="default"/>
          <w:foot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z w:val="24"/>
          <w:szCs w:val="24"/>
          <w:highlight w:val="none"/>
        </w:rPr>
        <w:fldChar w:fldCharType="end"/>
      </w:r>
    </w:p>
    <w:p w14:paraId="7A1B4748">
      <w:pPr>
        <w:pStyle w:val="3"/>
        <w:pageBreakBefore w:val="0"/>
        <w:kinsoku/>
        <w:wordWrap w:val="0"/>
        <w:overflowPunct/>
        <w:topLinePunct w:val="0"/>
        <w:bidi w:val="0"/>
        <w:spacing w:line="272" w:lineRule="auto"/>
        <w:rPr>
          <w:rFonts w:hint="eastAsia" w:ascii="宋体" w:hAnsi="宋体" w:eastAsia="宋体" w:cs="宋体"/>
          <w:color w:val="auto"/>
          <w:highlight w:val="none"/>
        </w:rPr>
      </w:pPr>
    </w:p>
    <w:p w14:paraId="1275B705">
      <w:pPr>
        <w:pageBreakBefore w:val="0"/>
        <w:kinsoku/>
        <w:wordWrap w:val="0"/>
        <w:overflowPunct/>
        <w:topLinePunct w:val="0"/>
        <w:bidi w:val="0"/>
        <w:spacing w:before="78" w:line="219" w:lineRule="auto"/>
        <w:ind w:left="3416"/>
        <w:outlineLvl w:val="0"/>
        <w:rPr>
          <w:rFonts w:hint="eastAsia" w:ascii="宋体" w:hAnsi="宋体" w:eastAsia="宋体" w:cs="宋体"/>
          <w:color w:val="auto"/>
          <w:sz w:val="24"/>
          <w:szCs w:val="24"/>
          <w:highlight w:val="none"/>
        </w:rPr>
      </w:pPr>
      <w:bookmarkStart w:id="0" w:name="bookmark1"/>
      <w:bookmarkEnd w:id="0"/>
      <w:bookmarkStart w:id="1" w:name="_Toc26909"/>
      <w:r>
        <w:rPr>
          <w:rFonts w:hint="eastAsia" w:ascii="宋体" w:hAnsi="宋体" w:eastAsia="宋体" w:cs="宋体"/>
          <w:b/>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w:t>
      </w:r>
      <w:bookmarkEnd w:id="1"/>
    </w:p>
    <w:p w14:paraId="75617145">
      <w:pPr>
        <w:pageBreakBefore w:val="0"/>
        <w:kinsoku/>
        <w:wordWrap w:val="0"/>
        <w:overflowPunct/>
        <w:topLinePunct w:val="0"/>
        <w:bidi w:val="0"/>
        <w:spacing w:before="156" w:line="219" w:lineRule="auto"/>
        <w:ind w:left="17"/>
        <w:outlineLvl w:val="1"/>
        <w:rPr>
          <w:rFonts w:hint="eastAsia" w:ascii="宋体" w:hAnsi="宋体" w:eastAsia="宋体" w:cs="宋体"/>
          <w:color w:val="auto"/>
          <w:sz w:val="24"/>
          <w:szCs w:val="24"/>
          <w:highlight w:val="none"/>
        </w:rPr>
      </w:pPr>
      <w:bookmarkStart w:id="2" w:name="bookmark3"/>
      <w:bookmarkEnd w:id="2"/>
      <w:bookmarkStart w:id="3" w:name="_Toc21198"/>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投标人须知前附表</w:t>
      </w:r>
      <w:bookmarkEnd w:id="3"/>
    </w:p>
    <w:p w14:paraId="1D853073">
      <w:pPr>
        <w:pageBreakBefore w:val="0"/>
        <w:kinsoku/>
        <w:wordWrap w:val="0"/>
        <w:overflowPunct/>
        <w:topLinePunct w:val="0"/>
        <w:bidi w:val="0"/>
        <w:spacing w:before="25"/>
        <w:rPr>
          <w:rFonts w:hint="eastAsia" w:ascii="宋体" w:hAnsi="宋体" w:eastAsia="宋体" w:cs="宋体"/>
          <w:color w:val="auto"/>
          <w:highlight w:val="none"/>
        </w:rPr>
      </w:pPr>
    </w:p>
    <w:tbl>
      <w:tblPr>
        <w:tblStyle w:val="14"/>
        <w:tblW w:w="998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860"/>
        <w:gridCol w:w="7544"/>
      </w:tblGrid>
      <w:tr w14:paraId="25480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top"/>
          </w:tcPr>
          <w:p w14:paraId="57F31717">
            <w:pPr>
              <w:pageBreakBefore w:val="0"/>
              <w:kinsoku/>
              <w:wordWrap w:val="0"/>
              <w:overflowPunct/>
              <w:topLinePunct w:val="0"/>
              <w:bidi w:val="0"/>
              <w:spacing w:before="203" w:line="209" w:lineRule="auto"/>
              <w:ind w:left="0" w:leftChars="0" w:firstLine="0" w:firstLineChars="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序号</w:t>
            </w:r>
          </w:p>
        </w:tc>
        <w:tc>
          <w:tcPr>
            <w:tcW w:w="1860" w:type="dxa"/>
            <w:vAlign w:val="center"/>
          </w:tcPr>
          <w:p w14:paraId="014D554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内容</w:t>
            </w:r>
          </w:p>
        </w:tc>
        <w:tc>
          <w:tcPr>
            <w:tcW w:w="7544" w:type="dxa"/>
            <w:vAlign w:val="center"/>
          </w:tcPr>
          <w:p w14:paraId="4715AF9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说明与要求</w:t>
            </w:r>
          </w:p>
        </w:tc>
      </w:tr>
      <w:tr w14:paraId="21A4D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5E350CD8">
            <w:pPr>
              <w:pageBreakBefore w:val="0"/>
              <w:kinsoku/>
              <w:wordWrap w:val="0"/>
              <w:overflowPunct/>
              <w:topLinePunct w:val="0"/>
              <w:bidi w:val="0"/>
              <w:spacing w:before="223" w:line="195" w:lineRule="auto"/>
              <w:jc w:val="center"/>
              <w:rPr>
                <w:rFonts w:hint="eastAsia" w:asciiTheme="minorEastAsia" w:hAnsiTheme="minorEastAsia" w:eastAsiaTheme="minorEastAsia" w:cstheme="minorEastAsia"/>
                <w:color w:val="auto"/>
                <w:sz w:val="21"/>
                <w:szCs w:val="21"/>
                <w:highlight w:val="none"/>
              </w:rPr>
            </w:pPr>
            <w:bookmarkStart w:id="4" w:name="OLE_LINK2" w:colFirst="2" w:colLast="2"/>
            <w:r>
              <w:rPr>
                <w:rFonts w:hint="eastAsia" w:asciiTheme="minorEastAsia" w:hAnsiTheme="minorEastAsia" w:eastAsiaTheme="minorEastAsia" w:cstheme="minorEastAsia"/>
                <w:color w:val="auto"/>
                <w:sz w:val="21"/>
                <w:szCs w:val="21"/>
                <w:highlight w:val="none"/>
              </w:rPr>
              <w:t>1</w:t>
            </w:r>
          </w:p>
        </w:tc>
        <w:tc>
          <w:tcPr>
            <w:tcW w:w="1860" w:type="dxa"/>
            <w:vAlign w:val="center"/>
          </w:tcPr>
          <w:p w14:paraId="0120043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项目名称</w:t>
            </w:r>
          </w:p>
        </w:tc>
        <w:tc>
          <w:tcPr>
            <w:tcW w:w="7544" w:type="dxa"/>
            <w:vAlign w:val="center"/>
          </w:tcPr>
          <w:p w14:paraId="31F65808">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南雄市主田镇园岭、大坪头、朝阳移民村美丽家园项目施工</w:t>
            </w:r>
          </w:p>
        </w:tc>
      </w:tr>
      <w:tr w14:paraId="7C81C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trPr>
        <w:tc>
          <w:tcPr>
            <w:tcW w:w="582" w:type="dxa"/>
            <w:vAlign w:val="center"/>
          </w:tcPr>
          <w:p w14:paraId="7359E557">
            <w:pPr>
              <w:pageBreakBefore w:val="0"/>
              <w:kinsoku/>
              <w:wordWrap w:val="0"/>
              <w:overflowPunct/>
              <w:topLinePunct w:val="0"/>
              <w:bidi w:val="0"/>
              <w:spacing w:before="22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1860" w:type="dxa"/>
            <w:vAlign w:val="center"/>
          </w:tcPr>
          <w:p w14:paraId="28FE386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项目业主</w:t>
            </w:r>
          </w:p>
        </w:tc>
        <w:tc>
          <w:tcPr>
            <w:tcW w:w="7544" w:type="dxa"/>
            <w:vAlign w:val="center"/>
          </w:tcPr>
          <w:p w14:paraId="18CB074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南雄市水利建设工程建设管理中心</w:t>
            </w:r>
          </w:p>
        </w:tc>
      </w:tr>
      <w:tr w14:paraId="43C65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5" w:hRule="atLeast"/>
        </w:trPr>
        <w:tc>
          <w:tcPr>
            <w:tcW w:w="582" w:type="dxa"/>
            <w:vAlign w:val="center"/>
          </w:tcPr>
          <w:p w14:paraId="56E39C53">
            <w:pPr>
              <w:pageBreakBefore w:val="0"/>
              <w:kinsoku/>
              <w:wordWrap w:val="0"/>
              <w:overflowPunct/>
              <w:topLinePunct w:val="0"/>
              <w:bidi w:val="0"/>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1860" w:type="dxa"/>
            <w:vAlign w:val="center"/>
          </w:tcPr>
          <w:p w14:paraId="78720D6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项目批准部门及项目批准文号</w:t>
            </w:r>
          </w:p>
        </w:tc>
        <w:tc>
          <w:tcPr>
            <w:tcW w:w="7544" w:type="dxa"/>
            <w:vAlign w:val="center"/>
          </w:tcPr>
          <w:p w14:paraId="79223BF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南雄市发展和改革局</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雄发改投审〔</w:t>
            </w:r>
            <w:r>
              <w:rPr>
                <w:rFonts w:hint="eastAsia" w:ascii="宋体" w:hAnsi="宋体" w:eastAsia="宋体" w:cs="宋体"/>
                <w:color w:val="auto"/>
                <w:sz w:val="21"/>
                <w:szCs w:val="21"/>
                <w:highlight w:val="none"/>
                <w:lang w:val="en-US" w:eastAsia="zh-CN"/>
              </w:rPr>
              <w:t>2026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44</w:t>
            </w:r>
            <w:r>
              <w:rPr>
                <w:rFonts w:hint="eastAsia" w:ascii="宋体" w:hAnsi="宋体" w:eastAsia="宋体" w:cs="宋体"/>
                <w:color w:val="auto"/>
                <w:sz w:val="21"/>
                <w:szCs w:val="21"/>
                <w:highlight w:val="none"/>
                <w:lang w:eastAsia="zh-CN"/>
              </w:rPr>
              <w:t>号</w:t>
            </w:r>
          </w:p>
          <w:p w14:paraId="44C77520">
            <w:pPr>
              <w:pStyle w:val="2"/>
              <w:rPr>
                <w:rFonts w:hint="eastAsia"/>
                <w:color w:val="auto"/>
                <w:highlight w:val="none"/>
                <w:lang w:val="en-US" w:eastAsia="zh-CN"/>
              </w:rPr>
            </w:pPr>
            <w:r>
              <w:rPr>
                <w:rFonts w:hint="eastAsia" w:ascii="宋体" w:hAnsi="宋体" w:eastAsia="宋体" w:cs="宋体"/>
                <w:snapToGrid w:val="0"/>
                <w:color w:val="auto"/>
                <w:sz w:val="21"/>
                <w:szCs w:val="21"/>
                <w:highlight w:val="none"/>
                <w:lang w:val="en-US" w:eastAsia="zh-CN" w:bidi="ar-SA"/>
              </w:rPr>
              <w:t>南雄市水务局  雄水批〔2026〕3号</w:t>
            </w:r>
          </w:p>
        </w:tc>
      </w:tr>
      <w:tr w14:paraId="4EB4D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7228FB2F">
            <w:pPr>
              <w:pageBreakBefore w:val="0"/>
              <w:kinsoku/>
              <w:wordWrap w:val="0"/>
              <w:overflowPunct/>
              <w:topLinePunct w:val="0"/>
              <w:bidi w:val="0"/>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4</w:t>
            </w:r>
          </w:p>
        </w:tc>
        <w:tc>
          <w:tcPr>
            <w:tcW w:w="1860" w:type="dxa"/>
            <w:vAlign w:val="center"/>
          </w:tcPr>
          <w:p w14:paraId="73DCFD2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建设地点</w:t>
            </w:r>
          </w:p>
        </w:tc>
        <w:tc>
          <w:tcPr>
            <w:tcW w:w="7544" w:type="dxa"/>
            <w:tcMar>
              <w:top w:w="0" w:type="dxa"/>
              <w:left w:w="0" w:type="dxa"/>
              <w:bottom w:w="0" w:type="dxa"/>
              <w:right w:w="0" w:type="dxa"/>
            </w:tcMar>
            <w:vAlign w:val="center"/>
          </w:tcPr>
          <w:p w14:paraId="2453AFA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color w:val="auto"/>
                <w:sz w:val="21"/>
                <w:szCs w:val="21"/>
                <w:highlight w:val="none"/>
              </w:rPr>
              <w:t>南雄市</w:t>
            </w:r>
            <w:r>
              <w:rPr>
                <w:rFonts w:hint="eastAsia" w:ascii="宋体" w:hAnsi="宋体" w:eastAsia="宋体" w:cs="宋体"/>
                <w:color w:val="auto"/>
                <w:sz w:val="21"/>
                <w:szCs w:val="21"/>
                <w:highlight w:val="none"/>
                <w:lang w:val="en-US" w:eastAsia="zh-CN"/>
              </w:rPr>
              <w:t>主田镇</w:t>
            </w:r>
          </w:p>
        </w:tc>
      </w:tr>
      <w:tr w14:paraId="30C72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trPr>
        <w:tc>
          <w:tcPr>
            <w:tcW w:w="582" w:type="dxa"/>
            <w:vAlign w:val="center"/>
          </w:tcPr>
          <w:p w14:paraId="681E1B8E">
            <w:pPr>
              <w:pageBreakBefore w:val="0"/>
              <w:kinsoku/>
              <w:wordWrap w:val="0"/>
              <w:overflowPunct/>
              <w:topLinePunct w:val="0"/>
              <w:bidi w:val="0"/>
              <w:spacing w:before="226"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p>
        </w:tc>
        <w:tc>
          <w:tcPr>
            <w:tcW w:w="1860" w:type="dxa"/>
            <w:vAlign w:val="center"/>
          </w:tcPr>
          <w:p w14:paraId="2AE1F4D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项目代码</w:t>
            </w:r>
          </w:p>
        </w:tc>
        <w:tc>
          <w:tcPr>
            <w:tcW w:w="7544" w:type="dxa"/>
            <w:vAlign w:val="center"/>
          </w:tcPr>
          <w:p w14:paraId="5F3E159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2604-440282-04-01-701542</w:t>
            </w:r>
          </w:p>
        </w:tc>
      </w:tr>
      <w:tr w14:paraId="3CCFB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5DE790D0">
            <w:pPr>
              <w:pageBreakBefore w:val="0"/>
              <w:kinsoku/>
              <w:wordWrap w:val="0"/>
              <w:overflowPunct/>
              <w:topLinePunct w:val="0"/>
              <w:bidi w:val="0"/>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p>
        </w:tc>
        <w:tc>
          <w:tcPr>
            <w:tcW w:w="1860" w:type="dxa"/>
            <w:vAlign w:val="center"/>
          </w:tcPr>
          <w:p w14:paraId="482BD446">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资金来源及落实情况</w:t>
            </w:r>
          </w:p>
        </w:tc>
        <w:tc>
          <w:tcPr>
            <w:tcW w:w="7544" w:type="dxa"/>
            <w:vAlign w:val="center"/>
          </w:tcPr>
          <w:p w14:paraId="19FD980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color w:val="auto"/>
                <w:sz w:val="21"/>
                <w:szCs w:val="21"/>
                <w:highlight w:val="none"/>
                <w:lang w:eastAsia="zh-CN"/>
              </w:rPr>
              <w:t>上级资金</w:t>
            </w:r>
            <w:r>
              <w:rPr>
                <w:rFonts w:hint="eastAsia" w:asciiTheme="minorEastAsia" w:hAnsiTheme="minorEastAsia" w:eastAsiaTheme="minorEastAsia" w:cstheme="minorEastAsia"/>
                <w:snapToGrid w:val="0"/>
                <w:color w:val="auto"/>
                <w:kern w:val="0"/>
                <w:sz w:val="21"/>
                <w:szCs w:val="21"/>
                <w:highlight w:val="none"/>
                <w:lang w:val="en-US" w:eastAsia="zh-CN"/>
              </w:rPr>
              <w:t>，100%</w:t>
            </w:r>
          </w:p>
        </w:tc>
      </w:tr>
      <w:tr w14:paraId="00728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582" w:type="dxa"/>
            <w:vAlign w:val="center"/>
          </w:tcPr>
          <w:p w14:paraId="491A7FEC">
            <w:pPr>
              <w:pageBreakBefore w:val="0"/>
              <w:kinsoku/>
              <w:wordWrap w:val="0"/>
              <w:overflowPunct/>
              <w:topLinePunct w:val="0"/>
              <w:bidi w:val="0"/>
              <w:spacing w:before="228"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w:t>
            </w:r>
          </w:p>
        </w:tc>
        <w:tc>
          <w:tcPr>
            <w:tcW w:w="1860" w:type="dxa"/>
            <w:vAlign w:val="center"/>
          </w:tcPr>
          <w:p w14:paraId="7CF6BA8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招标人</w:t>
            </w:r>
          </w:p>
        </w:tc>
        <w:tc>
          <w:tcPr>
            <w:tcW w:w="7544" w:type="dxa"/>
            <w:vAlign w:val="center"/>
          </w:tcPr>
          <w:p w14:paraId="3CF7D4D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南雄市水利建设工程建设管理中心</w:t>
            </w:r>
          </w:p>
        </w:tc>
      </w:tr>
      <w:tr w14:paraId="2FC96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trPr>
        <w:tc>
          <w:tcPr>
            <w:tcW w:w="582" w:type="dxa"/>
            <w:vAlign w:val="center"/>
          </w:tcPr>
          <w:p w14:paraId="16D8FF60">
            <w:pPr>
              <w:pageBreakBefore w:val="0"/>
              <w:kinsoku/>
              <w:wordWrap w:val="0"/>
              <w:overflowPunct/>
              <w:topLinePunct w:val="0"/>
              <w:bidi w:val="0"/>
              <w:spacing w:before="224"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w:t>
            </w:r>
          </w:p>
        </w:tc>
        <w:tc>
          <w:tcPr>
            <w:tcW w:w="1860" w:type="dxa"/>
            <w:vAlign w:val="center"/>
          </w:tcPr>
          <w:p w14:paraId="1027C8D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招标代理机构</w:t>
            </w:r>
          </w:p>
        </w:tc>
        <w:tc>
          <w:tcPr>
            <w:tcW w:w="7544" w:type="dxa"/>
            <w:vAlign w:val="center"/>
          </w:tcPr>
          <w:p w14:paraId="7CC68DE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韶关市中利工程咨询有限公司</w:t>
            </w:r>
          </w:p>
        </w:tc>
      </w:tr>
      <w:tr w14:paraId="6DD42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5BBAB668">
            <w:pPr>
              <w:pageBreakBefore w:val="0"/>
              <w:kinsoku/>
              <w:wordWrap w:val="0"/>
              <w:overflowPunct/>
              <w:topLinePunct w:val="0"/>
              <w:bidi w:val="0"/>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w:t>
            </w:r>
          </w:p>
        </w:tc>
        <w:tc>
          <w:tcPr>
            <w:tcW w:w="1860" w:type="dxa"/>
            <w:vAlign w:val="center"/>
          </w:tcPr>
          <w:p w14:paraId="3959B52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设计单位</w:t>
            </w:r>
          </w:p>
        </w:tc>
        <w:tc>
          <w:tcPr>
            <w:tcW w:w="7544" w:type="dxa"/>
            <w:vAlign w:val="center"/>
          </w:tcPr>
          <w:p w14:paraId="2F1A1B2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中润天盛设计集团有限公司</w:t>
            </w:r>
          </w:p>
        </w:tc>
      </w:tr>
      <w:bookmarkEnd w:id="4"/>
      <w:tr w14:paraId="164A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582" w:type="dxa"/>
            <w:vAlign w:val="center"/>
          </w:tcPr>
          <w:p w14:paraId="522CB4BD">
            <w:pPr>
              <w:pageBreakBefore w:val="0"/>
              <w:kinsoku/>
              <w:wordWrap w:val="0"/>
              <w:overflowPunct/>
              <w:topLinePunct w:val="0"/>
              <w:bidi w:val="0"/>
              <w:spacing w:before="24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10</w:t>
            </w:r>
          </w:p>
        </w:tc>
        <w:tc>
          <w:tcPr>
            <w:tcW w:w="1860" w:type="dxa"/>
            <w:vAlign w:val="center"/>
          </w:tcPr>
          <w:p w14:paraId="5F32E64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造价咨询单位</w:t>
            </w:r>
          </w:p>
        </w:tc>
        <w:tc>
          <w:tcPr>
            <w:tcW w:w="7544" w:type="dxa"/>
            <w:vAlign w:val="center"/>
          </w:tcPr>
          <w:p w14:paraId="24CBDE4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☑非全过程造价咨询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p>
        </w:tc>
      </w:tr>
      <w:tr w14:paraId="3F639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582" w:type="dxa"/>
            <w:vAlign w:val="center"/>
          </w:tcPr>
          <w:p w14:paraId="4F381BD5">
            <w:pPr>
              <w:pageBreakBefore w:val="0"/>
              <w:kinsoku/>
              <w:wordWrap w:val="0"/>
              <w:overflowPunct/>
              <w:topLinePunct w:val="0"/>
              <w:bidi w:val="0"/>
              <w:spacing w:before="24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11</w:t>
            </w:r>
          </w:p>
        </w:tc>
        <w:tc>
          <w:tcPr>
            <w:tcW w:w="1860" w:type="dxa"/>
            <w:vAlign w:val="center"/>
          </w:tcPr>
          <w:p w14:paraId="2281F74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监理单位</w:t>
            </w:r>
          </w:p>
        </w:tc>
        <w:tc>
          <w:tcPr>
            <w:tcW w:w="7544" w:type="dxa"/>
            <w:vAlign w:val="center"/>
          </w:tcPr>
          <w:p w14:paraId="55306AB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□已确定监理单位</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☑未确定监理单位</w:t>
            </w:r>
          </w:p>
        </w:tc>
      </w:tr>
      <w:tr w14:paraId="2F847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0C23CBE5">
            <w:pPr>
              <w:pageBreakBefore w:val="0"/>
              <w:kinsoku/>
              <w:wordWrap w:val="0"/>
              <w:overflowPunct/>
              <w:topLinePunct w:val="0"/>
              <w:bidi w:val="0"/>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lang w:eastAsia="zh-CN"/>
              </w:rPr>
              <w:t>1</w:t>
            </w:r>
            <w:r>
              <w:rPr>
                <w:rFonts w:hint="eastAsia" w:asciiTheme="minorEastAsia" w:hAnsiTheme="minorEastAsia" w:eastAsiaTheme="minorEastAsia" w:cstheme="minorEastAsia"/>
                <w:color w:val="auto"/>
                <w:spacing w:val="-8"/>
                <w:sz w:val="21"/>
                <w:szCs w:val="21"/>
                <w:highlight w:val="none"/>
              </w:rPr>
              <w:t>2</w:t>
            </w:r>
          </w:p>
        </w:tc>
        <w:tc>
          <w:tcPr>
            <w:tcW w:w="1860" w:type="dxa"/>
            <w:vAlign w:val="center"/>
          </w:tcPr>
          <w:p w14:paraId="54254894">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建设内容和规模</w:t>
            </w:r>
          </w:p>
        </w:tc>
        <w:tc>
          <w:tcPr>
            <w:tcW w:w="7544" w:type="dxa"/>
            <w:vAlign w:val="center"/>
          </w:tcPr>
          <w:p w14:paraId="6A44A4D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□建设规模：</w:t>
            </w:r>
            <w:r>
              <w:rPr>
                <w:rFonts w:hint="eastAsia" w:asciiTheme="minorEastAsia" w:hAnsiTheme="minorEastAsia" w:eastAsiaTheme="minorEastAsia" w:cstheme="minorEastAsia"/>
                <w:snapToGrid w:val="0"/>
                <w:color w:val="auto"/>
                <w:kern w:val="0"/>
                <w:sz w:val="21"/>
                <w:szCs w:val="21"/>
                <w:highlight w:val="none"/>
                <w:lang w:val="en-US" w:eastAsia="zh-CN"/>
              </w:rPr>
              <w:t>/</w:t>
            </w:r>
          </w:p>
          <w:p w14:paraId="3E7CF5D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w:t>
            </w:r>
            <w:r>
              <w:rPr>
                <w:rFonts w:hint="eastAsia" w:ascii="宋体" w:hAnsi="宋体" w:eastAsia="宋体" w:cs="宋体"/>
                <w:color w:val="auto"/>
                <w:kern w:val="2"/>
                <w:sz w:val="21"/>
                <w:szCs w:val="21"/>
                <w:highlight w:val="none"/>
                <w:lang w:val="en-US" w:eastAsia="zh-CN" w:bidi="ar-SA"/>
              </w:rPr>
              <w:t>新建及现状广场提升约2258平方米；村道白改黑约3164平方米；整治提升巷道约2384平方米；水沟三面光提升约952平方米；外立面改造约16862平方米；新建绿美小公园约1630平方米、四小园矮墙约590米、停车位、健身器材、路灯等。</w:t>
            </w:r>
          </w:p>
        </w:tc>
      </w:tr>
      <w:tr w14:paraId="5D13F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5" w:hRule="atLeast"/>
        </w:trPr>
        <w:tc>
          <w:tcPr>
            <w:tcW w:w="582" w:type="dxa"/>
            <w:vAlign w:val="center"/>
          </w:tcPr>
          <w:p w14:paraId="2A78B69A">
            <w:pPr>
              <w:pageBreakBefore w:val="0"/>
              <w:kinsoku/>
              <w:wordWrap w:val="0"/>
              <w:overflowPunct/>
              <w:topLinePunct w:val="0"/>
              <w:bidi w:val="0"/>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13</w:t>
            </w:r>
          </w:p>
        </w:tc>
        <w:tc>
          <w:tcPr>
            <w:tcW w:w="1860" w:type="dxa"/>
            <w:vAlign w:val="center"/>
          </w:tcPr>
          <w:p w14:paraId="683DE04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项目总投资</w:t>
            </w:r>
          </w:p>
        </w:tc>
        <w:tc>
          <w:tcPr>
            <w:tcW w:w="7544" w:type="dxa"/>
            <w:vAlign w:val="center"/>
          </w:tcPr>
          <w:p w14:paraId="4F117E5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color w:val="auto"/>
                <w:sz w:val="21"/>
                <w:szCs w:val="21"/>
                <w:highlight w:val="none"/>
                <w:lang w:eastAsia="zh-CN"/>
              </w:rPr>
              <w:t>项目概算总投资</w:t>
            </w:r>
            <w:r>
              <w:rPr>
                <w:rFonts w:hint="eastAsia" w:ascii="宋体" w:hAnsi="宋体" w:eastAsia="宋体" w:cs="宋体"/>
                <w:color w:val="auto"/>
                <w:sz w:val="21"/>
                <w:szCs w:val="21"/>
                <w:highlight w:val="none"/>
                <w:lang w:val="en-US" w:eastAsia="zh-CN"/>
              </w:rPr>
              <w:t>637.64</w:t>
            </w:r>
            <w:r>
              <w:rPr>
                <w:rFonts w:hint="eastAsia" w:ascii="宋体" w:hAnsi="宋体" w:eastAsia="宋体" w:cs="宋体"/>
                <w:color w:val="auto"/>
                <w:sz w:val="21"/>
                <w:szCs w:val="21"/>
                <w:highlight w:val="none"/>
                <w:lang w:eastAsia="zh-CN"/>
              </w:rPr>
              <w:t>万元，其中建安工程费</w:t>
            </w:r>
            <w:r>
              <w:rPr>
                <w:rFonts w:hint="eastAsia" w:ascii="宋体" w:hAnsi="宋体" w:eastAsia="宋体" w:cs="宋体"/>
                <w:color w:val="auto"/>
                <w:sz w:val="21"/>
                <w:szCs w:val="21"/>
                <w:highlight w:val="none"/>
                <w:lang w:val="en-US" w:eastAsia="zh-CN"/>
              </w:rPr>
              <w:t>567.60</w:t>
            </w:r>
            <w:r>
              <w:rPr>
                <w:rFonts w:hint="eastAsia" w:ascii="宋体" w:hAnsi="宋体" w:eastAsia="宋体" w:cs="宋体"/>
                <w:color w:val="auto"/>
                <w:sz w:val="21"/>
                <w:szCs w:val="21"/>
                <w:highlight w:val="none"/>
                <w:lang w:eastAsia="zh-CN"/>
              </w:rPr>
              <w:t>万元。</w:t>
            </w:r>
          </w:p>
        </w:tc>
      </w:tr>
      <w:tr w14:paraId="36016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582" w:type="dxa"/>
            <w:vAlign w:val="center"/>
          </w:tcPr>
          <w:p w14:paraId="2E978522">
            <w:pPr>
              <w:pageBreakBefore w:val="0"/>
              <w:kinsoku/>
              <w:wordWrap w:val="0"/>
              <w:overflowPunct/>
              <w:topLinePunct w:val="0"/>
              <w:bidi w:val="0"/>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14</w:t>
            </w:r>
          </w:p>
        </w:tc>
        <w:tc>
          <w:tcPr>
            <w:tcW w:w="1860" w:type="dxa"/>
            <w:vAlign w:val="center"/>
          </w:tcPr>
          <w:p w14:paraId="505D0A73">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招标范围</w:t>
            </w:r>
          </w:p>
        </w:tc>
        <w:tc>
          <w:tcPr>
            <w:tcW w:w="7544" w:type="dxa"/>
            <w:vAlign w:val="center"/>
          </w:tcPr>
          <w:p w14:paraId="1298BEF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cs="宋体"/>
                <w:color w:val="auto"/>
                <w:sz w:val="21"/>
                <w:szCs w:val="21"/>
                <w:highlight w:val="none"/>
                <w:lang w:val="en-US" w:eastAsia="zh-CN"/>
              </w:rPr>
              <w:t>工程量清单及图纸范围内的工程施工。</w:t>
            </w:r>
          </w:p>
        </w:tc>
      </w:tr>
      <w:tr w14:paraId="0BBE4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trPr>
        <w:tc>
          <w:tcPr>
            <w:tcW w:w="582" w:type="dxa"/>
            <w:vAlign w:val="center"/>
          </w:tcPr>
          <w:p w14:paraId="6565679C">
            <w:pPr>
              <w:pageBreakBefore w:val="0"/>
              <w:kinsoku/>
              <w:wordWrap w:val="0"/>
              <w:overflowPunct/>
              <w:topLinePunct w:val="0"/>
              <w:bidi w:val="0"/>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15</w:t>
            </w:r>
          </w:p>
        </w:tc>
        <w:tc>
          <w:tcPr>
            <w:tcW w:w="1860" w:type="dxa"/>
            <w:vAlign w:val="center"/>
          </w:tcPr>
          <w:p w14:paraId="55794B4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标段划分</w:t>
            </w:r>
          </w:p>
        </w:tc>
        <w:tc>
          <w:tcPr>
            <w:tcW w:w="7544" w:type="dxa"/>
            <w:vAlign w:val="center"/>
          </w:tcPr>
          <w:p w14:paraId="36F0DCE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本招标项目不划分标段。 </w:t>
            </w:r>
          </w:p>
        </w:tc>
      </w:tr>
      <w:tr w14:paraId="35EA0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9" w:hRule="atLeast"/>
        </w:trPr>
        <w:tc>
          <w:tcPr>
            <w:tcW w:w="582" w:type="dxa"/>
            <w:vAlign w:val="center"/>
          </w:tcPr>
          <w:p w14:paraId="47D18B68">
            <w:pPr>
              <w:pageBreakBefore w:val="0"/>
              <w:kinsoku/>
              <w:wordWrap w:val="0"/>
              <w:overflowPunct/>
              <w:topLinePunct w:val="0"/>
              <w:bidi w:val="0"/>
              <w:spacing w:before="57" w:line="195"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8"/>
                <w:sz w:val="21"/>
                <w:szCs w:val="21"/>
                <w:highlight w:val="none"/>
              </w:rPr>
              <w:t>16</w:t>
            </w:r>
          </w:p>
        </w:tc>
        <w:tc>
          <w:tcPr>
            <w:tcW w:w="1860" w:type="dxa"/>
            <w:vAlign w:val="center"/>
          </w:tcPr>
          <w:p w14:paraId="479DA87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工期</w:t>
            </w:r>
          </w:p>
        </w:tc>
        <w:tc>
          <w:tcPr>
            <w:tcW w:w="7544" w:type="dxa"/>
            <w:vAlign w:val="center"/>
          </w:tcPr>
          <w:p w14:paraId="25225ED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u w:val="none"/>
                <w:lang w:eastAsia="zh-CN"/>
              </w:rPr>
              <w:t>本招标项目招标工期为</w:t>
            </w:r>
            <w:r>
              <w:rPr>
                <w:rFonts w:hint="eastAsia" w:asciiTheme="minorEastAsia" w:hAnsiTheme="minorEastAsia" w:eastAsiaTheme="minorEastAsia" w:cstheme="minorEastAsia"/>
                <w:snapToGrid w:val="0"/>
                <w:color w:val="auto"/>
                <w:kern w:val="0"/>
                <w:sz w:val="21"/>
                <w:szCs w:val="21"/>
                <w:highlight w:val="none"/>
                <w:u w:val="none"/>
                <w:lang w:val="en-US" w:eastAsia="zh-CN"/>
              </w:rPr>
              <w:t>150个日历天</w:t>
            </w:r>
            <w:r>
              <w:rPr>
                <w:rFonts w:hint="eastAsia" w:asciiTheme="minorEastAsia" w:hAnsiTheme="minorEastAsia" w:eastAsiaTheme="minorEastAsia" w:cstheme="minorEastAsia"/>
                <w:snapToGrid w:val="0"/>
                <w:color w:val="auto"/>
                <w:kern w:val="0"/>
                <w:sz w:val="21"/>
                <w:szCs w:val="21"/>
                <w:highlight w:val="none"/>
                <w:u w:val="none"/>
                <w:lang w:eastAsia="zh-CN"/>
              </w:rPr>
              <w:t>。</w:t>
            </w:r>
          </w:p>
        </w:tc>
      </w:tr>
      <w:tr w14:paraId="717B5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8" w:hRule="atLeast"/>
        </w:trPr>
        <w:tc>
          <w:tcPr>
            <w:tcW w:w="582" w:type="dxa"/>
            <w:vAlign w:val="center"/>
          </w:tcPr>
          <w:p w14:paraId="05CA0D43">
            <w:pPr>
              <w:pageBreakBefore w:val="0"/>
              <w:kinsoku/>
              <w:wordWrap w:val="0"/>
              <w:overflowPunct/>
              <w:topLinePunct w:val="0"/>
              <w:bidi w:val="0"/>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17</w:t>
            </w:r>
          </w:p>
        </w:tc>
        <w:tc>
          <w:tcPr>
            <w:tcW w:w="1860" w:type="dxa"/>
            <w:vAlign w:val="center"/>
          </w:tcPr>
          <w:p w14:paraId="05DF5E6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质量标准</w:t>
            </w:r>
          </w:p>
        </w:tc>
        <w:tc>
          <w:tcPr>
            <w:tcW w:w="7544" w:type="dxa"/>
            <w:vAlign w:val="center"/>
          </w:tcPr>
          <w:p w14:paraId="2E385EE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u w:val="none"/>
                <w:lang w:eastAsia="zh-CN"/>
              </w:rPr>
              <w:t>合格</w:t>
            </w:r>
          </w:p>
        </w:tc>
      </w:tr>
      <w:tr w14:paraId="61DEE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trPr>
        <w:tc>
          <w:tcPr>
            <w:tcW w:w="582" w:type="dxa"/>
            <w:vAlign w:val="center"/>
          </w:tcPr>
          <w:p w14:paraId="3241D3ED">
            <w:pPr>
              <w:pageBreakBefore w:val="0"/>
              <w:kinsoku/>
              <w:wordWrap w:val="0"/>
              <w:overflowPunct/>
              <w:topLinePunct w:val="0"/>
              <w:bidi w:val="0"/>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18</w:t>
            </w:r>
          </w:p>
        </w:tc>
        <w:tc>
          <w:tcPr>
            <w:tcW w:w="1860" w:type="dxa"/>
            <w:vAlign w:val="center"/>
          </w:tcPr>
          <w:p w14:paraId="48092A7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合同类型</w:t>
            </w:r>
          </w:p>
        </w:tc>
        <w:tc>
          <w:tcPr>
            <w:tcW w:w="7544" w:type="dxa"/>
            <w:vAlign w:val="center"/>
          </w:tcPr>
          <w:p w14:paraId="5B69C0B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单价合同</w:t>
            </w:r>
          </w:p>
        </w:tc>
      </w:tr>
      <w:tr w14:paraId="339DF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6F522EA8">
            <w:pPr>
              <w:pageBreakBefore w:val="0"/>
              <w:kinsoku/>
              <w:wordWrap w:val="0"/>
              <w:overflowPunct/>
              <w:topLinePunct w:val="0"/>
              <w:bidi w:val="0"/>
              <w:spacing w:before="19"/>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19</w:t>
            </w:r>
          </w:p>
        </w:tc>
        <w:tc>
          <w:tcPr>
            <w:tcW w:w="1860" w:type="dxa"/>
            <w:vAlign w:val="center"/>
          </w:tcPr>
          <w:p w14:paraId="002FE62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房屋建筑工程绿色建筑标准</w:t>
            </w:r>
          </w:p>
        </w:tc>
        <w:tc>
          <w:tcPr>
            <w:tcW w:w="7544" w:type="dxa"/>
            <w:vAlign w:val="center"/>
          </w:tcPr>
          <w:p w14:paraId="4A116F9B">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w:t>
            </w:r>
            <w:r>
              <w:rPr>
                <w:rFonts w:hint="eastAsia" w:asciiTheme="minorEastAsia" w:hAnsiTheme="minorEastAsia" w:eastAsiaTheme="minorEastAsia" w:cstheme="minorEastAsia"/>
                <w:snapToGrid w:val="0"/>
                <w:color w:val="auto"/>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kern w:val="0"/>
                <w:sz w:val="21"/>
                <w:szCs w:val="21"/>
                <w:highlight w:val="none"/>
                <w:lang w:eastAsia="zh-CN"/>
              </w:rPr>
              <w:t>纳入绿色建设实施范围。</w:t>
            </w:r>
          </w:p>
        </w:tc>
      </w:tr>
      <w:tr w14:paraId="621E0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vAlign w:val="center"/>
          </w:tcPr>
          <w:p w14:paraId="50C167CF">
            <w:pPr>
              <w:pageBreakBefore w:val="0"/>
              <w:kinsoku/>
              <w:wordWrap w:val="0"/>
              <w:overflowPunct/>
              <w:topLinePunct w:val="0"/>
              <w:bidi w:val="0"/>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19.</w:t>
            </w:r>
            <w:r>
              <w:rPr>
                <w:rFonts w:hint="eastAsia" w:asciiTheme="minorEastAsia" w:hAnsiTheme="minorEastAsia" w:eastAsiaTheme="minorEastAsia" w:cstheme="minorEastAsia"/>
                <w:color w:val="auto"/>
                <w:spacing w:val="-26"/>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1</w:t>
            </w:r>
          </w:p>
        </w:tc>
        <w:tc>
          <w:tcPr>
            <w:tcW w:w="1860" w:type="dxa"/>
            <w:vAlign w:val="center"/>
          </w:tcPr>
          <w:p w14:paraId="32286FA7">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装配式建筑标准</w:t>
            </w:r>
          </w:p>
        </w:tc>
        <w:tc>
          <w:tcPr>
            <w:tcW w:w="7544" w:type="dxa"/>
            <w:vAlign w:val="center"/>
          </w:tcPr>
          <w:p w14:paraId="3644E47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w:t>
            </w:r>
            <w:r>
              <w:rPr>
                <w:rFonts w:hint="eastAsia" w:asciiTheme="minorEastAsia" w:hAnsiTheme="minorEastAsia" w:eastAsiaTheme="minorEastAsia" w:cstheme="minorEastAsia"/>
                <w:snapToGrid w:val="0"/>
                <w:color w:val="auto"/>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kern w:val="0"/>
                <w:sz w:val="21"/>
                <w:szCs w:val="21"/>
                <w:highlight w:val="none"/>
                <w:lang w:eastAsia="zh-CN"/>
              </w:rPr>
              <w:t>纳入装配式建造建设实施范围。</w:t>
            </w:r>
          </w:p>
        </w:tc>
      </w:tr>
      <w:tr w14:paraId="29DBE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B7DE3D3">
            <w:pPr>
              <w:pageBreakBefore w:val="0"/>
              <w:kinsoku/>
              <w:wordWrap w:val="0"/>
              <w:overflowPunct/>
              <w:topLinePunct w:val="0"/>
              <w:bidi w:val="0"/>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20</w:t>
            </w:r>
          </w:p>
        </w:tc>
        <w:tc>
          <w:tcPr>
            <w:tcW w:w="1860" w:type="dxa"/>
            <w:vAlign w:val="center"/>
          </w:tcPr>
          <w:p w14:paraId="4A62BB9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w:t>
            </w:r>
          </w:p>
        </w:tc>
        <w:tc>
          <w:tcPr>
            <w:tcW w:w="7544" w:type="dxa"/>
            <w:vAlign w:val="center"/>
          </w:tcPr>
          <w:p w14:paraId="6082D71F">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 ☑无     □有：</w:t>
            </w:r>
          </w:p>
        </w:tc>
      </w:tr>
      <w:tr w14:paraId="547D2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5" w:hRule="atLeast"/>
        </w:trPr>
        <w:tc>
          <w:tcPr>
            <w:tcW w:w="582" w:type="dxa"/>
            <w:vAlign w:val="center"/>
          </w:tcPr>
          <w:p w14:paraId="0E5FF6E1">
            <w:pPr>
              <w:pageBreakBefore w:val="0"/>
              <w:kinsoku/>
              <w:wordWrap w:val="0"/>
              <w:overflowPunct/>
              <w:topLinePunct w:val="0"/>
              <w:bidi w:val="0"/>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21</w:t>
            </w:r>
          </w:p>
        </w:tc>
        <w:tc>
          <w:tcPr>
            <w:tcW w:w="1860" w:type="dxa"/>
            <w:vAlign w:val="center"/>
          </w:tcPr>
          <w:p w14:paraId="17CDAEE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承包人提供材料和工程设备</w:t>
            </w:r>
          </w:p>
        </w:tc>
        <w:tc>
          <w:tcPr>
            <w:tcW w:w="7544" w:type="dxa"/>
            <w:vAlign w:val="top"/>
          </w:tcPr>
          <w:p w14:paraId="753275F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2C8F879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□其它说明：鼓励承包人积极采购环保产品进行施工。</w:t>
            </w:r>
          </w:p>
        </w:tc>
      </w:tr>
      <w:tr w14:paraId="75C89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0" w:hRule="atLeast"/>
        </w:trPr>
        <w:tc>
          <w:tcPr>
            <w:tcW w:w="582" w:type="dxa"/>
            <w:vAlign w:val="center"/>
          </w:tcPr>
          <w:p w14:paraId="3B9CE185">
            <w:pPr>
              <w:pageBreakBefore w:val="0"/>
              <w:kinsoku/>
              <w:wordWrap w:val="0"/>
              <w:overflowPunct/>
              <w:topLinePunct w:val="0"/>
              <w:bidi w:val="0"/>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22</w:t>
            </w:r>
          </w:p>
        </w:tc>
        <w:tc>
          <w:tcPr>
            <w:tcW w:w="1860" w:type="dxa"/>
            <w:vAlign w:val="center"/>
          </w:tcPr>
          <w:p w14:paraId="11B3302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最高投标限价</w:t>
            </w:r>
          </w:p>
        </w:tc>
        <w:tc>
          <w:tcPr>
            <w:tcW w:w="7544" w:type="dxa"/>
            <w:vAlign w:val="center"/>
          </w:tcPr>
          <w:p w14:paraId="59270BE1">
            <w:pPr>
              <w:pageBreakBefore w:val="0"/>
              <w:widowControl w:val="0"/>
              <w:kinsoku/>
              <w:wordWrap w:val="0"/>
              <w:overflowPunct/>
              <w:topLinePunct w:val="0"/>
              <w:autoSpaceDE/>
              <w:autoSpaceDN/>
              <w:bidi w:val="0"/>
              <w:adjustRightInd w:val="0"/>
              <w:snapToGrid w:val="0"/>
              <w:spacing w:line="400" w:lineRule="exact"/>
              <w:ind w:left="0" w:leftChars="0" w:firstLine="401" w:firstLineChars="1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本招标项目最高投标限价、施工图纸、工程量清单在开标前15天另行发布于全国公共资源交易平台（广东省·韶关市）（https://ygp.gdzwfw.gov.cn/ggzy-portal/#/440200/index）、广东省招标投标监管网（http://zbtb.gd.gov.cn）网站。</w:t>
            </w:r>
          </w:p>
        </w:tc>
      </w:tr>
      <w:tr w14:paraId="5A7F6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2" w:hRule="atLeast"/>
        </w:trPr>
        <w:tc>
          <w:tcPr>
            <w:tcW w:w="582" w:type="dxa"/>
            <w:vAlign w:val="center"/>
          </w:tcPr>
          <w:p w14:paraId="0969254D">
            <w:pPr>
              <w:pageBreakBefore w:val="0"/>
              <w:kinsoku/>
              <w:wordWrap w:val="0"/>
              <w:overflowPunct/>
              <w:topLinePunct w:val="0"/>
              <w:bidi w:val="0"/>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23</w:t>
            </w:r>
          </w:p>
        </w:tc>
        <w:tc>
          <w:tcPr>
            <w:tcW w:w="1860" w:type="dxa"/>
            <w:vAlign w:val="center"/>
          </w:tcPr>
          <w:p w14:paraId="03C203F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投标人的投标报价</w:t>
            </w:r>
          </w:p>
        </w:tc>
        <w:tc>
          <w:tcPr>
            <w:tcW w:w="7544" w:type="dxa"/>
            <w:vAlign w:val="center"/>
          </w:tcPr>
          <w:p w14:paraId="69AB178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1E008D6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投标报价方式： ☑工程量清单报</w:t>
            </w:r>
            <w:r>
              <w:rPr>
                <w:rFonts w:hint="eastAsia" w:asciiTheme="minorEastAsia" w:hAnsiTheme="minorEastAsia" w:eastAsiaTheme="minorEastAsia" w:cstheme="minorEastAsia"/>
                <w:snapToGrid w:val="0"/>
                <w:color w:val="auto"/>
                <w:kern w:val="0"/>
                <w:sz w:val="21"/>
                <w:szCs w:val="21"/>
                <w:highlight w:val="none"/>
                <w:lang w:val="en-US" w:eastAsia="zh-CN"/>
              </w:rPr>
              <w:t>价</w:t>
            </w:r>
          </w:p>
        </w:tc>
      </w:tr>
      <w:tr w14:paraId="3B80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6A229068">
            <w:pPr>
              <w:pageBreakBefore w:val="0"/>
              <w:kinsoku/>
              <w:wordWrap w:val="0"/>
              <w:overflowPunct/>
              <w:topLinePunct w:val="0"/>
              <w:bidi w:val="0"/>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24</w:t>
            </w:r>
          </w:p>
        </w:tc>
        <w:tc>
          <w:tcPr>
            <w:tcW w:w="1860" w:type="dxa"/>
            <w:vAlign w:val="center"/>
          </w:tcPr>
          <w:p w14:paraId="666E400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投标报价风险</w:t>
            </w:r>
          </w:p>
        </w:tc>
        <w:tc>
          <w:tcPr>
            <w:tcW w:w="7544" w:type="dxa"/>
            <w:vAlign w:val="center"/>
          </w:tcPr>
          <w:p w14:paraId="71B243A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☑投标人依据招标文件约定自行考虑风险因素，一旦中标，投标报价（合同价）除合同另有约定外将不因市场变化而调整。</w:t>
            </w:r>
          </w:p>
          <w:p w14:paraId="2AA2300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☑投标报价中应包括工程量清单项目所发生的人工费、材料费、机具费、管理费、利润、措施项目费、其它项目费、税金、暂列金额、暂估价以及所有风险、责任等各项费用。</w:t>
            </w:r>
          </w:p>
          <w:p w14:paraId="603FF83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☑人工费、材料费、机具费、管理费、利润、措施项目费（不含</w:t>
            </w:r>
            <w:r>
              <w:rPr>
                <w:rFonts w:hint="eastAsia" w:asciiTheme="minorEastAsia" w:hAnsiTheme="minorEastAsia" w:eastAsiaTheme="minorEastAsia" w:cstheme="minorEastAsia"/>
                <w:snapToGrid w:val="0"/>
                <w:color w:val="auto"/>
                <w:kern w:val="0"/>
                <w:sz w:val="21"/>
                <w:szCs w:val="21"/>
                <w:highlight w:val="none"/>
                <w:lang w:val="en-US" w:eastAsia="zh-CN"/>
              </w:rPr>
              <w:t>安全生产措施费</w:t>
            </w:r>
            <w:r>
              <w:rPr>
                <w:rFonts w:hint="eastAsia" w:asciiTheme="minorEastAsia" w:hAnsiTheme="minorEastAsia" w:eastAsiaTheme="minorEastAsia" w:cstheme="minorEastAsia"/>
                <w:snapToGrid w:val="0"/>
                <w:color w:val="auto"/>
                <w:kern w:val="0"/>
                <w:sz w:val="21"/>
                <w:szCs w:val="21"/>
                <w:highlight w:val="none"/>
                <w:lang w:eastAsia="zh-CN"/>
              </w:rPr>
              <w:t>）投标人漏报或不报，招标人视为有关费用已包括在工程量清单项目的其它单价及合价中不予另外增加。</w:t>
            </w:r>
          </w:p>
          <w:p w14:paraId="346A971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lang w:eastAsia="zh-CN"/>
              </w:rPr>
              <w:t>措施项目中的安全生产措施应单独列项，费用不可竞争，且应符合《企业安全生产费用提取和使用管理办法》（财资〔2022〕136号）及我省有关文件规定。</w:t>
            </w:r>
          </w:p>
          <w:p w14:paraId="4E5433A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2F622B4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☑投标人应按《建设工程工程量清单计价标准》（GB/T 50500-2024）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4894F32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5008AF0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7912A53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1F856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669928C5">
            <w:pPr>
              <w:pageBreakBefore w:val="0"/>
              <w:kinsoku/>
              <w:wordWrap w:val="0"/>
              <w:overflowPunct/>
              <w:topLinePunct w:val="0"/>
              <w:bidi w:val="0"/>
              <w:spacing w:before="284"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25</w:t>
            </w:r>
          </w:p>
        </w:tc>
        <w:tc>
          <w:tcPr>
            <w:tcW w:w="1860" w:type="dxa"/>
            <w:vAlign w:val="center"/>
          </w:tcPr>
          <w:p w14:paraId="3957B4E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投标费用</w:t>
            </w:r>
          </w:p>
        </w:tc>
        <w:tc>
          <w:tcPr>
            <w:tcW w:w="7544" w:type="dxa"/>
            <w:vAlign w:val="center"/>
          </w:tcPr>
          <w:p w14:paraId="5143FA7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投标人自行承担编制与递交投标文件的一切费用。</w:t>
            </w:r>
          </w:p>
        </w:tc>
      </w:tr>
      <w:tr w14:paraId="5BEE8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0DE00A6B">
            <w:pPr>
              <w:pageBreakBefore w:val="0"/>
              <w:kinsoku/>
              <w:wordWrap w:val="0"/>
              <w:overflowPunct/>
              <w:topLinePunct w:val="0"/>
              <w:bidi w:val="0"/>
              <w:spacing w:before="284" w:line="188" w:lineRule="auto"/>
              <w:jc w:val="center"/>
              <w:rPr>
                <w:rFonts w:hint="eastAsia" w:asciiTheme="minorEastAsia" w:hAnsiTheme="minorEastAsia" w:eastAsiaTheme="minorEastAsia" w:cstheme="minorEastAsia"/>
                <w:color w:val="auto"/>
                <w:spacing w:val="-3"/>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26</w:t>
            </w:r>
          </w:p>
        </w:tc>
        <w:tc>
          <w:tcPr>
            <w:tcW w:w="1860" w:type="dxa"/>
            <w:vAlign w:val="center"/>
          </w:tcPr>
          <w:p w14:paraId="63831FA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成本警示价</w:t>
            </w:r>
          </w:p>
        </w:tc>
        <w:tc>
          <w:tcPr>
            <w:tcW w:w="7544" w:type="dxa"/>
            <w:vAlign w:val="center"/>
          </w:tcPr>
          <w:p w14:paraId="2BD7B91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投标报价要求：</w:t>
            </w:r>
          </w:p>
          <w:p w14:paraId="2931CC3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⑴投标人的投标报价不得高于招标人设置的最高投标限价，否则作无效投标处理；</w:t>
            </w:r>
          </w:p>
          <w:p w14:paraId="36FE8D2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⑵投标人的投标报价如低于招标项目的成本警示价的，需提供成本分析资料等报价依据。（成本警示价＝最高投标限价×85%）</w:t>
            </w:r>
          </w:p>
        </w:tc>
      </w:tr>
      <w:tr w14:paraId="00342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trPr>
        <w:tc>
          <w:tcPr>
            <w:tcW w:w="582" w:type="dxa"/>
            <w:vAlign w:val="center"/>
          </w:tcPr>
          <w:p w14:paraId="4FF2AF6F">
            <w:pPr>
              <w:pageBreakBefore w:val="0"/>
              <w:kinsoku/>
              <w:wordWrap w:val="0"/>
              <w:overflowPunct/>
              <w:topLinePunct w:val="0"/>
              <w:bidi w:val="0"/>
              <w:spacing w:before="69" w:line="188"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rPr>
              <w:t>2</w:t>
            </w:r>
            <w:r>
              <w:rPr>
                <w:rFonts w:hint="eastAsia" w:asciiTheme="minorEastAsia" w:hAnsiTheme="minorEastAsia" w:eastAsiaTheme="minorEastAsia" w:cstheme="minorEastAsia"/>
                <w:color w:val="auto"/>
                <w:spacing w:val="-3"/>
                <w:sz w:val="21"/>
                <w:szCs w:val="21"/>
                <w:highlight w:val="none"/>
                <w:lang w:val="en-US" w:eastAsia="zh-CN"/>
              </w:rPr>
              <w:t>7</w:t>
            </w:r>
          </w:p>
        </w:tc>
        <w:tc>
          <w:tcPr>
            <w:tcW w:w="1860" w:type="dxa"/>
            <w:vAlign w:val="center"/>
          </w:tcPr>
          <w:p w14:paraId="1A89851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投标人资格要求</w:t>
            </w:r>
          </w:p>
        </w:tc>
        <w:tc>
          <w:tcPr>
            <w:tcW w:w="7544" w:type="dxa"/>
            <w:vAlign w:val="center"/>
          </w:tcPr>
          <w:p w14:paraId="5CBDC5E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1.本次招标</w:t>
            </w:r>
            <w:r>
              <w:rPr>
                <w:rFonts w:hint="eastAsia" w:asciiTheme="minorEastAsia" w:hAnsiTheme="minorEastAsia" w:eastAsiaTheme="minorEastAsia" w:cstheme="minorEastAsia"/>
                <w:snapToGrid w:val="0"/>
                <w:color w:val="auto"/>
                <w:kern w:val="0"/>
                <w:sz w:val="21"/>
                <w:szCs w:val="21"/>
                <w:highlight w:val="none"/>
                <w:u w:val="single"/>
                <w:lang w:eastAsia="zh-CN"/>
              </w:rPr>
              <w:t>不接受</w:t>
            </w:r>
            <w:r>
              <w:rPr>
                <w:rFonts w:hint="eastAsia" w:asciiTheme="minorEastAsia" w:hAnsiTheme="minorEastAsia" w:eastAsiaTheme="minorEastAsia" w:cstheme="minorEastAsia"/>
                <w:snapToGrid w:val="0"/>
                <w:color w:val="auto"/>
                <w:kern w:val="0"/>
                <w:sz w:val="21"/>
                <w:szCs w:val="21"/>
                <w:highlight w:val="none"/>
                <w:lang w:eastAsia="zh-CN"/>
              </w:rPr>
              <w:t>联合体投标。</w:t>
            </w:r>
          </w:p>
          <w:p w14:paraId="5D46EB2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2．资质要求</w:t>
            </w:r>
          </w:p>
          <w:p w14:paraId="7B2CD40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2.1 投标人须具备独立法人资格，按国家法律经营。</w:t>
            </w:r>
          </w:p>
          <w:p w14:paraId="4225BE7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2.2 投标人须持有建设行政主管部门颁发的企业资质证书及安全生产许可证。</w:t>
            </w:r>
          </w:p>
          <w:p w14:paraId="2722D14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2.3 投标人须具备以下资质：</w:t>
            </w:r>
          </w:p>
          <w:p w14:paraId="07C955E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b/>
                <w:bCs/>
                <w:snapToGrid w:val="0"/>
                <w:color w:val="auto"/>
                <w:kern w:val="0"/>
                <w:sz w:val="21"/>
                <w:szCs w:val="21"/>
                <w:highlight w:val="none"/>
                <w:u w:val="none"/>
                <w:lang w:eastAsia="zh-CN"/>
              </w:rPr>
            </w:pPr>
            <w:r>
              <w:rPr>
                <w:rFonts w:hint="eastAsia" w:asciiTheme="minorEastAsia" w:hAnsiTheme="minorEastAsia" w:eastAsiaTheme="minorEastAsia" w:cstheme="minorEastAsia"/>
                <w:b w:val="0"/>
                <w:bCs w:val="0"/>
                <w:snapToGrid w:val="0"/>
                <w:color w:val="auto"/>
                <w:kern w:val="0"/>
                <w:sz w:val="21"/>
                <w:szCs w:val="21"/>
                <w:highlight w:val="none"/>
                <w:u w:val="none"/>
                <w:lang w:eastAsia="zh-CN"/>
              </w:rPr>
              <w:t>具有建设行政主管部门颁发的市政公用工程施工总承包三级以上（含三级）资质。</w:t>
            </w:r>
          </w:p>
          <w:p w14:paraId="63F500ED">
            <w:pPr>
              <w:pageBreakBefore w:val="0"/>
              <w:widowControl w:val="0"/>
              <w:kinsoku/>
              <w:wordWrap w:val="0"/>
              <w:overflowPunct/>
              <w:topLinePunct w:val="0"/>
              <w:autoSpaceDE/>
              <w:autoSpaceDN/>
              <w:bidi w:val="0"/>
              <w:adjustRightInd w:val="0"/>
              <w:snapToGrid w:val="0"/>
              <w:spacing w:line="400" w:lineRule="exact"/>
              <w:ind w:left="0" w:leftChars="0" w:right="5" w:righ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2.4 </w:t>
            </w:r>
            <w:r>
              <w:rPr>
                <w:rFonts w:hint="eastAsia" w:asciiTheme="minorEastAsia" w:hAnsiTheme="minorEastAsia" w:eastAsiaTheme="minorEastAsia" w:cstheme="minorEastAsia"/>
                <w:snapToGrid w:val="0"/>
                <w:color w:val="auto"/>
                <w:kern w:val="0"/>
                <w:sz w:val="21"/>
                <w:szCs w:val="21"/>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20BEE5B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3．相关人员要求</w:t>
            </w:r>
          </w:p>
          <w:p w14:paraId="581B8B7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3.1 </w:t>
            </w:r>
            <w:r>
              <w:rPr>
                <w:rFonts w:hint="eastAsia" w:asciiTheme="minorEastAsia" w:hAnsiTheme="minorEastAsia" w:eastAsiaTheme="minorEastAsia" w:cstheme="minorEastAsia"/>
                <w:snapToGrid w:val="0"/>
                <w:color w:val="auto"/>
                <w:kern w:val="0"/>
                <w:sz w:val="21"/>
                <w:szCs w:val="21"/>
                <w:highlight w:val="none"/>
                <w:lang w:val="en-US" w:eastAsia="zh-CN"/>
              </w:rPr>
              <w:t>拟派项目经理为</w:t>
            </w:r>
            <w:r>
              <w:rPr>
                <w:rFonts w:hint="eastAsia" w:asciiTheme="minorEastAsia" w:hAnsiTheme="minorEastAsia" w:eastAsiaTheme="minorEastAsia" w:cstheme="minorEastAsia"/>
                <w:snapToGrid w:val="0"/>
                <w:color w:val="auto"/>
                <w:kern w:val="0"/>
                <w:sz w:val="21"/>
                <w:szCs w:val="21"/>
                <w:highlight w:val="none"/>
                <w:u w:val="single"/>
                <w:lang w:val="en-US" w:eastAsia="zh-CN"/>
              </w:rPr>
              <w:t>市政公用工程</w:t>
            </w:r>
            <w:r>
              <w:rPr>
                <w:rFonts w:hint="eastAsia" w:asciiTheme="minorEastAsia" w:hAnsiTheme="minorEastAsia" w:eastAsiaTheme="minorEastAsia" w:cstheme="minorEastAsia"/>
                <w:b w:val="0"/>
                <w:bCs w:val="0"/>
                <w:snapToGrid w:val="0"/>
                <w:color w:val="auto"/>
                <w:kern w:val="0"/>
                <w:sz w:val="21"/>
                <w:szCs w:val="21"/>
                <w:highlight w:val="none"/>
                <w:u w:val="none"/>
                <w:lang w:val="en-US" w:eastAsia="zh-CN"/>
              </w:rPr>
              <w:t>专业一级或二级注册建造师，应持有住建部门印发的在使用有效期内的有效电子注册证书（根据广东省住房和城乡建设厅（粤建市函〔2023〕469号）文件精神，二级注册建造师可随注册企业在全国范围内执业），同时须具备有效安全生产考核合格证明（B证，安全生产考核合格证书或“广东省建筑施工企业管理人员安全生产考核信息系统”考核合格信息打印页），且未担任其他在施（包括已中标未开工、已建成未竣工）建设工程项目的项目经理。</w:t>
            </w:r>
          </w:p>
          <w:p w14:paraId="67FBF7E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3.2 拟派项目技术负责人须具备</w:t>
            </w:r>
            <w:r>
              <w:rPr>
                <w:rFonts w:hint="eastAsia" w:asciiTheme="minorEastAsia" w:hAnsiTheme="minorEastAsia" w:eastAsiaTheme="minorEastAsia" w:cstheme="minorEastAsia"/>
                <w:snapToGrid w:val="0"/>
                <w:color w:val="auto"/>
                <w:kern w:val="0"/>
                <w:sz w:val="21"/>
                <w:szCs w:val="21"/>
                <w:highlight w:val="none"/>
                <w:u w:val="single"/>
                <w:lang w:eastAsia="zh-CN"/>
              </w:rPr>
              <w:t>市政类</w:t>
            </w:r>
            <w:r>
              <w:rPr>
                <w:rFonts w:hint="eastAsia" w:asciiTheme="minorEastAsia" w:hAnsiTheme="minorEastAsia" w:eastAsiaTheme="minorEastAsia" w:cstheme="minorEastAsia"/>
                <w:snapToGrid w:val="0"/>
                <w:color w:val="auto"/>
                <w:kern w:val="0"/>
                <w:sz w:val="21"/>
                <w:szCs w:val="21"/>
                <w:highlight w:val="none"/>
                <w:lang w:eastAsia="zh-CN"/>
              </w:rPr>
              <w:t>相关专业中级或以上技术职称。</w:t>
            </w:r>
          </w:p>
          <w:p w14:paraId="7E69509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3.3 投标人拟派专职安全生产管理人员须具备有效安全生产考核合格证明（C证，安全生产考核合格证书或“广东省建筑施工企业管理人员安全生产考核系统”考核合格信息打印页），且不少于</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kern w:val="0"/>
                <w:sz w:val="21"/>
                <w:szCs w:val="21"/>
                <w:highlight w:val="none"/>
                <w:u w:val="single"/>
                <w:lang w:val="en-US" w:eastAsia="zh-CN"/>
              </w:rPr>
              <w:t>1</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人。</w:t>
            </w:r>
          </w:p>
          <w:p w14:paraId="72753C4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3.4 投标人与其拟派往本项目管理机构的所有人员之间必须具备合法、唯一的劳动聘用关系。拟派人员中具备注册执业资格的，其注册单位须与投标人保持一致（提供社保缴纳证明或劳动合同）。</w:t>
            </w:r>
          </w:p>
          <w:p w14:paraId="2C30D11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 ．禁止投标条款：</w:t>
            </w:r>
          </w:p>
          <w:p w14:paraId="368F0E6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4.1 投标人不得存在下列情形之一：</w:t>
            </w:r>
          </w:p>
          <w:p w14:paraId="3C8825A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（1）为招标人不具有独立法人资格的附属机构（单位）；</w:t>
            </w:r>
          </w:p>
          <w:p w14:paraId="274A9A5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（2）为本招标项目前期准备提供设计或咨询服务的；</w:t>
            </w:r>
          </w:p>
          <w:p w14:paraId="68E4AAB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（3）与本招标项目的其他投标人为同一个单位负责人；</w:t>
            </w:r>
          </w:p>
          <w:p w14:paraId="5C1887A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（4）与本招标项目的其他投标人存在控股、管理关系；</w:t>
            </w:r>
          </w:p>
          <w:p w14:paraId="1096457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（5）为本招标项目的监理人；</w:t>
            </w:r>
          </w:p>
          <w:p w14:paraId="60D4CCE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（6）为本招标项目的代建人；</w:t>
            </w:r>
          </w:p>
          <w:p w14:paraId="75D7D7B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（7）为本招标项目的招标代理机构；</w:t>
            </w:r>
          </w:p>
          <w:p w14:paraId="50E8043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（8）与本招标项目的监理人或代建人或招标代理机构同为一个法定代表人；</w:t>
            </w:r>
          </w:p>
          <w:p w14:paraId="31BF760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（9）与本招标项目的监理人或代建人或招标代理机构存在控股或参股关系；</w:t>
            </w:r>
          </w:p>
          <w:p w14:paraId="64622BD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（10）与本招标项目的监理人或代建人或招标代理机构存在相互任职或工作关系；</w:t>
            </w:r>
          </w:p>
          <w:p w14:paraId="0F57331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（11）被依法暂停或者取消投标资格；</w:t>
            </w:r>
          </w:p>
          <w:p w14:paraId="0E5D6D2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（12）被责令停产停业、暂扣或者吊销许可证、暂扣或者吊销执照；</w:t>
            </w:r>
          </w:p>
          <w:p w14:paraId="7E53242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（13）进入清算程序，或被宣告破产，或其他丧失履约能力的情形；</w:t>
            </w:r>
          </w:p>
          <w:p w14:paraId="25F7FF0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（14）在最近三年内发生重大工程质量或安全问题（以相关行业 主管部门的行政处罚决定或司法机关出具的有关法律文书为准）；</w:t>
            </w:r>
          </w:p>
          <w:p w14:paraId="790C29E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（15）被“信用中国 ”网站（https://www.creditchina.gov.cn）发布的《法人和非法人组织公共信用信息报告》列为严重失信主体名单的。</w:t>
            </w:r>
          </w:p>
          <w:p w14:paraId="2CE6697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4.2  招标人拒绝以下名单中的单位参加本次投标：</w:t>
            </w:r>
          </w:p>
          <w:tbl>
            <w:tblPr>
              <w:tblStyle w:val="14"/>
              <w:tblW w:w="72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3513"/>
              <w:gridCol w:w="3036"/>
            </w:tblGrid>
            <w:tr w14:paraId="3AAF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90" w:type="dxa"/>
                  <w:vAlign w:val="center"/>
                </w:tcPr>
                <w:p w14:paraId="67EB51C9">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3513" w:type="dxa"/>
                  <w:vAlign w:val="center"/>
                </w:tcPr>
                <w:p w14:paraId="6F0BFDA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3036" w:type="dxa"/>
                  <w:vAlign w:val="center"/>
                </w:tcPr>
                <w:p w14:paraId="2D127BF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3D5E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690" w:type="dxa"/>
                  <w:vAlign w:val="center"/>
                </w:tcPr>
                <w:p w14:paraId="73002015">
                  <w:pPr>
                    <w:pStyle w:val="22"/>
                    <w:pageBreakBefore w:val="0"/>
                    <w:kinsoku/>
                    <w:wordWrap w:val="0"/>
                    <w:overflowPunct/>
                    <w:topLinePunct w:val="0"/>
                    <w:bidi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1</w:t>
                  </w:r>
                </w:p>
              </w:tc>
              <w:tc>
                <w:tcPr>
                  <w:tcW w:w="3513" w:type="dxa"/>
                  <w:vAlign w:val="center"/>
                </w:tcPr>
                <w:p w14:paraId="1D594C04">
                  <w:pPr>
                    <w:pStyle w:val="22"/>
                    <w:pageBreakBefore w:val="0"/>
                    <w:kinsoku/>
                    <w:wordWrap w:val="0"/>
                    <w:overflowPunct/>
                    <w:topLinePunct w:val="0"/>
                    <w:bidi w:val="0"/>
                    <w:adjustRightInd w:val="0"/>
                    <w:snapToGrid w:val="0"/>
                    <w:spacing w:line="340" w:lineRule="exact"/>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南雄市水利建设工程建设管理中心</w:t>
                  </w:r>
                </w:p>
              </w:tc>
              <w:tc>
                <w:tcPr>
                  <w:tcW w:w="3036" w:type="dxa"/>
                  <w:vAlign w:val="center"/>
                </w:tcPr>
                <w:p w14:paraId="77E9D97B">
                  <w:pPr>
                    <w:pStyle w:val="22"/>
                    <w:pageBreakBefore w:val="0"/>
                    <w:kinsoku/>
                    <w:wordWrap w:val="0"/>
                    <w:overflowPunct/>
                    <w:topLinePunct w:val="0"/>
                    <w:bidi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为本招标项目的招标人</w:t>
                  </w:r>
                </w:p>
              </w:tc>
            </w:tr>
            <w:tr w14:paraId="18327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90" w:type="dxa"/>
                  <w:vAlign w:val="center"/>
                </w:tcPr>
                <w:p w14:paraId="1AF59A03">
                  <w:pPr>
                    <w:pStyle w:val="22"/>
                    <w:pageBreakBefore w:val="0"/>
                    <w:kinsoku/>
                    <w:wordWrap w:val="0"/>
                    <w:overflowPunct/>
                    <w:topLinePunct w:val="0"/>
                    <w:bidi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2</w:t>
                  </w:r>
                </w:p>
              </w:tc>
              <w:tc>
                <w:tcPr>
                  <w:tcW w:w="3513" w:type="dxa"/>
                  <w:vAlign w:val="center"/>
                </w:tcPr>
                <w:p w14:paraId="7D534040">
                  <w:pPr>
                    <w:pStyle w:val="22"/>
                    <w:pageBreakBefore w:val="0"/>
                    <w:kinsoku/>
                    <w:wordWrap w:val="0"/>
                    <w:overflowPunct/>
                    <w:topLinePunct w:val="0"/>
                    <w:bidi w:val="0"/>
                    <w:adjustRightInd w:val="0"/>
                    <w:snapToGrid w:val="0"/>
                    <w:spacing w:line="340" w:lineRule="exact"/>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韶关市中利工程咨询有限公司</w:t>
                  </w:r>
                </w:p>
              </w:tc>
              <w:tc>
                <w:tcPr>
                  <w:tcW w:w="3036" w:type="dxa"/>
                  <w:vAlign w:val="center"/>
                </w:tcPr>
                <w:p w14:paraId="7C2FD604">
                  <w:pPr>
                    <w:pStyle w:val="22"/>
                    <w:pageBreakBefore w:val="0"/>
                    <w:kinsoku/>
                    <w:wordWrap w:val="0"/>
                    <w:overflowPunct/>
                    <w:topLinePunct w:val="0"/>
                    <w:bidi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为本招标项目的招标代理机构</w:t>
                  </w:r>
                </w:p>
              </w:tc>
            </w:tr>
            <w:tr w14:paraId="75087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90" w:type="dxa"/>
                  <w:vAlign w:val="center"/>
                </w:tcPr>
                <w:p w14:paraId="4CCE75B5">
                  <w:pPr>
                    <w:pStyle w:val="22"/>
                    <w:pageBreakBefore w:val="0"/>
                    <w:kinsoku/>
                    <w:wordWrap w:val="0"/>
                    <w:overflowPunct/>
                    <w:topLinePunct w:val="0"/>
                    <w:bidi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3</w:t>
                  </w:r>
                </w:p>
              </w:tc>
              <w:tc>
                <w:tcPr>
                  <w:tcW w:w="3513" w:type="dxa"/>
                  <w:vAlign w:val="center"/>
                </w:tcPr>
                <w:p w14:paraId="07AB9E42">
                  <w:pPr>
                    <w:pStyle w:val="22"/>
                    <w:pageBreakBefore w:val="0"/>
                    <w:kinsoku/>
                    <w:wordWrap w:val="0"/>
                    <w:overflowPunct/>
                    <w:topLinePunct w:val="0"/>
                    <w:bidi w:val="0"/>
                    <w:adjustRightInd w:val="0"/>
                    <w:snapToGrid w:val="0"/>
                    <w:spacing w:line="340" w:lineRule="exact"/>
                    <w:jc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中润天盛设计集团有限公司</w:t>
                  </w:r>
                </w:p>
              </w:tc>
              <w:tc>
                <w:tcPr>
                  <w:tcW w:w="3036" w:type="dxa"/>
                  <w:vAlign w:val="center"/>
                </w:tcPr>
                <w:p w14:paraId="01F59B98">
                  <w:pPr>
                    <w:pStyle w:val="22"/>
                    <w:pageBreakBefore w:val="0"/>
                    <w:kinsoku/>
                    <w:wordWrap w:val="0"/>
                    <w:overflowPunct/>
                    <w:topLinePunct w:val="0"/>
                    <w:bidi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为本招标项目的</w:t>
                  </w:r>
                  <w:r>
                    <w:rPr>
                      <w:rFonts w:hint="eastAsia" w:asciiTheme="minorEastAsia" w:hAnsiTheme="minorEastAsia" w:eastAsiaTheme="minorEastAsia" w:cstheme="minorEastAsia"/>
                      <w:snapToGrid w:val="0"/>
                      <w:color w:val="auto"/>
                      <w:kern w:val="0"/>
                      <w:sz w:val="21"/>
                      <w:szCs w:val="21"/>
                      <w:highlight w:val="none"/>
                      <w:lang w:val="en-US" w:eastAsia="zh-CN"/>
                    </w:rPr>
                    <w:t>设计单位</w:t>
                  </w:r>
                </w:p>
              </w:tc>
            </w:tr>
            <w:tr w14:paraId="0187A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690" w:type="dxa"/>
                  <w:vAlign w:val="center"/>
                </w:tcPr>
                <w:p w14:paraId="7A5F0693">
                  <w:pPr>
                    <w:pStyle w:val="22"/>
                    <w:pageBreakBefore w:val="0"/>
                    <w:kinsoku/>
                    <w:wordWrap w:val="0"/>
                    <w:overflowPunct/>
                    <w:topLinePunct w:val="0"/>
                    <w:bidi w:val="0"/>
                    <w:adjustRightInd w:val="0"/>
                    <w:snapToGrid w:val="0"/>
                    <w:spacing w:line="340" w:lineRule="exact"/>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p>
              </w:tc>
              <w:tc>
                <w:tcPr>
                  <w:tcW w:w="3513" w:type="dxa"/>
                  <w:shd w:val="clear" w:color="auto" w:fill="auto"/>
                  <w:vAlign w:val="center"/>
                </w:tcPr>
                <w:p w14:paraId="2BDF9BD9">
                  <w:pPr>
                    <w:pStyle w:val="22"/>
                    <w:pageBreakBefore w:val="0"/>
                    <w:kinsoku/>
                    <w:wordWrap w:val="0"/>
                    <w:overflowPunct/>
                    <w:topLinePunct w:val="0"/>
                    <w:bidi w:val="0"/>
                    <w:adjustRightInd w:val="0"/>
                    <w:snapToGrid w:val="0"/>
                    <w:spacing w:line="340" w:lineRule="exact"/>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力华项目管理有限公司</w:t>
                  </w:r>
                </w:p>
              </w:tc>
              <w:tc>
                <w:tcPr>
                  <w:tcW w:w="3036" w:type="dxa"/>
                  <w:shd w:val="clear" w:color="auto" w:fill="auto"/>
                  <w:vAlign w:val="center"/>
                </w:tcPr>
                <w:p w14:paraId="0228517C">
                  <w:pPr>
                    <w:pStyle w:val="22"/>
                    <w:pageBreakBefore w:val="0"/>
                    <w:kinsoku/>
                    <w:wordWrap w:val="0"/>
                    <w:overflowPunct/>
                    <w:topLinePunct w:val="0"/>
                    <w:bidi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eastAsia="zh-CN"/>
                    </w:rPr>
                    <w:t>为本招标项目的</w:t>
                  </w:r>
                  <w:r>
                    <w:rPr>
                      <w:rFonts w:hint="eastAsia" w:asciiTheme="minorEastAsia" w:hAnsiTheme="minorEastAsia" w:eastAsiaTheme="minorEastAsia" w:cstheme="minorEastAsia"/>
                      <w:snapToGrid w:val="0"/>
                      <w:color w:val="auto"/>
                      <w:kern w:val="0"/>
                      <w:sz w:val="21"/>
                      <w:szCs w:val="21"/>
                      <w:highlight w:val="none"/>
                      <w:lang w:val="en-US" w:eastAsia="zh-CN"/>
                    </w:rPr>
                    <w:t>预算编制</w:t>
                  </w:r>
                  <w:r>
                    <w:rPr>
                      <w:rFonts w:hint="eastAsia" w:asciiTheme="minorEastAsia" w:hAnsiTheme="minorEastAsia" w:eastAsiaTheme="minorEastAsia" w:cstheme="minorEastAsia"/>
                      <w:snapToGrid w:val="0"/>
                      <w:color w:val="auto"/>
                      <w:kern w:val="0"/>
                      <w:sz w:val="21"/>
                      <w:szCs w:val="21"/>
                      <w:highlight w:val="none"/>
                      <w:lang w:eastAsia="zh-CN"/>
                    </w:rPr>
                    <w:t>单位</w:t>
                  </w:r>
                </w:p>
              </w:tc>
            </w:tr>
          </w:tbl>
          <w:p w14:paraId="65F467D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 ．其他要求</w:t>
            </w:r>
          </w:p>
          <w:p w14:paraId="4035EA8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省外企业及其拟派往本项目管理机构的所有人员均须按照《广东省住房和城乡建设厅关于取消省外建筑企业和人员进粤信息备案有关工作的通知》（粤建市﹝2015</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﹞52 号）规定在“进粤企业和人员诚信信息登记平台”录入相关信息并通过数据规范检查。</w:t>
            </w:r>
          </w:p>
        </w:tc>
      </w:tr>
      <w:tr w14:paraId="6A79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582" w:type="dxa"/>
            <w:vAlign w:val="center"/>
          </w:tcPr>
          <w:p w14:paraId="77319962">
            <w:pPr>
              <w:pageBreakBefore w:val="0"/>
              <w:kinsoku/>
              <w:wordWrap w:val="0"/>
              <w:overflowPunct/>
              <w:topLinePunct w:val="0"/>
              <w:bidi w:val="0"/>
              <w:spacing w:before="19"/>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rPr>
              <w:t>2</w:t>
            </w:r>
            <w:r>
              <w:rPr>
                <w:rFonts w:hint="eastAsia" w:asciiTheme="minorEastAsia" w:hAnsiTheme="minorEastAsia" w:eastAsiaTheme="minorEastAsia" w:cstheme="minorEastAsia"/>
                <w:color w:val="auto"/>
                <w:spacing w:val="-3"/>
                <w:sz w:val="21"/>
                <w:szCs w:val="21"/>
                <w:highlight w:val="none"/>
                <w:lang w:val="en-US" w:eastAsia="zh-CN"/>
              </w:rPr>
              <w:t>8</w:t>
            </w:r>
          </w:p>
        </w:tc>
        <w:tc>
          <w:tcPr>
            <w:tcW w:w="1860" w:type="dxa"/>
            <w:vAlign w:val="center"/>
          </w:tcPr>
          <w:p w14:paraId="351117F4">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投标有效期</w:t>
            </w:r>
          </w:p>
        </w:tc>
        <w:tc>
          <w:tcPr>
            <w:tcW w:w="7544" w:type="dxa"/>
            <w:vAlign w:val="center"/>
          </w:tcPr>
          <w:p w14:paraId="5ADA6D4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本次招标的投标有效期为</w:t>
            </w:r>
            <w:r>
              <w:rPr>
                <w:rFonts w:hint="eastAsia" w:asciiTheme="minorEastAsia" w:hAnsiTheme="minorEastAsia" w:eastAsiaTheme="minorEastAsia" w:cstheme="minorEastAsia"/>
                <w:snapToGrid w:val="0"/>
                <w:color w:val="auto"/>
                <w:kern w:val="0"/>
                <w:sz w:val="21"/>
                <w:szCs w:val="21"/>
                <w:highlight w:val="none"/>
                <w:u w:val="single"/>
                <w:lang w:eastAsia="zh-CN"/>
              </w:rPr>
              <w:t>90</w:t>
            </w:r>
            <w:r>
              <w:rPr>
                <w:rFonts w:hint="eastAsia" w:asciiTheme="minorEastAsia" w:hAnsiTheme="minorEastAsia" w:eastAsiaTheme="minorEastAsia" w:cstheme="minorEastAsia"/>
                <w:snapToGrid w:val="0"/>
                <w:color w:val="auto"/>
                <w:kern w:val="0"/>
                <w:sz w:val="21"/>
                <w:szCs w:val="21"/>
                <w:highlight w:val="none"/>
                <w:lang w:eastAsia="zh-CN"/>
              </w:rPr>
              <w:t xml:space="preserve"> 个日历天。</w:t>
            </w:r>
          </w:p>
        </w:tc>
      </w:tr>
      <w:tr w14:paraId="7429D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582" w:type="dxa"/>
            <w:vAlign w:val="center"/>
          </w:tcPr>
          <w:p w14:paraId="39629713">
            <w:pPr>
              <w:pageBreakBefore w:val="0"/>
              <w:kinsoku/>
              <w:wordWrap w:val="0"/>
              <w:overflowPunct/>
              <w:topLinePunct w:val="0"/>
              <w:bidi w:val="0"/>
              <w:spacing w:before="69" w:line="188" w:lineRule="auto"/>
              <w:ind w:left="205"/>
              <w:jc w:val="both"/>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29</w:t>
            </w:r>
          </w:p>
        </w:tc>
        <w:tc>
          <w:tcPr>
            <w:tcW w:w="1860" w:type="dxa"/>
            <w:vAlign w:val="center"/>
          </w:tcPr>
          <w:p w14:paraId="5F55453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投标文件组成</w:t>
            </w:r>
          </w:p>
        </w:tc>
        <w:tc>
          <w:tcPr>
            <w:tcW w:w="7544" w:type="dxa"/>
            <w:vAlign w:val="center"/>
          </w:tcPr>
          <w:p w14:paraId="6298FD5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投标文件包括商务标书、经济标书、施工组织设计</w:t>
            </w:r>
            <w:r>
              <w:rPr>
                <w:rFonts w:hint="eastAsia" w:asciiTheme="minorEastAsia" w:hAnsiTheme="minorEastAsia" w:eastAsiaTheme="minorEastAsia" w:cstheme="minorEastAsia"/>
                <w:snapToGrid w:val="0"/>
                <w:color w:val="auto"/>
                <w:kern w:val="0"/>
                <w:sz w:val="21"/>
                <w:szCs w:val="21"/>
                <w:highlight w:val="none"/>
                <w:lang w:val="en-US" w:eastAsia="zh-CN"/>
              </w:rPr>
              <w:t>和</w:t>
            </w:r>
            <w:r>
              <w:rPr>
                <w:rFonts w:hint="eastAsia" w:asciiTheme="minorEastAsia" w:hAnsiTheme="minorEastAsia" w:eastAsiaTheme="minorEastAsia" w:cstheme="minorEastAsia"/>
                <w:snapToGrid w:val="0"/>
                <w:color w:val="auto"/>
                <w:kern w:val="0"/>
                <w:sz w:val="21"/>
                <w:szCs w:val="21"/>
                <w:highlight w:val="none"/>
                <w:lang w:eastAsia="zh-CN"/>
              </w:rPr>
              <w:t>定标文件四个分册。</w:t>
            </w:r>
          </w:p>
        </w:tc>
      </w:tr>
      <w:tr w14:paraId="0BE62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23F8BF94">
            <w:pPr>
              <w:pageBreakBefore w:val="0"/>
              <w:kinsoku/>
              <w:wordWrap w:val="0"/>
              <w:overflowPunct/>
              <w:topLinePunct w:val="0"/>
              <w:bidi w:val="0"/>
              <w:spacing w:before="69" w:line="188" w:lineRule="auto"/>
              <w:ind w:left="205"/>
              <w:jc w:val="both"/>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30</w:t>
            </w:r>
          </w:p>
        </w:tc>
        <w:tc>
          <w:tcPr>
            <w:tcW w:w="1860" w:type="dxa"/>
            <w:vAlign w:val="center"/>
          </w:tcPr>
          <w:p w14:paraId="49DE2E5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施工组织设计评审方式</w:t>
            </w:r>
          </w:p>
        </w:tc>
        <w:tc>
          <w:tcPr>
            <w:tcW w:w="7544" w:type="dxa"/>
            <w:vAlign w:val="center"/>
          </w:tcPr>
          <w:p w14:paraId="53E89E2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本次招标施工组织设计 不采用 “暗标 ”方式进行评审。</w:t>
            </w:r>
          </w:p>
        </w:tc>
      </w:tr>
      <w:tr w14:paraId="04696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549E241C">
            <w:pPr>
              <w:pageBreakBefore w:val="0"/>
              <w:kinsoku/>
              <w:wordWrap w:val="0"/>
              <w:overflowPunct/>
              <w:topLinePunct w:val="0"/>
              <w:bidi w:val="0"/>
              <w:spacing w:before="69" w:line="188" w:lineRule="auto"/>
              <w:ind w:left="209"/>
              <w:jc w:val="both"/>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rPr>
              <w:t>3</w:t>
            </w:r>
            <w:r>
              <w:rPr>
                <w:rFonts w:hint="eastAsia" w:asciiTheme="minorEastAsia" w:hAnsiTheme="minorEastAsia" w:eastAsiaTheme="minorEastAsia" w:cstheme="minorEastAsia"/>
                <w:color w:val="auto"/>
                <w:spacing w:val="-5"/>
                <w:sz w:val="21"/>
                <w:szCs w:val="21"/>
                <w:highlight w:val="none"/>
                <w:lang w:val="en-US" w:eastAsia="zh-CN"/>
              </w:rPr>
              <w:t>1</w:t>
            </w:r>
          </w:p>
        </w:tc>
        <w:tc>
          <w:tcPr>
            <w:tcW w:w="1860" w:type="dxa"/>
            <w:vAlign w:val="center"/>
          </w:tcPr>
          <w:p w14:paraId="147BE24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w:t>
            </w:r>
          </w:p>
        </w:tc>
        <w:tc>
          <w:tcPr>
            <w:tcW w:w="7544" w:type="dxa"/>
            <w:vAlign w:val="top"/>
          </w:tcPr>
          <w:p w14:paraId="7E3153E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评标委员会由</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5 </w:t>
            </w:r>
            <w:r>
              <w:rPr>
                <w:rFonts w:hint="eastAsia" w:asciiTheme="minorEastAsia" w:hAnsiTheme="minorEastAsia" w:eastAsiaTheme="minorEastAsia" w:cstheme="minorEastAsia"/>
                <w:snapToGrid w:val="0"/>
                <w:color w:val="auto"/>
                <w:kern w:val="0"/>
                <w:sz w:val="21"/>
                <w:szCs w:val="21"/>
                <w:highlight w:val="none"/>
                <w:lang w:eastAsia="zh-CN"/>
              </w:rPr>
              <w:t>人组成，其中招标人代表</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0 </w:t>
            </w:r>
            <w:r>
              <w:rPr>
                <w:rFonts w:hint="eastAsia" w:asciiTheme="minorEastAsia" w:hAnsiTheme="minorEastAsia" w:eastAsiaTheme="minorEastAsia" w:cstheme="minorEastAsia"/>
                <w:snapToGrid w:val="0"/>
                <w:color w:val="auto"/>
                <w:kern w:val="0"/>
                <w:sz w:val="21"/>
                <w:szCs w:val="21"/>
                <w:highlight w:val="none"/>
                <w:lang w:eastAsia="zh-CN"/>
              </w:rPr>
              <w:t>人，专家</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5 </w:t>
            </w:r>
            <w:r>
              <w:rPr>
                <w:rFonts w:hint="eastAsia" w:asciiTheme="minorEastAsia" w:hAnsiTheme="minorEastAsia" w:eastAsiaTheme="minorEastAsia" w:cstheme="minorEastAsia"/>
                <w:snapToGrid w:val="0"/>
                <w:color w:val="auto"/>
                <w:kern w:val="0"/>
                <w:sz w:val="21"/>
                <w:szCs w:val="21"/>
                <w:highlight w:val="none"/>
                <w:lang w:eastAsia="zh-CN"/>
              </w:rPr>
              <w:t>人。专家从广东省综合评标评审专家库（韶关区域）中随机抽取，其中技术类专家</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3 </w:t>
            </w:r>
            <w:r>
              <w:rPr>
                <w:rFonts w:hint="eastAsia" w:asciiTheme="minorEastAsia" w:hAnsiTheme="minorEastAsia" w:eastAsiaTheme="minorEastAsia" w:cstheme="minorEastAsia"/>
                <w:snapToGrid w:val="0"/>
                <w:color w:val="auto"/>
                <w:kern w:val="0"/>
                <w:sz w:val="21"/>
                <w:szCs w:val="21"/>
                <w:highlight w:val="none"/>
                <w:lang w:eastAsia="zh-CN"/>
              </w:rPr>
              <w:t>人，经济类专家</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2 </w:t>
            </w:r>
            <w:r>
              <w:rPr>
                <w:rFonts w:hint="eastAsia" w:asciiTheme="minorEastAsia" w:hAnsiTheme="minorEastAsia" w:eastAsiaTheme="minorEastAsia" w:cstheme="minorEastAsia"/>
                <w:snapToGrid w:val="0"/>
                <w:color w:val="auto"/>
                <w:kern w:val="0"/>
                <w:sz w:val="21"/>
                <w:szCs w:val="21"/>
                <w:highlight w:val="none"/>
                <w:lang w:eastAsia="zh-CN"/>
              </w:rPr>
              <w:t>人。</w:t>
            </w:r>
          </w:p>
        </w:tc>
      </w:tr>
      <w:tr w14:paraId="248CB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1" w:hRule="atLeast"/>
        </w:trPr>
        <w:tc>
          <w:tcPr>
            <w:tcW w:w="582" w:type="dxa"/>
            <w:vAlign w:val="center"/>
          </w:tcPr>
          <w:p w14:paraId="35FD8C92">
            <w:pPr>
              <w:pageBreakBefore w:val="0"/>
              <w:kinsoku/>
              <w:wordWrap w:val="0"/>
              <w:overflowPunct/>
              <w:topLinePunct w:val="0"/>
              <w:bidi w:val="0"/>
              <w:spacing w:before="69" w:line="188" w:lineRule="auto"/>
              <w:ind w:left="209"/>
              <w:jc w:val="both"/>
              <w:rPr>
                <w:rFonts w:hint="eastAsia"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32</w:t>
            </w:r>
          </w:p>
        </w:tc>
        <w:tc>
          <w:tcPr>
            <w:tcW w:w="1860" w:type="dxa"/>
            <w:vAlign w:val="center"/>
          </w:tcPr>
          <w:p w14:paraId="36B2975E">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定</w:t>
            </w:r>
            <w:r>
              <w:rPr>
                <w:rFonts w:hint="eastAsia" w:asciiTheme="minorEastAsia" w:hAnsiTheme="minorEastAsia" w:eastAsiaTheme="minorEastAsia" w:cstheme="minorEastAsia"/>
                <w:color w:val="auto"/>
                <w:sz w:val="21"/>
                <w:szCs w:val="21"/>
                <w:highlight w:val="none"/>
              </w:rPr>
              <w:t>标委员会</w:t>
            </w:r>
          </w:p>
        </w:tc>
        <w:tc>
          <w:tcPr>
            <w:tcW w:w="7544" w:type="dxa"/>
            <w:vAlign w:val="center"/>
          </w:tcPr>
          <w:p w14:paraId="062BDE77">
            <w:pPr>
              <w:keepNext w:val="0"/>
              <w:keepLines w:val="0"/>
              <w:pageBreakBefore w:val="0"/>
              <w:widowControl w:val="0"/>
              <w:suppressLineNumbers w:val="0"/>
              <w:kinsoku/>
              <w:wordWrap w:val="0"/>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color w:val="auto"/>
                <w:sz w:val="21"/>
                <w:szCs w:val="21"/>
                <w:highlight w:val="none"/>
                <w:u w:val="none"/>
                <w:lang w:val="en-US" w:eastAsia="zh-CN"/>
              </w:rPr>
              <w:t>本</w:t>
            </w:r>
            <w:r>
              <w:rPr>
                <w:rFonts w:hint="eastAsia" w:asciiTheme="minorEastAsia" w:hAnsiTheme="minorEastAsia" w:eastAsiaTheme="minorEastAsia" w:cstheme="minorEastAsia"/>
                <w:color w:val="auto"/>
                <w:sz w:val="21"/>
                <w:szCs w:val="21"/>
                <w:highlight w:val="none"/>
                <w:u w:val="none"/>
                <w:lang w:eastAsia="zh-CN"/>
              </w:rPr>
              <w:t>项目</w:t>
            </w:r>
            <w:r>
              <w:rPr>
                <w:rFonts w:hint="eastAsia" w:asciiTheme="minorEastAsia" w:hAnsiTheme="minorEastAsia" w:eastAsiaTheme="minorEastAsia" w:cstheme="minorEastAsia"/>
                <w:color w:val="auto"/>
                <w:sz w:val="21"/>
                <w:szCs w:val="21"/>
                <w:highlight w:val="none"/>
                <w:u w:val="none"/>
              </w:rPr>
              <w:t>定标委员会</w:t>
            </w:r>
            <w:r>
              <w:rPr>
                <w:rFonts w:hint="eastAsia" w:asciiTheme="minorEastAsia" w:hAnsiTheme="minorEastAsia" w:eastAsiaTheme="minorEastAsia" w:cstheme="minorEastAsia"/>
                <w:color w:val="auto"/>
                <w:sz w:val="21"/>
                <w:szCs w:val="21"/>
                <w:highlight w:val="none"/>
                <w:u w:val="none"/>
                <w:lang w:eastAsia="zh-CN"/>
              </w:rPr>
              <w:t>组成人</w:t>
            </w:r>
            <w:r>
              <w:rPr>
                <w:rFonts w:hint="eastAsia" w:asciiTheme="minorEastAsia" w:hAnsiTheme="minorEastAsia" w:eastAsiaTheme="minorEastAsia" w:cstheme="minorEastAsia"/>
                <w:color w:val="auto"/>
                <w:sz w:val="21"/>
                <w:szCs w:val="21"/>
                <w:highlight w:val="none"/>
                <w:u w:val="none"/>
              </w:rPr>
              <w:t>员为</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7 </w:t>
            </w:r>
            <w:r>
              <w:rPr>
                <w:rFonts w:hint="eastAsia" w:asciiTheme="minorEastAsia" w:hAnsiTheme="minorEastAsia" w:eastAsiaTheme="minorEastAsia" w:cstheme="minorEastAsia"/>
                <w:color w:val="auto"/>
                <w:sz w:val="21"/>
                <w:szCs w:val="21"/>
                <w:highlight w:val="none"/>
              </w:rPr>
              <w:t>人</w:t>
            </w:r>
            <w:r>
              <w:rPr>
                <w:rFonts w:hint="eastAsia" w:asciiTheme="minorEastAsia" w:hAnsiTheme="minorEastAsia" w:eastAsiaTheme="minorEastAsia" w:cstheme="minorEastAsia"/>
                <w:color w:val="auto"/>
                <w:sz w:val="21"/>
                <w:szCs w:val="21"/>
                <w:highlight w:val="none"/>
                <w:u w:val="none"/>
                <w:lang w:eastAsia="zh-CN"/>
              </w:rPr>
              <w:t>。</w:t>
            </w:r>
          </w:p>
        </w:tc>
      </w:tr>
      <w:tr w14:paraId="40697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1400A1DD">
            <w:pPr>
              <w:pageBreakBefore w:val="0"/>
              <w:kinsoku/>
              <w:wordWrap w:val="0"/>
              <w:overflowPunct/>
              <w:topLinePunct w:val="0"/>
              <w:bidi w:val="0"/>
              <w:spacing w:before="258" w:line="188" w:lineRule="auto"/>
              <w:ind w:left="209"/>
              <w:jc w:val="both"/>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33</w:t>
            </w:r>
          </w:p>
        </w:tc>
        <w:tc>
          <w:tcPr>
            <w:tcW w:w="1860" w:type="dxa"/>
            <w:vAlign w:val="center"/>
          </w:tcPr>
          <w:p w14:paraId="7DEC51F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评标方法</w:t>
            </w:r>
          </w:p>
        </w:tc>
        <w:tc>
          <w:tcPr>
            <w:tcW w:w="7544" w:type="dxa"/>
            <w:vAlign w:val="center"/>
          </w:tcPr>
          <w:p w14:paraId="4A27804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  综合评</w:t>
            </w:r>
            <w:r>
              <w:rPr>
                <w:rFonts w:hint="eastAsia" w:asciiTheme="minorEastAsia" w:hAnsiTheme="minorEastAsia" w:eastAsiaTheme="minorEastAsia" w:cstheme="minorEastAsia"/>
                <w:snapToGrid w:val="0"/>
                <w:color w:val="auto"/>
                <w:kern w:val="0"/>
                <w:sz w:val="21"/>
                <w:szCs w:val="21"/>
                <w:highlight w:val="none"/>
                <w:lang w:val="en-US" w:eastAsia="zh-CN"/>
              </w:rPr>
              <w:t>估</w:t>
            </w:r>
            <w:r>
              <w:rPr>
                <w:rFonts w:hint="eastAsia" w:asciiTheme="minorEastAsia" w:hAnsiTheme="minorEastAsia" w:eastAsiaTheme="minorEastAsia" w:cstheme="minorEastAsia"/>
                <w:snapToGrid w:val="0"/>
                <w:color w:val="auto"/>
                <w:kern w:val="0"/>
                <w:sz w:val="21"/>
                <w:szCs w:val="21"/>
                <w:highlight w:val="none"/>
                <w:lang w:eastAsia="zh-CN"/>
              </w:rPr>
              <w:t>法</w:t>
            </w:r>
          </w:p>
        </w:tc>
      </w:tr>
      <w:tr w14:paraId="25749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6CEE2DF4">
            <w:pPr>
              <w:pageBreakBefore w:val="0"/>
              <w:kinsoku/>
              <w:wordWrap w:val="0"/>
              <w:overflowPunct/>
              <w:topLinePunct w:val="0"/>
              <w:bidi w:val="0"/>
              <w:spacing w:before="258" w:line="188" w:lineRule="auto"/>
              <w:ind w:left="209"/>
              <w:jc w:val="both"/>
              <w:rPr>
                <w:rFonts w:hint="eastAsia"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34</w:t>
            </w:r>
          </w:p>
        </w:tc>
        <w:tc>
          <w:tcPr>
            <w:tcW w:w="1860" w:type="dxa"/>
            <w:vAlign w:val="center"/>
          </w:tcPr>
          <w:p w14:paraId="4F99436B">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投标文件编制</w:t>
            </w:r>
            <w:r>
              <w:rPr>
                <w:rFonts w:hint="eastAsia" w:asciiTheme="minorEastAsia" w:hAnsiTheme="minorEastAsia" w:eastAsiaTheme="minorEastAsia" w:cstheme="minorEastAsia"/>
                <w:snapToGrid w:val="0"/>
                <w:color w:val="auto"/>
                <w:kern w:val="0"/>
                <w:sz w:val="21"/>
                <w:szCs w:val="21"/>
                <w:highlight w:val="none"/>
                <w:lang w:eastAsia="zh-CN"/>
              </w:rPr>
              <w:t>及</w:t>
            </w:r>
            <w:r>
              <w:rPr>
                <w:rFonts w:hint="eastAsia" w:asciiTheme="minorEastAsia" w:hAnsiTheme="minorEastAsia" w:eastAsiaTheme="minorEastAsia" w:cstheme="minorEastAsia"/>
                <w:snapToGrid w:val="0"/>
                <w:color w:val="auto"/>
                <w:kern w:val="0"/>
                <w:sz w:val="21"/>
                <w:szCs w:val="21"/>
                <w:highlight w:val="none"/>
              </w:rPr>
              <w:t>份数要求</w:t>
            </w:r>
          </w:p>
        </w:tc>
        <w:tc>
          <w:tcPr>
            <w:tcW w:w="7544" w:type="dxa"/>
            <w:vAlign w:val="center"/>
          </w:tcPr>
          <w:p w14:paraId="1D5081FB">
            <w:pPr>
              <w:keepNext w:val="0"/>
              <w:keepLines w:val="0"/>
              <w:pageBreakBefore w:val="0"/>
              <w:widowControl/>
              <w:suppressLineNumbers w:val="0"/>
              <w:shd w:val="clear" w:color="auto" w:fill="auto"/>
              <w:kinsoku/>
              <w:wordWrap w:val="0"/>
              <w:overflowPunct/>
              <w:topLinePunct w:val="0"/>
              <w:bidi w:val="0"/>
              <w:spacing w:line="360" w:lineRule="auto"/>
              <w:ind w:firstLine="210" w:firstLineChars="100"/>
              <w:jc w:val="left"/>
              <w:textAlignment w:val="center"/>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投标人须上传（递交）投标文件：</w:t>
            </w:r>
          </w:p>
          <w:p w14:paraId="5DFDF2C6">
            <w:pPr>
              <w:keepNext w:val="0"/>
              <w:keepLines w:val="0"/>
              <w:pageBreakBefore w:val="0"/>
              <w:widowControl/>
              <w:suppressLineNumbers w:val="0"/>
              <w:shd w:val="clear" w:color="auto" w:fill="auto"/>
              <w:kinsoku/>
              <w:wordWrap w:val="0"/>
              <w:overflowPunct/>
              <w:topLinePunct w:val="0"/>
              <w:bidi w:val="0"/>
              <w:spacing w:line="360" w:lineRule="auto"/>
              <w:ind w:firstLine="210" w:firstLineChars="100"/>
              <w:jc w:val="left"/>
              <w:textAlignment w:val="center"/>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1、电子投标文件一套：</w:t>
            </w:r>
          </w:p>
          <w:p w14:paraId="2D814D67">
            <w:pPr>
              <w:keepNext w:val="0"/>
              <w:keepLines w:val="0"/>
              <w:pageBreakBefore w:val="0"/>
              <w:widowControl/>
              <w:suppressLineNumbers w:val="0"/>
              <w:shd w:val="clear" w:color="auto" w:fill="auto"/>
              <w:kinsoku/>
              <w:wordWrap w:val="0"/>
              <w:overflowPunct/>
              <w:topLinePunct w:val="0"/>
              <w:bidi w:val="0"/>
              <w:spacing w:line="360" w:lineRule="auto"/>
              <w:ind w:firstLine="420" w:firstLineChars="200"/>
              <w:jc w:val="left"/>
              <w:textAlignment w:val="center"/>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（1）商务标书1份；</w:t>
            </w:r>
          </w:p>
          <w:p w14:paraId="3F9DD380">
            <w:pPr>
              <w:keepNext w:val="0"/>
              <w:keepLines w:val="0"/>
              <w:pageBreakBefore w:val="0"/>
              <w:widowControl/>
              <w:suppressLineNumbers w:val="0"/>
              <w:shd w:val="clear" w:color="auto" w:fill="auto"/>
              <w:kinsoku/>
              <w:wordWrap w:val="0"/>
              <w:overflowPunct/>
              <w:topLinePunct w:val="0"/>
              <w:bidi w:val="0"/>
              <w:spacing w:line="360" w:lineRule="auto"/>
              <w:ind w:firstLine="420" w:firstLineChars="200"/>
              <w:jc w:val="left"/>
              <w:textAlignment w:val="center"/>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（2）经济标书1份；</w:t>
            </w:r>
          </w:p>
          <w:p w14:paraId="16067C61">
            <w:pPr>
              <w:keepNext w:val="0"/>
              <w:keepLines w:val="0"/>
              <w:pageBreakBefore w:val="0"/>
              <w:widowControl/>
              <w:suppressLineNumbers w:val="0"/>
              <w:shd w:val="clear" w:color="auto" w:fill="auto"/>
              <w:kinsoku/>
              <w:wordWrap w:val="0"/>
              <w:overflowPunct/>
              <w:topLinePunct w:val="0"/>
              <w:bidi w:val="0"/>
              <w:spacing w:line="360" w:lineRule="auto"/>
              <w:ind w:firstLine="420" w:firstLineChars="200"/>
              <w:jc w:val="left"/>
              <w:textAlignment w:val="center"/>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 xml:space="preserve">（3）施工组织设计1份； </w:t>
            </w:r>
          </w:p>
          <w:p w14:paraId="2048C2C9">
            <w:pPr>
              <w:keepNext w:val="0"/>
              <w:keepLines w:val="0"/>
              <w:pageBreakBefore w:val="0"/>
              <w:widowControl/>
              <w:suppressLineNumbers w:val="0"/>
              <w:shd w:val="clear" w:color="auto" w:fill="auto"/>
              <w:kinsoku/>
              <w:wordWrap w:val="0"/>
              <w:overflowPunct/>
              <w:topLinePunct w:val="0"/>
              <w:bidi w:val="0"/>
              <w:spacing w:line="360" w:lineRule="auto"/>
              <w:ind w:firstLine="420" w:firstLineChars="200"/>
              <w:jc w:val="left"/>
              <w:textAlignment w:val="center"/>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（4）定标文件1份；</w:t>
            </w:r>
          </w:p>
          <w:p w14:paraId="661E79A2">
            <w:pPr>
              <w:keepNext w:val="0"/>
              <w:keepLines w:val="0"/>
              <w:pageBreakBefore w:val="0"/>
              <w:widowControl/>
              <w:suppressLineNumbers w:val="0"/>
              <w:shd w:val="clear" w:color="auto" w:fill="auto"/>
              <w:kinsoku/>
              <w:wordWrap w:val="0"/>
              <w:overflowPunct/>
              <w:topLinePunct w:val="0"/>
              <w:bidi w:val="0"/>
              <w:spacing w:line="360" w:lineRule="auto"/>
              <w:ind w:firstLine="210" w:firstLineChars="100"/>
              <w:jc w:val="left"/>
              <w:textAlignment w:val="center"/>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2、对应评审要求的分项响应文件（如有）。</w:t>
            </w:r>
          </w:p>
          <w:p w14:paraId="4ABF173D">
            <w:pPr>
              <w:keepNext w:val="0"/>
              <w:keepLines w:val="0"/>
              <w:pageBreakBefore w:val="0"/>
              <w:widowControl/>
              <w:suppressLineNumbers w:val="0"/>
              <w:shd w:val="clear" w:color="auto" w:fill="auto"/>
              <w:kinsoku/>
              <w:wordWrap w:val="0"/>
              <w:overflowPunct/>
              <w:topLinePunct w:val="0"/>
              <w:bidi w:val="0"/>
              <w:spacing w:line="360" w:lineRule="auto"/>
              <w:ind w:firstLine="420" w:firstLineChars="200"/>
              <w:jc w:val="left"/>
              <w:textAlignment w:val="center"/>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0B72CA08">
            <w:pPr>
              <w:keepNext w:val="0"/>
              <w:keepLines w:val="0"/>
              <w:pageBreakBefore w:val="0"/>
              <w:widowControl w:val="0"/>
              <w:suppressLineNumbers w:val="0"/>
              <w:kinsoku/>
              <w:wordWrap w:val="0"/>
              <w:overflowPunct/>
              <w:topLinePunct w:val="0"/>
              <w:autoSpaceDE/>
              <w:autoSpaceDN/>
              <w:bidi w:val="0"/>
              <w:adjustRightInd/>
              <w:snapToGrid/>
              <w:spacing w:line="360" w:lineRule="auto"/>
              <w:ind w:left="105" w:leftChars="50" w:right="105" w:rightChars="50" w:firstLine="420" w:firstLineChars="20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14153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515477B8">
            <w:pPr>
              <w:pageBreakBefore w:val="0"/>
              <w:kinsoku/>
              <w:wordWrap w:val="0"/>
              <w:overflowPunct/>
              <w:topLinePunct w:val="0"/>
              <w:bidi w:val="0"/>
              <w:spacing w:before="258" w:line="188" w:lineRule="auto"/>
              <w:ind w:left="209"/>
              <w:jc w:val="both"/>
              <w:rPr>
                <w:rFonts w:hint="eastAsia"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35</w:t>
            </w:r>
          </w:p>
        </w:tc>
        <w:tc>
          <w:tcPr>
            <w:tcW w:w="1860" w:type="dxa"/>
            <w:vAlign w:val="center"/>
          </w:tcPr>
          <w:p w14:paraId="74DD4215">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lang w:val="en-US" w:eastAsia="zh-CN"/>
              </w:rPr>
              <w:t>定标办法</w:t>
            </w:r>
          </w:p>
        </w:tc>
        <w:tc>
          <w:tcPr>
            <w:tcW w:w="7544" w:type="dxa"/>
            <w:vAlign w:val="center"/>
          </w:tcPr>
          <w:p w14:paraId="434425EF">
            <w:pPr>
              <w:keepNext w:val="0"/>
              <w:keepLines w:val="0"/>
              <w:pageBreakBefore w:val="0"/>
              <w:widowControl w:val="0"/>
              <w:suppressLineNumbers w:val="0"/>
              <w:kinsoku/>
              <w:wordWrap w:val="0"/>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采用</w:t>
            </w:r>
            <w:r>
              <w:rPr>
                <w:rFonts w:hint="eastAsia" w:asciiTheme="minorEastAsia" w:hAnsiTheme="minorEastAsia" w:eastAsiaTheme="minorEastAsia" w:cstheme="minorEastAsia"/>
                <w:b/>
                <w:bCs w:val="0"/>
                <w:snapToGrid w:val="0"/>
                <w:color w:val="auto"/>
                <w:kern w:val="0"/>
                <w:sz w:val="21"/>
                <w:szCs w:val="21"/>
                <w:highlight w:val="none"/>
                <w:lang w:val="en-US" w:eastAsia="zh-CN"/>
              </w:rPr>
              <w:t>评定分离</w:t>
            </w:r>
            <w:r>
              <w:rPr>
                <w:rFonts w:hint="eastAsia" w:asciiTheme="minorEastAsia" w:hAnsiTheme="minorEastAsia" w:eastAsiaTheme="minorEastAsia" w:cstheme="minorEastAsia"/>
                <w:bCs/>
                <w:snapToGrid w:val="0"/>
                <w:color w:val="auto"/>
                <w:kern w:val="0"/>
                <w:sz w:val="21"/>
                <w:szCs w:val="21"/>
                <w:highlight w:val="none"/>
                <w:lang w:val="en-US" w:eastAsia="zh-CN"/>
              </w:rPr>
              <w:t>的项目，应选定下列定标办法：</w:t>
            </w:r>
          </w:p>
          <w:p w14:paraId="389B1B01">
            <w:pPr>
              <w:keepNext w:val="0"/>
              <w:keepLines w:val="0"/>
              <w:pageBreakBefore w:val="0"/>
              <w:widowControl w:val="0"/>
              <w:suppressLineNumbers w:val="0"/>
              <w:kinsoku/>
              <w:wordWrap w:val="0"/>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☑票决数量法</w:t>
            </w:r>
          </w:p>
          <w:p w14:paraId="344C8183">
            <w:pPr>
              <w:keepNext w:val="0"/>
              <w:keepLines w:val="0"/>
              <w:pageBreakBefore w:val="0"/>
              <w:widowControl w:val="0"/>
              <w:suppressLineNumbers w:val="0"/>
              <w:kinsoku/>
              <w:wordWrap w:val="0"/>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□票决计分法</w:t>
            </w:r>
          </w:p>
          <w:p w14:paraId="60102FE3">
            <w:pPr>
              <w:keepNext w:val="0"/>
              <w:keepLines w:val="0"/>
              <w:pageBreakBefore w:val="0"/>
              <w:widowControl w:val="0"/>
              <w:suppressLineNumbers w:val="0"/>
              <w:kinsoku/>
              <w:wordWrap w:val="0"/>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□集体议事法</w:t>
            </w:r>
          </w:p>
          <w:p w14:paraId="4BE6FD5B">
            <w:pPr>
              <w:keepNext w:val="0"/>
              <w:keepLines w:val="0"/>
              <w:pageBreakBefore w:val="0"/>
              <w:widowControl w:val="0"/>
              <w:suppressLineNumbers w:val="0"/>
              <w:kinsoku/>
              <w:wordWrap w:val="0"/>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□其他方法：</w:t>
            </w:r>
          </w:p>
        </w:tc>
      </w:tr>
      <w:tr w14:paraId="3A7D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46D5AAE1">
            <w:pPr>
              <w:pageBreakBefore w:val="0"/>
              <w:kinsoku/>
              <w:wordWrap w:val="0"/>
              <w:overflowPunct/>
              <w:topLinePunct w:val="0"/>
              <w:bidi w:val="0"/>
              <w:spacing w:before="258" w:line="188" w:lineRule="auto"/>
              <w:ind w:left="209"/>
              <w:jc w:val="both"/>
              <w:rPr>
                <w:rFonts w:hint="eastAsia"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36</w:t>
            </w:r>
          </w:p>
        </w:tc>
        <w:tc>
          <w:tcPr>
            <w:tcW w:w="1860" w:type="dxa"/>
            <w:vAlign w:val="center"/>
          </w:tcPr>
          <w:p w14:paraId="7DF19486">
            <w:pPr>
              <w:keepNext w:val="0"/>
              <w:keepLines w:val="0"/>
              <w:pageBreakBefore w:val="0"/>
              <w:widowControl w:val="0"/>
              <w:shd w:val="clear" w:color="auto" w:fill="auto"/>
              <w:kinsoku/>
              <w:wordWrap w:val="0"/>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纳入百千万工程公益性项目</w:t>
            </w:r>
          </w:p>
        </w:tc>
        <w:tc>
          <w:tcPr>
            <w:tcW w:w="7544" w:type="dxa"/>
            <w:vAlign w:val="center"/>
          </w:tcPr>
          <w:p w14:paraId="22EEB78A">
            <w:pPr>
              <w:keepNext w:val="0"/>
              <w:keepLines w:val="0"/>
              <w:pageBreakBefore w:val="0"/>
              <w:widowControl w:val="0"/>
              <w:suppressLineNumbers w:val="0"/>
              <w:kinsoku/>
              <w:wordWrap w:val="0"/>
              <w:overflowPunct/>
              <w:topLinePunct w:val="0"/>
              <w:autoSpaceDE/>
              <w:autoSpaceDN/>
              <w:bidi w:val="0"/>
              <w:adjustRightInd/>
              <w:snapToGrid/>
              <w:spacing w:line="400" w:lineRule="exact"/>
              <w:ind w:left="105" w:leftChars="50" w:right="105" w:rightChars="50" w:firstLine="420" w:firstLineChars="200"/>
              <w:jc w:val="left"/>
              <w:textAlignment w:val="auto"/>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本次招标鼓励投标人积极响应政策号召，充分利用其人才、技术、专业、资源、资金、设备或管理优势，通过技术创新和资源优化，以投标人自愿为原则，助力百千万工程公益性项目。</w:t>
            </w:r>
          </w:p>
          <w:p w14:paraId="3BE075BA">
            <w:pPr>
              <w:keepNext w:val="0"/>
              <w:keepLines w:val="0"/>
              <w:pageBreakBefore w:val="0"/>
              <w:widowControl w:val="0"/>
              <w:suppressLineNumbers w:val="0"/>
              <w:kinsoku/>
              <w:wordWrap w:val="0"/>
              <w:overflowPunct/>
              <w:topLinePunct w:val="0"/>
              <w:autoSpaceDE/>
              <w:autoSpaceDN/>
              <w:bidi w:val="0"/>
              <w:adjustRightInd/>
              <w:snapToGrid/>
              <w:spacing w:line="400" w:lineRule="exact"/>
              <w:ind w:left="105" w:leftChars="50" w:right="105" w:rightChars="50" w:firstLine="420" w:firstLineChars="200"/>
              <w:jc w:val="left"/>
              <w:textAlignment w:val="auto"/>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投标人按招标文件格式格式十四要求提供《助力项目承诺书》。</w:t>
            </w:r>
          </w:p>
        </w:tc>
      </w:tr>
      <w:tr w14:paraId="2AAF5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3" w:hRule="atLeast"/>
        </w:trPr>
        <w:tc>
          <w:tcPr>
            <w:tcW w:w="582" w:type="dxa"/>
            <w:vAlign w:val="center"/>
          </w:tcPr>
          <w:p w14:paraId="0FDB9118">
            <w:pPr>
              <w:pageBreakBefore w:val="0"/>
              <w:kinsoku/>
              <w:wordWrap w:val="0"/>
              <w:overflowPunct/>
              <w:topLinePunct w:val="0"/>
              <w:bidi w:val="0"/>
              <w:spacing w:before="57" w:line="195"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37</w:t>
            </w:r>
          </w:p>
        </w:tc>
        <w:tc>
          <w:tcPr>
            <w:tcW w:w="1860" w:type="dxa"/>
            <w:vAlign w:val="center"/>
          </w:tcPr>
          <w:p w14:paraId="482E59B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招标文件要求提交的用于评审的证书、证件、证明原件</w:t>
            </w:r>
          </w:p>
        </w:tc>
        <w:tc>
          <w:tcPr>
            <w:tcW w:w="7544" w:type="dxa"/>
            <w:vAlign w:val="top"/>
          </w:tcPr>
          <w:p w14:paraId="3BA7D70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投标人在提交用于评审的证书、证件、证明原件的，投标人应自行将所需原件密封于文件袋（箱）中，并自行准备两张“原件一览表 ” (详见格式十</w:t>
            </w:r>
            <w:r>
              <w:rPr>
                <w:rFonts w:hint="eastAsia" w:asciiTheme="minorEastAsia" w:hAnsiTheme="minorEastAsia" w:eastAsiaTheme="minorEastAsia" w:cstheme="minorEastAsia"/>
                <w:snapToGrid w:val="0"/>
                <w:color w:val="auto"/>
                <w:kern w:val="0"/>
                <w:sz w:val="21"/>
                <w:szCs w:val="21"/>
                <w:highlight w:val="none"/>
                <w:lang w:val="en-US" w:eastAsia="zh-CN"/>
              </w:rPr>
              <w:t>三</w:t>
            </w:r>
            <w:r>
              <w:rPr>
                <w:rFonts w:hint="eastAsia" w:asciiTheme="minorEastAsia" w:hAnsiTheme="minorEastAsia" w:eastAsiaTheme="minorEastAsia" w:cstheme="minorEastAsia"/>
                <w:snapToGrid w:val="0"/>
                <w:color w:val="auto"/>
                <w:kern w:val="0"/>
                <w:sz w:val="21"/>
                <w:szCs w:val="21"/>
                <w:highlight w:val="none"/>
                <w:lang w:eastAsia="zh-CN"/>
              </w:rPr>
              <w:t>，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3EBD5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932BDBC">
            <w:pPr>
              <w:pageBreakBefore w:val="0"/>
              <w:kinsoku/>
              <w:wordWrap w:val="0"/>
              <w:overflowPunct/>
              <w:topLinePunct w:val="0"/>
              <w:bidi w:val="0"/>
              <w:spacing w:before="69" w:line="188" w:lineRule="auto"/>
              <w:ind w:left="209"/>
              <w:rPr>
                <w:rFonts w:hint="eastAsia" w:asciiTheme="minorEastAsia" w:hAnsiTheme="minorEastAsia" w:eastAsiaTheme="minorEastAsia" w:cstheme="minorEastAsia"/>
                <w:color w:val="auto"/>
                <w:spacing w:val="-5"/>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lang w:eastAsia="zh-CN"/>
              </w:rPr>
              <w:t>3</w:t>
            </w:r>
            <w:r>
              <w:rPr>
                <w:rFonts w:hint="eastAsia" w:asciiTheme="minorEastAsia" w:hAnsiTheme="minorEastAsia" w:eastAsiaTheme="minorEastAsia" w:cstheme="minorEastAsia"/>
                <w:color w:val="auto"/>
                <w:spacing w:val="-5"/>
                <w:sz w:val="21"/>
                <w:szCs w:val="21"/>
                <w:highlight w:val="none"/>
                <w:lang w:val="en-US" w:eastAsia="zh-CN"/>
              </w:rPr>
              <w:t>8</w:t>
            </w:r>
          </w:p>
        </w:tc>
        <w:tc>
          <w:tcPr>
            <w:tcW w:w="1860" w:type="dxa"/>
            <w:vAlign w:val="center"/>
          </w:tcPr>
          <w:p w14:paraId="7474D5D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招标代理费和评标专家酬劳</w:t>
            </w:r>
          </w:p>
        </w:tc>
        <w:tc>
          <w:tcPr>
            <w:tcW w:w="7544" w:type="dxa"/>
            <w:vAlign w:val="center"/>
          </w:tcPr>
          <w:p w14:paraId="6109F0E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本工程的招标代理费和评标专家酬劳由中标人支付，该费用不再另行报价，由投标人在投标报价时综合考虑在内。中标人须向招标代理机构一次性支付（招标代理服务费：根据《招标代理服务收费管理暂行办法》（计价格[2002]1980号）计算招标代理服务费用。</w:t>
            </w:r>
          </w:p>
        </w:tc>
      </w:tr>
      <w:tr w14:paraId="022B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9" w:hRule="atLeast"/>
        </w:trPr>
        <w:tc>
          <w:tcPr>
            <w:tcW w:w="582" w:type="dxa"/>
            <w:vAlign w:val="center"/>
          </w:tcPr>
          <w:p w14:paraId="2E1FF47D">
            <w:pPr>
              <w:pageBreakBefore w:val="0"/>
              <w:kinsoku/>
              <w:wordWrap w:val="0"/>
              <w:overflowPunct/>
              <w:topLinePunct w:val="0"/>
              <w:bidi w:val="0"/>
              <w:spacing w:before="69" w:line="188"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rPr>
              <w:t>3</w:t>
            </w:r>
            <w:r>
              <w:rPr>
                <w:rFonts w:hint="eastAsia" w:asciiTheme="minorEastAsia" w:hAnsiTheme="minorEastAsia" w:eastAsiaTheme="minorEastAsia" w:cstheme="minorEastAsia"/>
                <w:color w:val="auto"/>
                <w:spacing w:val="-5"/>
                <w:sz w:val="21"/>
                <w:szCs w:val="21"/>
                <w:highlight w:val="none"/>
                <w:lang w:val="en-US" w:eastAsia="zh-CN"/>
              </w:rPr>
              <w:t>9</w:t>
            </w:r>
          </w:p>
        </w:tc>
        <w:tc>
          <w:tcPr>
            <w:tcW w:w="1860" w:type="dxa"/>
            <w:vAlign w:val="center"/>
          </w:tcPr>
          <w:p w14:paraId="286FFCC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w:t>
            </w:r>
          </w:p>
          <w:p w14:paraId="55BB209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544" w:type="dxa"/>
            <w:vAlign w:val="center"/>
          </w:tcPr>
          <w:p w14:paraId="05D7D285">
            <w:pPr>
              <w:pageBreakBefore w:val="0"/>
              <w:kinsoku/>
              <w:wordWrap w:val="0"/>
              <w:overflowPunct/>
              <w:topLinePunct w:val="0"/>
              <w:bidi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单位名称：</w:t>
            </w:r>
            <w:r>
              <w:rPr>
                <w:rFonts w:hint="eastAsia" w:asciiTheme="minorEastAsia" w:hAnsiTheme="minorEastAsia" w:eastAsiaTheme="minorEastAsia" w:cstheme="minorEastAsia"/>
                <w:snapToGrid w:val="0"/>
                <w:color w:val="auto"/>
                <w:kern w:val="0"/>
                <w:sz w:val="21"/>
                <w:szCs w:val="21"/>
                <w:highlight w:val="none"/>
                <w:lang w:eastAsia="zh-CN"/>
              </w:rPr>
              <w:t>南雄市水利建设工程建设管理中心</w:t>
            </w:r>
          </w:p>
          <w:p w14:paraId="114E3D57">
            <w:pPr>
              <w:pageBreakBefore w:val="0"/>
              <w:kinsoku/>
              <w:wordWrap w:val="0"/>
              <w:overflowPunct/>
              <w:topLinePunct w:val="0"/>
              <w:bidi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办公地址：</w:t>
            </w:r>
            <w:r>
              <w:rPr>
                <w:rFonts w:hint="eastAsia" w:ascii="宋体" w:hAnsi="宋体" w:cs="宋体"/>
                <w:color w:val="auto"/>
                <w:kern w:val="0"/>
                <w:sz w:val="21"/>
                <w:szCs w:val="21"/>
                <w:highlight w:val="none"/>
                <w:lang w:bidi="ar"/>
              </w:rPr>
              <w:t>南雄市金叶大道中281号</w:t>
            </w:r>
          </w:p>
          <w:p w14:paraId="485A58E9">
            <w:pPr>
              <w:pageBreakBefore w:val="0"/>
              <w:kinsoku/>
              <w:wordWrap w:val="0"/>
              <w:overflowPunct/>
              <w:topLinePunct w:val="0"/>
              <w:bidi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联系人（部门）：</w:t>
            </w:r>
            <w:r>
              <w:rPr>
                <w:rFonts w:hint="eastAsia" w:ascii="宋体" w:hAnsi="宋体" w:eastAsia="宋体" w:cs="宋体"/>
                <w:i w:val="0"/>
                <w:color w:val="auto"/>
                <w:sz w:val="21"/>
                <w:szCs w:val="21"/>
                <w:highlight w:val="none"/>
                <w:u w:val="none"/>
                <w:lang w:val="en-US" w:eastAsia="zh-CN"/>
              </w:rPr>
              <w:t>江工</w:t>
            </w:r>
          </w:p>
          <w:p w14:paraId="1EB1645E">
            <w:pPr>
              <w:pageBreakBefore w:val="0"/>
              <w:kinsoku/>
              <w:wordWrap w:val="0"/>
              <w:overflowPunct/>
              <w:topLinePunct w:val="0"/>
              <w:bidi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联系电话：</w:t>
            </w:r>
            <w:r>
              <w:rPr>
                <w:rFonts w:hint="eastAsia" w:ascii="宋体" w:hAnsi="宋体" w:cs="宋体"/>
                <w:color w:val="auto"/>
                <w:kern w:val="0"/>
                <w:sz w:val="21"/>
                <w:szCs w:val="21"/>
                <w:highlight w:val="none"/>
                <w:lang w:eastAsia="zh-CN" w:bidi="ar"/>
              </w:rPr>
              <w:t>0751-692918</w:t>
            </w:r>
            <w:r>
              <w:rPr>
                <w:rFonts w:hint="eastAsia" w:ascii="宋体" w:hAnsi="宋体" w:cs="宋体"/>
                <w:color w:val="auto"/>
                <w:kern w:val="0"/>
                <w:sz w:val="21"/>
                <w:szCs w:val="21"/>
                <w:highlight w:val="none"/>
                <w:lang w:val="en-US" w:eastAsia="zh-CN" w:bidi="ar"/>
              </w:rPr>
              <w:t>2</w:t>
            </w:r>
          </w:p>
        </w:tc>
      </w:tr>
      <w:tr w14:paraId="7BAD7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3" w:hRule="atLeast"/>
        </w:trPr>
        <w:tc>
          <w:tcPr>
            <w:tcW w:w="582" w:type="dxa"/>
            <w:vAlign w:val="center"/>
          </w:tcPr>
          <w:p w14:paraId="108C8FDE">
            <w:pPr>
              <w:pageBreakBefore w:val="0"/>
              <w:kinsoku/>
              <w:wordWrap w:val="0"/>
              <w:overflowPunct/>
              <w:topLinePunct w:val="0"/>
              <w:bidi w:val="0"/>
              <w:spacing w:before="69" w:line="188" w:lineRule="auto"/>
              <w:jc w:val="center"/>
              <w:rPr>
                <w:rFonts w:hint="eastAsia"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40</w:t>
            </w:r>
          </w:p>
        </w:tc>
        <w:tc>
          <w:tcPr>
            <w:tcW w:w="1860" w:type="dxa"/>
            <w:vAlign w:val="center"/>
          </w:tcPr>
          <w:p w14:paraId="4E976BA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招标代理机构</w:t>
            </w:r>
          </w:p>
          <w:p w14:paraId="5B263A67">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544" w:type="dxa"/>
            <w:vAlign w:val="center"/>
          </w:tcPr>
          <w:p w14:paraId="6B19B0A9">
            <w:pPr>
              <w:pageBreakBefore w:val="0"/>
              <w:kinsoku/>
              <w:wordWrap w:val="0"/>
              <w:overflowPunct/>
              <w:topLinePunct w:val="0"/>
              <w:bidi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单位名称：</w:t>
            </w:r>
            <w:r>
              <w:rPr>
                <w:rFonts w:hint="eastAsia" w:asciiTheme="minorEastAsia" w:hAnsiTheme="minorEastAsia" w:eastAsiaTheme="minorEastAsia" w:cstheme="minorEastAsia"/>
                <w:snapToGrid w:val="0"/>
                <w:color w:val="auto"/>
                <w:kern w:val="0"/>
                <w:sz w:val="21"/>
                <w:szCs w:val="21"/>
                <w:highlight w:val="none"/>
                <w:lang w:eastAsia="zh-CN"/>
              </w:rPr>
              <w:t>韶关市中利工程咨询有限公司</w:t>
            </w:r>
          </w:p>
          <w:p w14:paraId="453D0A92">
            <w:pPr>
              <w:pageBreakBefore w:val="0"/>
              <w:kinsoku/>
              <w:wordWrap w:val="0"/>
              <w:overflowPunct/>
              <w:topLinePunct w:val="0"/>
              <w:bidi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办公地址：韶关市武江区沐阳东路12号卓越雅苑5幢301</w:t>
            </w:r>
          </w:p>
          <w:p w14:paraId="24F24829">
            <w:pPr>
              <w:pageBreakBefore w:val="0"/>
              <w:kinsoku/>
              <w:wordWrap w:val="0"/>
              <w:overflowPunct/>
              <w:topLinePunct w:val="0"/>
              <w:bidi w:val="0"/>
              <w:adjustRightInd w:val="0"/>
              <w:snapToGrid w:val="0"/>
              <w:spacing w:line="360" w:lineRule="exact"/>
              <w:ind w:firstLine="210" w:firstLineChars="100"/>
              <w:jc w:val="left"/>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项目负责人：</w:t>
            </w:r>
            <w:r>
              <w:rPr>
                <w:rFonts w:hint="eastAsia" w:asciiTheme="minorEastAsia" w:hAnsiTheme="minorEastAsia" w:eastAsiaTheme="minorEastAsia" w:cstheme="minorEastAsia"/>
                <w:snapToGrid w:val="0"/>
                <w:color w:val="auto"/>
                <w:kern w:val="0"/>
                <w:sz w:val="21"/>
                <w:szCs w:val="21"/>
                <w:highlight w:val="none"/>
                <w:lang w:val="en-US" w:eastAsia="zh-CN"/>
              </w:rPr>
              <w:t>林徽</w:t>
            </w:r>
          </w:p>
          <w:p w14:paraId="6A976851">
            <w:pPr>
              <w:pageBreakBefore w:val="0"/>
              <w:kinsoku/>
              <w:wordWrap w:val="0"/>
              <w:overflowPunct/>
              <w:topLinePunct w:val="0"/>
              <w:bidi w:val="0"/>
              <w:adjustRightInd w:val="0"/>
              <w:snapToGrid w:val="0"/>
              <w:spacing w:line="360" w:lineRule="exact"/>
              <w:ind w:firstLine="210" w:firstLineChars="100"/>
              <w:jc w:val="left"/>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经办人：</w:t>
            </w:r>
            <w:r>
              <w:rPr>
                <w:rFonts w:hint="eastAsia" w:asciiTheme="minorEastAsia" w:hAnsiTheme="minorEastAsia" w:eastAsiaTheme="minorEastAsia" w:cstheme="minorEastAsia"/>
                <w:snapToGrid w:val="0"/>
                <w:color w:val="auto"/>
                <w:kern w:val="0"/>
                <w:sz w:val="21"/>
                <w:szCs w:val="21"/>
                <w:highlight w:val="none"/>
                <w:lang w:val="en-US" w:eastAsia="zh-CN"/>
              </w:rPr>
              <w:t>文英</w:t>
            </w:r>
          </w:p>
          <w:p w14:paraId="46941BE8">
            <w:pPr>
              <w:pageBreakBefore w:val="0"/>
              <w:kinsoku/>
              <w:wordWrap w:val="0"/>
              <w:overflowPunct/>
              <w:topLinePunct w:val="0"/>
              <w:bidi w:val="0"/>
              <w:adjustRightInd w:val="0"/>
              <w:snapToGrid w:val="0"/>
              <w:spacing w:line="360" w:lineRule="exact"/>
              <w:ind w:firstLine="210" w:firstLineChars="100"/>
              <w:jc w:val="left"/>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电    话：</w:t>
            </w:r>
            <w:r>
              <w:rPr>
                <w:rFonts w:hint="eastAsia" w:asciiTheme="minorEastAsia" w:hAnsiTheme="minorEastAsia" w:eastAsiaTheme="minorEastAsia" w:cstheme="minorEastAsia"/>
                <w:snapToGrid w:val="0"/>
                <w:color w:val="auto"/>
                <w:kern w:val="0"/>
                <w:sz w:val="21"/>
                <w:szCs w:val="21"/>
                <w:highlight w:val="none"/>
                <w:lang w:val="en-US" w:eastAsia="zh-CN"/>
              </w:rPr>
              <w:t>0751-8767033</w:t>
            </w:r>
          </w:p>
        </w:tc>
      </w:tr>
      <w:tr w14:paraId="53A84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2" w:hRule="atLeast"/>
        </w:trPr>
        <w:tc>
          <w:tcPr>
            <w:tcW w:w="582" w:type="dxa"/>
            <w:vAlign w:val="center"/>
          </w:tcPr>
          <w:p w14:paraId="4913773C">
            <w:pPr>
              <w:pageBreakBefore w:val="0"/>
              <w:kinsoku/>
              <w:wordWrap w:val="0"/>
              <w:overflowPunct/>
              <w:topLinePunct w:val="0"/>
              <w:bidi w:val="0"/>
              <w:spacing w:before="69" w:line="188" w:lineRule="auto"/>
              <w:jc w:val="center"/>
              <w:rPr>
                <w:rFonts w:hint="eastAsia"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41</w:t>
            </w:r>
          </w:p>
        </w:tc>
        <w:tc>
          <w:tcPr>
            <w:tcW w:w="1860" w:type="dxa"/>
            <w:vAlign w:val="center"/>
          </w:tcPr>
          <w:p w14:paraId="02AF1AD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交易场所联系方式</w:t>
            </w:r>
          </w:p>
        </w:tc>
        <w:tc>
          <w:tcPr>
            <w:tcW w:w="7544" w:type="dxa"/>
            <w:vAlign w:val="center"/>
          </w:tcPr>
          <w:p w14:paraId="33419FC8">
            <w:pPr>
              <w:pageBreakBefore w:val="0"/>
              <w:kinsoku/>
              <w:wordWrap w:val="0"/>
              <w:overflowPunct/>
              <w:topLinePunct w:val="0"/>
              <w:bidi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单位名称：韶关市公共资源交易中心</w:t>
            </w:r>
          </w:p>
          <w:p w14:paraId="4B1651EB">
            <w:pPr>
              <w:pageBreakBefore w:val="0"/>
              <w:kinsoku/>
              <w:wordWrap w:val="0"/>
              <w:overflowPunct/>
              <w:topLinePunct w:val="0"/>
              <w:bidi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办公地址：韶关市公共资源交易中心南雄分中心（南雄市雄东路1号大润发四楼）南雄市公共服务中心内</w:t>
            </w:r>
          </w:p>
          <w:p w14:paraId="01CF0377">
            <w:pPr>
              <w:pageBreakBefore w:val="0"/>
              <w:kinsoku/>
              <w:wordWrap w:val="0"/>
              <w:overflowPunct/>
              <w:topLinePunct w:val="0"/>
              <w:bidi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联系人（部门）：工程交易部</w:t>
            </w:r>
          </w:p>
          <w:p w14:paraId="6703771F">
            <w:pPr>
              <w:pageBreakBefore w:val="0"/>
              <w:kinsoku/>
              <w:wordWrap w:val="0"/>
              <w:overflowPunct/>
              <w:topLinePunct w:val="0"/>
              <w:bidi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联系电话：0751-3860729</w:t>
            </w:r>
          </w:p>
        </w:tc>
      </w:tr>
      <w:tr w14:paraId="55AFC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0" w:hRule="atLeast"/>
        </w:trPr>
        <w:tc>
          <w:tcPr>
            <w:tcW w:w="582" w:type="dxa"/>
            <w:vAlign w:val="center"/>
          </w:tcPr>
          <w:p w14:paraId="09465065">
            <w:pPr>
              <w:pageBreakBefore w:val="0"/>
              <w:kinsoku/>
              <w:wordWrap w:val="0"/>
              <w:overflowPunct/>
              <w:topLinePunct w:val="0"/>
              <w:bidi w:val="0"/>
              <w:spacing w:before="69" w:line="188" w:lineRule="auto"/>
              <w:jc w:val="center"/>
              <w:rPr>
                <w:rFonts w:hint="eastAsia"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42</w:t>
            </w:r>
          </w:p>
        </w:tc>
        <w:tc>
          <w:tcPr>
            <w:tcW w:w="1860" w:type="dxa"/>
            <w:vAlign w:val="center"/>
          </w:tcPr>
          <w:p w14:paraId="1196A253">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行政监督部</w:t>
            </w:r>
          </w:p>
          <w:p w14:paraId="700C1DB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门联系方式</w:t>
            </w:r>
          </w:p>
        </w:tc>
        <w:tc>
          <w:tcPr>
            <w:tcW w:w="7544" w:type="dxa"/>
            <w:vAlign w:val="center"/>
          </w:tcPr>
          <w:p w14:paraId="2E438F80">
            <w:pPr>
              <w:pageBreakBefore w:val="0"/>
              <w:kinsoku/>
              <w:wordWrap w:val="0"/>
              <w:overflowPunct/>
              <w:topLinePunct w:val="0"/>
              <w:bidi w:val="0"/>
              <w:adjustRightInd w:val="0"/>
              <w:snapToGrid w:val="0"/>
              <w:spacing w:line="360" w:lineRule="exact"/>
              <w:ind w:firstLine="239"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单位名称：南雄市水务局</w:t>
            </w:r>
          </w:p>
          <w:p w14:paraId="7A8BD2E8">
            <w:pPr>
              <w:pageBreakBefore w:val="0"/>
              <w:kinsoku/>
              <w:wordWrap w:val="0"/>
              <w:overflowPunct/>
              <w:topLinePunct w:val="0"/>
              <w:bidi w:val="0"/>
              <w:adjustRightInd w:val="0"/>
              <w:snapToGrid w:val="0"/>
              <w:spacing w:line="360" w:lineRule="exact"/>
              <w:ind w:firstLine="239"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办公地址：南雄市金叶大道中281号</w:t>
            </w:r>
          </w:p>
          <w:p w14:paraId="384570E4">
            <w:pPr>
              <w:pageBreakBefore w:val="0"/>
              <w:kinsoku/>
              <w:wordWrap w:val="0"/>
              <w:overflowPunct/>
              <w:topLinePunct w:val="0"/>
              <w:bidi w:val="0"/>
              <w:adjustRightInd w:val="0"/>
              <w:snapToGrid w:val="0"/>
              <w:spacing w:line="360" w:lineRule="exact"/>
              <w:ind w:firstLine="239" w:firstLineChars="114"/>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联系人（部门）：</w:t>
            </w:r>
            <w:r>
              <w:rPr>
                <w:rFonts w:hint="eastAsia" w:asciiTheme="minorEastAsia" w:hAnsiTheme="minorEastAsia" w:eastAsiaTheme="minorEastAsia" w:cstheme="minorEastAsia"/>
                <w:snapToGrid w:val="0"/>
                <w:color w:val="auto"/>
                <w:kern w:val="0"/>
                <w:sz w:val="21"/>
                <w:szCs w:val="21"/>
                <w:highlight w:val="none"/>
                <w:lang w:val="en-US" w:eastAsia="zh-CN"/>
              </w:rPr>
              <w:t>甘工</w:t>
            </w:r>
          </w:p>
          <w:p w14:paraId="69C5EF06">
            <w:pPr>
              <w:pageBreakBefore w:val="0"/>
              <w:kinsoku/>
              <w:wordWrap w:val="0"/>
              <w:overflowPunct/>
              <w:topLinePunct w:val="0"/>
              <w:bidi w:val="0"/>
              <w:adjustRightInd w:val="0"/>
              <w:snapToGrid w:val="0"/>
              <w:spacing w:line="360" w:lineRule="exact"/>
              <w:ind w:firstLine="239"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联系电话：0751-6929190</w:t>
            </w:r>
          </w:p>
        </w:tc>
      </w:tr>
      <w:tr w14:paraId="4F785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330C0299">
            <w:pPr>
              <w:pageBreakBefore w:val="0"/>
              <w:kinsoku/>
              <w:wordWrap w:val="0"/>
              <w:overflowPunct/>
              <w:topLinePunct w:val="0"/>
              <w:bidi w:val="0"/>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43</w:t>
            </w:r>
          </w:p>
        </w:tc>
        <w:tc>
          <w:tcPr>
            <w:tcW w:w="1860" w:type="dxa"/>
            <w:vAlign w:val="center"/>
          </w:tcPr>
          <w:p w14:paraId="7C32F25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olor w:val="auto"/>
                <w:spacing w:val="2"/>
                <w:kern w:val="0"/>
                <w:sz w:val="21"/>
                <w:szCs w:val="21"/>
                <w:highlight w:val="none"/>
              </w:rPr>
              <w:t>招标监督小组</w:t>
            </w:r>
          </w:p>
        </w:tc>
        <w:tc>
          <w:tcPr>
            <w:tcW w:w="7544" w:type="dxa"/>
            <w:vAlign w:val="center"/>
          </w:tcPr>
          <w:p w14:paraId="3A006940">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组成：</w:t>
            </w:r>
            <w:r>
              <w:rPr>
                <w:rFonts w:hint="eastAsia" w:ascii="宋体" w:hAnsi="宋体" w:eastAsia="宋体" w:cs="宋体"/>
                <w:color w:val="auto"/>
                <w:sz w:val="21"/>
                <w:szCs w:val="21"/>
                <w:highlight w:val="none"/>
              </w:rPr>
              <w:t>招标监督小组由</w:t>
            </w:r>
            <w:r>
              <w:rPr>
                <w:rFonts w:hint="eastAsia" w:ascii="宋体" w:hAnsi="宋体" w:eastAsia="宋体" w:cs="宋体"/>
                <w:color w:val="auto"/>
                <w:sz w:val="21"/>
                <w:szCs w:val="21"/>
                <w:highlight w:val="none"/>
                <w:u w:val="single"/>
                <w:lang w:val="en-US" w:eastAsia="zh-CN"/>
              </w:rPr>
              <w:t xml:space="preserve"> 3 </w:t>
            </w:r>
            <w:r>
              <w:rPr>
                <w:rFonts w:hint="eastAsia" w:ascii="宋体" w:hAnsi="宋体" w:eastAsia="宋体" w:cs="宋体"/>
                <w:color w:val="auto"/>
                <w:sz w:val="21"/>
                <w:szCs w:val="21"/>
                <w:highlight w:val="none"/>
              </w:rPr>
              <w:t>人组成</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人员由招标人、招标人的上级主管单位委派</w:t>
            </w:r>
            <w:r>
              <w:rPr>
                <w:rFonts w:hint="eastAsia" w:ascii="宋体" w:hAnsi="宋体" w:eastAsia="宋体" w:cs="宋体"/>
                <w:color w:val="auto"/>
                <w:sz w:val="21"/>
                <w:szCs w:val="21"/>
                <w:highlight w:val="none"/>
                <w:lang w:eastAsia="zh-CN"/>
              </w:rPr>
              <w:t>。</w:t>
            </w:r>
          </w:p>
          <w:p w14:paraId="3D7FB9B9">
            <w:pPr>
              <w:pageBreakBefore w:val="0"/>
              <w:kinsoku/>
              <w:wordWrap w:val="0"/>
              <w:overflowPunct/>
              <w:topLinePunct w:val="0"/>
              <w:bidi w:val="0"/>
              <w:adjustRightInd w:val="0"/>
              <w:snapToGrid w:val="0"/>
              <w:spacing w:line="360" w:lineRule="exact"/>
              <w:ind w:firstLine="239" w:firstLineChars="114"/>
              <w:jc w:val="left"/>
              <w:rPr>
                <w:rFonts w:hint="eastAsia" w:asciiTheme="minorEastAsia" w:hAnsiTheme="minorEastAsia" w:eastAsiaTheme="minorEastAsia" w:cstheme="minorEastAsia"/>
                <w:color w:val="auto"/>
                <w:kern w:val="0"/>
                <w:sz w:val="21"/>
                <w:szCs w:val="21"/>
                <w:highlight w:val="none"/>
                <w:lang w:val="en-US" w:eastAsia="zh-CN"/>
              </w:rPr>
            </w:pPr>
            <w:r>
              <w:rPr>
                <w:rFonts w:hint="eastAsia" w:ascii="宋体" w:hAnsi="宋体" w:eastAsia="宋体" w:cs="宋体"/>
                <w:color w:val="auto"/>
                <w:sz w:val="21"/>
                <w:szCs w:val="21"/>
                <w:highlight w:val="none"/>
                <w:lang w:val="en-US" w:eastAsia="zh-CN"/>
              </w:rPr>
              <w:t>职责：对定标委员会的组建、定标过程及招标人在定标前的清标环节（如有）和对定标候选人的考察（如有）等进行全程监督</w:t>
            </w:r>
            <w:r>
              <w:rPr>
                <w:rFonts w:hint="eastAsia" w:ascii="宋体" w:hAnsi="宋体" w:eastAsia="宋体" w:cs="宋体"/>
                <w:color w:val="auto"/>
                <w:sz w:val="21"/>
                <w:szCs w:val="21"/>
                <w:highlight w:val="none"/>
                <w:lang w:eastAsia="zh-CN"/>
              </w:rPr>
              <w:t>，确保定标过程公正、公平。发现异常情况及时提醒、进行纠正，但不得就定标涉及的实质内容发表意见或者参与定标讨论。</w:t>
            </w:r>
          </w:p>
        </w:tc>
      </w:tr>
    </w:tbl>
    <w:p w14:paraId="353554BF">
      <w:pPr>
        <w:pageBreakBefore w:val="0"/>
        <w:kinsoku/>
        <w:wordWrap w:val="0"/>
        <w:overflowPunct/>
        <w:topLinePunct w:val="0"/>
        <w:bidi w:val="0"/>
        <w:rPr>
          <w:rFonts w:hint="eastAsia" w:ascii="宋体" w:hAnsi="宋体" w:eastAsia="宋体" w:cs="宋体"/>
          <w:b/>
          <w:bCs/>
          <w:color w:val="auto"/>
          <w:spacing w:val="-3"/>
          <w:sz w:val="24"/>
          <w:szCs w:val="24"/>
          <w:highlight w:val="none"/>
        </w:rPr>
      </w:pPr>
      <w:bookmarkStart w:id="5" w:name="bookmark115"/>
      <w:bookmarkEnd w:id="5"/>
      <w:r>
        <w:rPr>
          <w:rFonts w:hint="eastAsia" w:ascii="宋体" w:hAnsi="宋体" w:eastAsia="宋体" w:cs="宋体"/>
          <w:b/>
          <w:bCs/>
          <w:color w:val="auto"/>
          <w:spacing w:val="-3"/>
          <w:sz w:val="24"/>
          <w:szCs w:val="24"/>
          <w:highlight w:val="none"/>
        </w:rPr>
        <w:br w:type="page"/>
      </w:r>
    </w:p>
    <w:p w14:paraId="137B8A1A">
      <w:pPr>
        <w:pageBreakBefore w:val="0"/>
        <w:kinsoku/>
        <w:wordWrap w:val="0"/>
        <w:overflowPunct/>
        <w:topLinePunct w:val="0"/>
        <w:bidi w:val="0"/>
        <w:spacing w:before="156" w:line="219" w:lineRule="auto"/>
        <w:ind w:left="17"/>
        <w:jc w:val="left"/>
        <w:outlineLvl w:val="1"/>
        <w:rPr>
          <w:rFonts w:hint="eastAsia" w:ascii="宋体" w:hAnsi="宋体" w:eastAsia="宋体" w:cs="宋体"/>
          <w:color w:val="auto"/>
          <w:highlight w:val="none"/>
        </w:rPr>
      </w:pPr>
      <w:bookmarkStart w:id="6" w:name="_Toc11043"/>
      <w:r>
        <w:rPr>
          <w:rFonts w:hint="eastAsia" w:ascii="宋体" w:hAnsi="宋体" w:eastAsia="宋体" w:cs="宋体"/>
          <w:b/>
          <w:bCs/>
          <w:color w:val="auto"/>
          <w:spacing w:val="-3"/>
          <w:sz w:val="24"/>
          <w:szCs w:val="24"/>
          <w:highlight w:val="none"/>
        </w:rPr>
        <w:t>第二节 重要事项时间地点一览表</w:t>
      </w:r>
      <w:bookmarkEnd w:id="6"/>
    </w:p>
    <w:p w14:paraId="1F33EA19">
      <w:pPr>
        <w:pStyle w:val="3"/>
        <w:pageBreakBefore w:val="0"/>
        <w:kinsoku/>
        <w:wordWrap w:val="0"/>
        <w:overflowPunct/>
        <w:topLinePunct w:val="0"/>
        <w:bidi w:val="0"/>
        <w:rPr>
          <w:rFonts w:hint="eastAsia" w:ascii="宋体" w:hAnsi="宋体" w:eastAsia="宋体" w:cs="宋体"/>
          <w:color w:val="auto"/>
          <w:highlight w:val="none"/>
        </w:rPr>
      </w:pPr>
    </w:p>
    <w:tbl>
      <w:tblPr>
        <w:tblStyle w:val="14"/>
        <w:tblW w:w="5101"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48"/>
        <w:gridCol w:w="1617"/>
        <w:gridCol w:w="7888"/>
      </w:tblGrid>
      <w:tr w14:paraId="1E44CD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27" w:hRule="exact"/>
        </w:trPr>
        <w:tc>
          <w:tcPr>
            <w:tcW w:w="225" w:type="pct"/>
            <w:tcBorders>
              <w:top w:val="single" w:color="080000" w:sz="4" w:space="0"/>
              <w:left w:val="single" w:color="080000" w:sz="4" w:space="0"/>
              <w:bottom w:val="single" w:color="080000" w:sz="4" w:space="0"/>
              <w:right w:val="single" w:color="080000" w:sz="4" w:space="0"/>
            </w:tcBorders>
            <w:noWrap w:val="0"/>
            <w:vAlign w:val="center"/>
          </w:tcPr>
          <w:p w14:paraId="4C38F692">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w:t>
            </w:r>
          </w:p>
        </w:tc>
        <w:tc>
          <w:tcPr>
            <w:tcW w:w="812" w:type="pct"/>
            <w:tcBorders>
              <w:top w:val="single" w:color="080000" w:sz="4" w:space="0"/>
              <w:left w:val="single" w:color="080000" w:sz="4" w:space="0"/>
              <w:bottom w:val="single" w:color="080000" w:sz="4" w:space="0"/>
              <w:right w:val="single" w:color="080000" w:sz="4" w:space="0"/>
            </w:tcBorders>
            <w:noWrap w:val="0"/>
            <w:vAlign w:val="center"/>
          </w:tcPr>
          <w:p w14:paraId="5C5402EE">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招标公告</w:t>
            </w:r>
          </w:p>
          <w:p w14:paraId="725690E8">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发布时间 </w:t>
            </w:r>
          </w:p>
        </w:tc>
        <w:tc>
          <w:tcPr>
            <w:tcW w:w="3962" w:type="pct"/>
            <w:tcBorders>
              <w:top w:val="single" w:color="080000" w:sz="4" w:space="0"/>
              <w:left w:val="single" w:color="080000" w:sz="4" w:space="0"/>
              <w:bottom w:val="single" w:color="080000" w:sz="4" w:space="0"/>
              <w:right w:val="single" w:color="080000" w:sz="4" w:space="0"/>
            </w:tcBorders>
            <w:noWrap w:val="0"/>
            <w:vAlign w:val="center"/>
          </w:tcPr>
          <w:p w14:paraId="0820CA6E">
            <w:pPr>
              <w:pStyle w:val="22"/>
              <w:pageBreakBefore w:val="0"/>
              <w:kinsoku/>
              <w:wordWrap w:val="0"/>
              <w:overflowPunct/>
              <w:topLinePunct w:val="0"/>
              <w:bidi w:val="0"/>
              <w:spacing w:line="400" w:lineRule="exact"/>
              <w:ind w:firstLine="240" w:firstLineChars="100"/>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6</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sz w:val="24"/>
                <w:szCs w:val="24"/>
                <w:highlight w:val="none"/>
                <w:u w:val="single"/>
                <w:lang w:val="en-US" w:eastAsia="zh-CN"/>
              </w:rPr>
              <w:t xml:space="preserve"> 5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8</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rPr>
              <w:t>日</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sz w:val="24"/>
                <w:szCs w:val="24"/>
                <w:highlight w:val="none"/>
                <w:u w:val="single"/>
                <w:lang w:val="en-US" w:eastAsia="zh-CN"/>
              </w:rPr>
              <w:t>17</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rPr>
              <w:t>时</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 xml:space="preserve">00 </w:t>
            </w:r>
            <w:r>
              <w:rPr>
                <w:rFonts w:hint="eastAsia" w:ascii="宋体" w:hAnsi="宋体" w:cs="宋体"/>
                <w:snapToGrid w:val="0"/>
                <w:color w:val="auto"/>
                <w:kern w:val="0"/>
                <w:sz w:val="24"/>
                <w:szCs w:val="24"/>
                <w:highlight w:val="none"/>
              </w:rPr>
              <w:t>分</w:t>
            </w:r>
          </w:p>
        </w:tc>
      </w:tr>
      <w:tr w14:paraId="2F0B00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42" w:hRule="exact"/>
        </w:trPr>
        <w:tc>
          <w:tcPr>
            <w:tcW w:w="225" w:type="pct"/>
            <w:tcBorders>
              <w:top w:val="single" w:color="080000" w:sz="4" w:space="0"/>
              <w:left w:val="single" w:color="080000" w:sz="4" w:space="0"/>
              <w:bottom w:val="single" w:color="080000" w:sz="4" w:space="0"/>
              <w:right w:val="single" w:color="080000" w:sz="4" w:space="0"/>
            </w:tcBorders>
            <w:noWrap w:val="0"/>
            <w:vAlign w:val="center"/>
          </w:tcPr>
          <w:p w14:paraId="1A1044EE">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2</w:t>
            </w:r>
          </w:p>
        </w:tc>
        <w:tc>
          <w:tcPr>
            <w:tcW w:w="812" w:type="pct"/>
            <w:tcBorders>
              <w:top w:val="single" w:color="080000" w:sz="4" w:space="0"/>
              <w:left w:val="single" w:color="080000" w:sz="4" w:space="0"/>
              <w:bottom w:val="single" w:color="080000" w:sz="4" w:space="0"/>
              <w:right w:val="single" w:color="080000" w:sz="4" w:space="0"/>
            </w:tcBorders>
            <w:noWrap w:val="0"/>
            <w:vAlign w:val="center"/>
          </w:tcPr>
          <w:p w14:paraId="0E32C9FE">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获取招标文件</w:t>
            </w:r>
          </w:p>
          <w:p w14:paraId="23D91625">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截止时间 </w:t>
            </w:r>
          </w:p>
        </w:tc>
        <w:tc>
          <w:tcPr>
            <w:tcW w:w="3962" w:type="pct"/>
            <w:tcBorders>
              <w:top w:val="single" w:color="080000" w:sz="4" w:space="0"/>
              <w:left w:val="single" w:color="080000" w:sz="4" w:space="0"/>
              <w:bottom w:val="single" w:color="080000" w:sz="4" w:space="0"/>
              <w:right w:val="single" w:color="080000" w:sz="4" w:space="0"/>
            </w:tcBorders>
            <w:noWrap w:val="0"/>
            <w:vAlign w:val="center"/>
          </w:tcPr>
          <w:p w14:paraId="1C54F190">
            <w:pPr>
              <w:pStyle w:val="22"/>
              <w:pageBreakBefore w:val="0"/>
              <w:kinsoku/>
              <w:wordWrap w:val="0"/>
              <w:overflowPunct/>
              <w:topLinePunct w:val="0"/>
              <w:bidi w:val="0"/>
              <w:adjustRightInd w:val="0"/>
              <w:snapToGrid w:val="0"/>
              <w:spacing w:line="40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rPr>
            </w:pP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6</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sz w:val="24"/>
                <w:szCs w:val="24"/>
                <w:highlight w:val="none"/>
                <w:u w:val="single"/>
                <w:lang w:val="en-US" w:eastAsia="zh-CN"/>
              </w:rPr>
              <w:t xml:space="preserve"> 6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2</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rPr>
              <w:t>日</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sz w:val="24"/>
                <w:szCs w:val="24"/>
                <w:highlight w:val="none"/>
                <w:u w:val="single"/>
                <w:lang w:val="en-US" w:eastAsia="zh-CN"/>
              </w:rPr>
              <w:t>9</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sz w:val="24"/>
                <w:szCs w:val="24"/>
                <w:highlight w:val="none"/>
              </w:rPr>
              <w:t>时</w:t>
            </w:r>
            <w:r>
              <w:rPr>
                <w:rFonts w:hint="eastAsia" w:ascii="宋体" w:hAnsi="宋体" w:cs="宋体"/>
                <w:snapToGrid w:val="0"/>
                <w:color w:val="auto"/>
                <w:sz w:val="24"/>
                <w:szCs w:val="24"/>
                <w:highlight w:val="none"/>
                <w:u w:val="single"/>
                <w:lang w:val="en-US" w:eastAsia="zh-CN"/>
              </w:rPr>
              <w:t xml:space="preserve"> 30 </w:t>
            </w:r>
            <w:r>
              <w:rPr>
                <w:rFonts w:hint="eastAsia" w:ascii="宋体" w:hAnsi="宋体" w:cs="宋体"/>
                <w:snapToGrid w:val="0"/>
                <w:color w:val="auto"/>
                <w:kern w:val="0"/>
                <w:sz w:val="24"/>
                <w:szCs w:val="24"/>
                <w:highlight w:val="none"/>
              </w:rPr>
              <w:t>分</w:t>
            </w:r>
          </w:p>
        </w:tc>
      </w:tr>
      <w:tr w14:paraId="078566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exact"/>
        </w:trPr>
        <w:tc>
          <w:tcPr>
            <w:tcW w:w="225" w:type="pct"/>
            <w:tcBorders>
              <w:top w:val="single" w:color="080000" w:sz="4" w:space="0"/>
              <w:left w:val="single" w:color="080000" w:sz="4" w:space="0"/>
              <w:bottom w:val="single" w:color="080000" w:sz="4" w:space="0"/>
              <w:right w:val="single" w:color="080000" w:sz="4" w:space="0"/>
            </w:tcBorders>
            <w:noWrap w:val="0"/>
            <w:vAlign w:val="center"/>
          </w:tcPr>
          <w:p w14:paraId="38ED34C8">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3</w:t>
            </w:r>
          </w:p>
        </w:tc>
        <w:tc>
          <w:tcPr>
            <w:tcW w:w="812" w:type="pct"/>
            <w:tcBorders>
              <w:top w:val="single" w:color="080000" w:sz="4" w:space="0"/>
              <w:left w:val="single" w:color="080000" w:sz="4" w:space="0"/>
              <w:bottom w:val="single" w:color="080000" w:sz="4" w:space="0"/>
              <w:right w:val="single" w:color="080000" w:sz="4" w:space="0"/>
            </w:tcBorders>
            <w:noWrap w:val="0"/>
            <w:vAlign w:val="center"/>
          </w:tcPr>
          <w:p w14:paraId="513C70EC">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网上提问</w:t>
            </w:r>
          </w:p>
          <w:p w14:paraId="4AC37F99">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截止时间 </w:t>
            </w:r>
          </w:p>
        </w:tc>
        <w:tc>
          <w:tcPr>
            <w:tcW w:w="3962" w:type="pct"/>
            <w:tcBorders>
              <w:top w:val="single" w:color="080000" w:sz="4" w:space="0"/>
              <w:left w:val="single" w:color="080000" w:sz="4" w:space="0"/>
              <w:bottom w:val="single" w:color="080000" w:sz="4" w:space="0"/>
              <w:right w:val="single" w:color="080000" w:sz="4" w:space="0"/>
            </w:tcBorders>
            <w:noWrap w:val="0"/>
            <w:vAlign w:val="center"/>
          </w:tcPr>
          <w:p w14:paraId="7B8D8C14">
            <w:pPr>
              <w:pStyle w:val="22"/>
              <w:pageBreakBefore w:val="0"/>
              <w:kinsoku/>
              <w:wordWrap w:val="0"/>
              <w:overflowPunct/>
              <w:topLinePunct w:val="0"/>
              <w:bidi w:val="0"/>
              <w:adjustRightInd w:val="0"/>
              <w:snapToGrid w:val="0"/>
              <w:spacing w:line="40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rPr>
            </w:pP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6</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sz w:val="24"/>
                <w:szCs w:val="24"/>
                <w:highlight w:val="none"/>
                <w:u w:val="single"/>
                <w:lang w:val="en-US" w:eastAsia="zh-CN"/>
              </w:rPr>
              <w:t xml:space="preserve"> 5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23</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rPr>
              <w:t>日</w:t>
            </w:r>
            <w:r>
              <w:rPr>
                <w:rFonts w:hint="eastAsia" w:ascii="宋体" w:hAnsi="宋体" w:cs="宋体"/>
                <w:snapToGrid w:val="0"/>
                <w:color w:val="auto"/>
                <w:sz w:val="24"/>
                <w:szCs w:val="24"/>
                <w:highlight w:val="none"/>
                <w:u w:val="single"/>
              </w:rPr>
              <w:t xml:space="preserve"> 16 </w:t>
            </w:r>
            <w:r>
              <w:rPr>
                <w:rFonts w:hint="eastAsia" w:ascii="宋体" w:hAnsi="宋体" w:cs="宋体"/>
                <w:snapToGrid w:val="0"/>
                <w:color w:val="auto"/>
                <w:sz w:val="24"/>
                <w:szCs w:val="24"/>
                <w:highlight w:val="none"/>
              </w:rPr>
              <w:t>时</w:t>
            </w:r>
            <w:r>
              <w:rPr>
                <w:rFonts w:hint="eastAsia" w:ascii="宋体" w:hAnsi="宋体" w:cs="宋体"/>
                <w:snapToGrid w:val="0"/>
                <w:color w:val="auto"/>
                <w:sz w:val="24"/>
                <w:szCs w:val="24"/>
                <w:highlight w:val="none"/>
                <w:u w:val="single"/>
              </w:rPr>
              <w:t xml:space="preserve"> 00 </w:t>
            </w:r>
            <w:r>
              <w:rPr>
                <w:rFonts w:hint="eastAsia" w:ascii="宋体" w:hAnsi="宋体" w:cs="宋体"/>
                <w:snapToGrid w:val="0"/>
                <w:color w:val="auto"/>
                <w:sz w:val="24"/>
                <w:szCs w:val="24"/>
                <w:highlight w:val="none"/>
              </w:rPr>
              <w:t>分</w:t>
            </w:r>
          </w:p>
        </w:tc>
      </w:tr>
      <w:tr w14:paraId="3D74E2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7" w:hRule="exact"/>
        </w:trPr>
        <w:tc>
          <w:tcPr>
            <w:tcW w:w="225" w:type="pct"/>
            <w:tcBorders>
              <w:top w:val="single" w:color="080000" w:sz="4" w:space="0"/>
              <w:left w:val="single" w:color="080000" w:sz="4" w:space="0"/>
              <w:bottom w:val="single" w:color="080000" w:sz="4" w:space="0"/>
              <w:right w:val="single" w:color="080000" w:sz="4" w:space="0"/>
            </w:tcBorders>
            <w:noWrap w:val="0"/>
            <w:vAlign w:val="center"/>
          </w:tcPr>
          <w:p w14:paraId="156170B8">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4</w:t>
            </w:r>
          </w:p>
        </w:tc>
        <w:tc>
          <w:tcPr>
            <w:tcW w:w="812" w:type="pct"/>
            <w:tcBorders>
              <w:top w:val="single" w:color="080000" w:sz="4" w:space="0"/>
              <w:left w:val="single" w:color="080000" w:sz="4" w:space="0"/>
              <w:bottom w:val="single" w:color="080000" w:sz="4" w:space="0"/>
              <w:right w:val="single" w:color="080000" w:sz="4" w:space="0"/>
            </w:tcBorders>
            <w:noWrap w:val="0"/>
            <w:vAlign w:val="center"/>
          </w:tcPr>
          <w:p w14:paraId="19025065">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网上答疑</w:t>
            </w:r>
          </w:p>
          <w:p w14:paraId="722BD182">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时间</w:t>
            </w:r>
          </w:p>
        </w:tc>
        <w:tc>
          <w:tcPr>
            <w:tcW w:w="3962" w:type="pct"/>
            <w:tcBorders>
              <w:top w:val="single" w:color="080000" w:sz="4" w:space="0"/>
              <w:left w:val="single" w:color="080000" w:sz="4" w:space="0"/>
              <w:bottom w:val="single" w:color="080000" w:sz="4" w:space="0"/>
              <w:right w:val="single" w:color="080000" w:sz="4" w:space="0"/>
            </w:tcBorders>
            <w:noWrap w:val="0"/>
            <w:vAlign w:val="center"/>
          </w:tcPr>
          <w:p w14:paraId="6B8ACE79">
            <w:pPr>
              <w:pStyle w:val="22"/>
              <w:pageBreakBefore w:val="0"/>
              <w:kinsoku/>
              <w:wordWrap w:val="0"/>
              <w:overflowPunct/>
              <w:topLinePunct w:val="0"/>
              <w:bidi w:val="0"/>
              <w:adjustRightInd w:val="0"/>
              <w:snapToGrid w:val="0"/>
              <w:spacing w:line="40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rPr>
            </w:pP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6</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sz w:val="24"/>
                <w:szCs w:val="24"/>
                <w:highlight w:val="none"/>
                <w:u w:val="single"/>
                <w:lang w:val="en-US" w:eastAsia="zh-CN"/>
              </w:rPr>
              <w:t xml:space="preserve"> 5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23</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rPr>
              <w:t>日</w:t>
            </w:r>
            <w:r>
              <w:rPr>
                <w:rFonts w:hint="eastAsia" w:ascii="宋体" w:hAnsi="宋体" w:cs="宋体"/>
                <w:snapToGrid w:val="0"/>
                <w:color w:val="auto"/>
                <w:sz w:val="24"/>
                <w:szCs w:val="24"/>
                <w:highlight w:val="none"/>
                <w:u w:val="single"/>
              </w:rPr>
              <w:t xml:space="preserve"> 16 </w:t>
            </w:r>
            <w:r>
              <w:rPr>
                <w:rFonts w:hint="eastAsia" w:ascii="宋体" w:hAnsi="宋体" w:cs="宋体"/>
                <w:snapToGrid w:val="0"/>
                <w:color w:val="auto"/>
                <w:sz w:val="24"/>
                <w:szCs w:val="24"/>
                <w:highlight w:val="none"/>
              </w:rPr>
              <w:t>时</w:t>
            </w:r>
            <w:r>
              <w:rPr>
                <w:rFonts w:hint="eastAsia" w:ascii="宋体" w:hAnsi="宋体" w:cs="宋体"/>
                <w:snapToGrid w:val="0"/>
                <w:color w:val="auto"/>
                <w:sz w:val="24"/>
                <w:szCs w:val="24"/>
                <w:highlight w:val="none"/>
                <w:u w:val="single"/>
              </w:rPr>
              <w:t xml:space="preserve"> 30 </w:t>
            </w:r>
            <w:r>
              <w:rPr>
                <w:rFonts w:hint="eastAsia" w:ascii="宋体" w:hAnsi="宋体" w:cs="宋体"/>
                <w:snapToGrid w:val="0"/>
                <w:color w:val="auto"/>
                <w:sz w:val="24"/>
                <w:szCs w:val="24"/>
                <w:highlight w:val="none"/>
              </w:rPr>
              <w:t>分</w:t>
            </w:r>
            <w:r>
              <w:rPr>
                <w:rFonts w:hint="eastAsia" w:ascii="宋体" w:hAnsi="宋体" w:cs="宋体"/>
                <w:snapToGrid w:val="0"/>
                <w:color w:val="auto"/>
                <w:sz w:val="24"/>
                <w:szCs w:val="24"/>
                <w:highlight w:val="none"/>
                <w:lang w:val="en-US" w:eastAsia="zh-CN"/>
              </w:rPr>
              <w:t>至</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6</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sz w:val="24"/>
                <w:szCs w:val="24"/>
                <w:highlight w:val="none"/>
                <w:u w:val="single"/>
                <w:lang w:val="en-US" w:eastAsia="zh-CN"/>
              </w:rPr>
              <w:t xml:space="preserve"> 5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26</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rPr>
              <w:t>日</w:t>
            </w:r>
            <w:r>
              <w:rPr>
                <w:rFonts w:hint="eastAsia" w:ascii="宋体" w:hAnsi="宋体" w:cs="宋体"/>
                <w:snapToGrid w:val="0"/>
                <w:color w:val="auto"/>
                <w:sz w:val="24"/>
                <w:szCs w:val="24"/>
                <w:highlight w:val="none"/>
                <w:u w:val="single"/>
              </w:rPr>
              <w:t xml:space="preserve"> 16 </w:t>
            </w:r>
            <w:r>
              <w:rPr>
                <w:rFonts w:hint="eastAsia" w:ascii="宋体" w:hAnsi="宋体" w:cs="宋体"/>
                <w:snapToGrid w:val="0"/>
                <w:color w:val="auto"/>
                <w:sz w:val="24"/>
                <w:szCs w:val="24"/>
                <w:highlight w:val="none"/>
              </w:rPr>
              <w:t>时</w:t>
            </w:r>
            <w:r>
              <w:rPr>
                <w:rFonts w:hint="eastAsia" w:ascii="宋体" w:hAnsi="宋体" w:cs="宋体"/>
                <w:snapToGrid w:val="0"/>
                <w:color w:val="auto"/>
                <w:sz w:val="24"/>
                <w:szCs w:val="24"/>
                <w:highlight w:val="none"/>
                <w:u w:val="single"/>
              </w:rPr>
              <w:t xml:space="preserve"> 00</w:t>
            </w:r>
            <w:r>
              <w:rPr>
                <w:rFonts w:hint="eastAsia" w:ascii="宋体" w:hAnsi="宋体" w:cs="宋体"/>
                <w:snapToGrid w:val="0"/>
                <w:color w:val="auto"/>
                <w:sz w:val="24"/>
                <w:szCs w:val="24"/>
                <w:highlight w:val="none"/>
              </w:rPr>
              <w:t>分</w:t>
            </w:r>
          </w:p>
        </w:tc>
      </w:tr>
      <w:tr w14:paraId="5B4ABE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225" w:type="pct"/>
            <w:tcBorders>
              <w:top w:val="single" w:color="080000" w:sz="4" w:space="0"/>
              <w:left w:val="single" w:color="080000" w:sz="4" w:space="0"/>
              <w:bottom w:val="single" w:color="080000" w:sz="4" w:space="0"/>
              <w:right w:val="single" w:color="080000" w:sz="4" w:space="0"/>
            </w:tcBorders>
            <w:noWrap w:val="0"/>
            <w:vAlign w:val="center"/>
          </w:tcPr>
          <w:p w14:paraId="679F889B">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5</w:t>
            </w:r>
          </w:p>
        </w:tc>
        <w:tc>
          <w:tcPr>
            <w:tcW w:w="812" w:type="pct"/>
            <w:tcBorders>
              <w:top w:val="single" w:color="080000" w:sz="4" w:space="0"/>
              <w:left w:val="single" w:color="080000" w:sz="4" w:space="0"/>
              <w:bottom w:val="single" w:color="080000" w:sz="4" w:space="0"/>
              <w:right w:val="single" w:color="080000" w:sz="4" w:space="0"/>
            </w:tcBorders>
            <w:noWrap w:val="0"/>
            <w:vAlign w:val="center"/>
          </w:tcPr>
          <w:p w14:paraId="634DA815">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投标保证缴</w:t>
            </w:r>
          </w:p>
          <w:p w14:paraId="40601E3D">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纳截止时间</w:t>
            </w:r>
          </w:p>
        </w:tc>
        <w:tc>
          <w:tcPr>
            <w:tcW w:w="3962" w:type="pct"/>
            <w:tcBorders>
              <w:top w:val="single" w:color="080000" w:sz="4" w:space="0"/>
              <w:left w:val="single" w:color="080000" w:sz="4" w:space="0"/>
              <w:bottom w:val="single" w:color="080000" w:sz="4" w:space="0"/>
              <w:right w:val="single" w:color="080000" w:sz="4" w:space="0"/>
            </w:tcBorders>
            <w:noWrap w:val="0"/>
            <w:vAlign w:val="center"/>
          </w:tcPr>
          <w:p w14:paraId="1A518FC6">
            <w:pPr>
              <w:pageBreakBefore w:val="0"/>
              <w:kinsoku/>
              <w:wordWrap w:val="0"/>
              <w:overflowPunct/>
              <w:topLinePunct w:val="0"/>
              <w:bidi w:val="0"/>
              <w:adjustRightInd w:val="0"/>
              <w:snapToGrid w:val="0"/>
              <w:spacing w:line="400" w:lineRule="exact"/>
              <w:ind w:firstLine="240" w:firstLineChars="100"/>
              <w:rPr>
                <w:rFonts w:hint="eastAsia"/>
                <w:color w:val="auto"/>
                <w:sz w:val="24"/>
                <w:szCs w:val="24"/>
                <w:highlight w:val="none"/>
              </w:rPr>
            </w:pPr>
            <w:r>
              <w:rPr>
                <w:rFonts w:hint="eastAsia"/>
                <w:color w:val="auto"/>
                <w:sz w:val="24"/>
                <w:szCs w:val="24"/>
                <w:highlight w:val="none"/>
              </w:rPr>
              <w:t>投标保证金到账截止时间：</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6</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sz w:val="24"/>
                <w:szCs w:val="24"/>
                <w:highlight w:val="none"/>
                <w:u w:val="single"/>
                <w:lang w:val="en-US" w:eastAsia="zh-CN"/>
              </w:rPr>
              <w:t xml:space="preserve"> 6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1</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rPr>
              <w:t>日</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sz w:val="24"/>
                <w:szCs w:val="24"/>
                <w:highlight w:val="none"/>
                <w:u w:val="single"/>
                <w:lang w:val="en-US" w:eastAsia="zh-CN"/>
              </w:rPr>
              <w:t>9</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sz w:val="24"/>
                <w:szCs w:val="24"/>
                <w:highlight w:val="none"/>
              </w:rPr>
              <w:t>时</w:t>
            </w:r>
            <w:r>
              <w:rPr>
                <w:rFonts w:hint="eastAsia" w:ascii="宋体" w:hAnsi="宋体" w:cs="宋体"/>
                <w:snapToGrid w:val="0"/>
                <w:color w:val="auto"/>
                <w:sz w:val="24"/>
                <w:szCs w:val="24"/>
                <w:highlight w:val="none"/>
                <w:u w:val="single"/>
                <w:lang w:val="en-US" w:eastAsia="zh-CN"/>
              </w:rPr>
              <w:t xml:space="preserve"> 30 </w:t>
            </w:r>
            <w:r>
              <w:rPr>
                <w:rFonts w:hint="eastAsia" w:ascii="宋体" w:hAnsi="宋体" w:cs="宋体"/>
                <w:snapToGrid w:val="0"/>
                <w:color w:val="auto"/>
                <w:kern w:val="0"/>
                <w:sz w:val="24"/>
                <w:szCs w:val="24"/>
                <w:highlight w:val="none"/>
              </w:rPr>
              <w:t>分</w:t>
            </w:r>
          </w:p>
          <w:p w14:paraId="12E34DC2">
            <w:pPr>
              <w:pageBreakBefore w:val="0"/>
              <w:kinsoku/>
              <w:wordWrap w:val="0"/>
              <w:overflowPunct/>
              <w:topLinePunct w:val="0"/>
              <w:bidi w:val="0"/>
              <w:adjustRightInd w:val="0"/>
              <w:snapToGrid w:val="0"/>
              <w:spacing w:line="400" w:lineRule="exact"/>
              <w:ind w:firstLine="240" w:firstLineChars="100"/>
              <w:rPr>
                <w:rFonts w:hint="eastAsia"/>
                <w:color w:val="auto"/>
                <w:sz w:val="24"/>
                <w:szCs w:val="24"/>
                <w:highlight w:val="none"/>
              </w:rPr>
            </w:pPr>
            <w:r>
              <w:rPr>
                <w:rFonts w:hint="eastAsia"/>
                <w:color w:val="auto"/>
                <w:sz w:val="24"/>
                <w:szCs w:val="24"/>
                <w:highlight w:val="none"/>
              </w:rPr>
              <w:t>投标保证担保上传截止时间：</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6</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sz w:val="24"/>
                <w:szCs w:val="24"/>
                <w:highlight w:val="none"/>
                <w:u w:val="single"/>
                <w:lang w:val="en-US" w:eastAsia="zh-CN"/>
              </w:rPr>
              <w:t xml:space="preserve"> 6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1</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rPr>
              <w:t>日</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sz w:val="24"/>
                <w:szCs w:val="24"/>
                <w:highlight w:val="none"/>
                <w:u w:val="single"/>
                <w:lang w:val="en-US" w:eastAsia="zh-CN"/>
              </w:rPr>
              <w:t>9</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sz w:val="24"/>
                <w:szCs w:val="24"/>
                <w:highlight w:val="none"/>
              </w:rPr>
              <w:t>时</w:t>
            </w:r>
            <w:r>
              <w:rPr>
                <w:rFonts w:hint="eastAsia" w:ascii="宋体" w:hAnsi="宋体" w:cs="宋体"/>
                <w:snapToGrid w:val="0"/>
                <w:color w:val="auto"/>
                <w:sz w:val="24"/>
                <w:szCs w:val="24"/>
                <w:highlight w:val="none"/>
                <w:u w:val="single"/>
                <w:lang w:val="en-US" w:eastAsia="zh-CN"/>
              </w:rPr>
              <w:t xml:space="preserve"> 30 </w:t>
            </w:r>
            <w:r>
              <w:rPr>
                <w:rFonts w:hint="eastAsia" w:ascii="宋体" w:hAnsi="宋体" w:cs="宋体"/>
                <w:snapToGrid w:val="0"/>
                <w:color w:val="auto"/>
                <w:kern w:val="0"/>
                <w:sz w:val="24"/>
                <w:szCs w:val="24"/>
                <w:highlight w:val="none"/>
              </w:rPr>
              <w:t>分</w:t>
            </w:r>
          </w:p>
          <w:p w14:paraId="5403C83A">
            <w:pPr>
              <w:pageBreakBefore w:val="0"/>
              <w:kinsoku/>
              <w:wordWrap w:val="0"/>
              <w:overflowPunct/>
              <w:topLinePunct w:val="0"/>
              <w:bidi w:val="0"/>
              <w:adjustRightInd w:val="0"/>
              <w:snapToGrid w:val="0"/>
              <w:spacing w:line="400" w:lineRule="exact"/>
              <w:ind w:firstLine="240" w:firstLineChars="100"/>
              <w:rPr>
                <w:rFonts w:hint="eastAsia" w:asciiTheme="minorEastAsia" w:hAnsiTheme="minorEastAsia" w:eastAsiaTheme="minorEastAsia" w:cstheme="minorEastAsia"/>
                <w:snapToGrid w:val="0"/>
                <w:color w:val="auto"/>
                <w:kern w:val="0"/>
                <w:sz w:val="24"/>
                <w:szCs w:val="24"/>
                <w:highlight w:val="none"/>
              </w:rPr>
            </w:pPr>
            <w:r>
              <w:rPr>
                <w:rFonts w:hint="eastAsia"/>
                <w:color w:val="auto"/>
                <w:sz w:val="24"/>
                <w:szCs w:val="24"/>
                <w:highlight w:val="none"/>
              </w:rPr>
              <w:t>投标保证保险投保截止时间：</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6</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sz w:val="24"/>
                <w:szCs w:val="24"/>
                <w:highlight w:val="none"/>
                <w:u w:val="single"/>
                <w:lang w:val="en-US" w:eastAsia="zh-CN"/>
              </w:rPr>
              <w:t xml:space="preserve"> 6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1</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rPr>
              <w:t>日</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sz w:val="24"/>
                <w:szCs w:val="24"/>
                <w:highlight w:val="none"/>
                <w:u w:val="single"/>
                <w:lang w:val="en-US" w:eastAsia="zh-CN"/>
              </w:rPr>
              <w:t>9</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sz w:val="24"/>
                <w:szCs w:val="24"/>
                <w:highlight w:val="none"/>
              </w:rPr>
              <w:t>时</w:t>
            </w:r>
            <w:r>
              <w:rPr>
                <w:rFonts w:hint="eastAsia" w:ascii="宋体" w:hAnsi="宋体" w:cs="宋体"/>
                <w:snapToGrid w:val="0"/>
                <w:color w:val="auto"/>
                <w:sz w:val="24"/>
                <w:szCs w:val="24"/>
                <w:highlight w:val="none"/>
                <w:u w:val="single"/>
                <w:lang w:val="en-US" w:eastAsia="zh-CN"/>
              </w:rPr>
              <w:t xml:space="preserve"> 30 </w:t>
            </w:r>
            <w:r>
              <w:rPr>
                <w:rFonts w:hint="eastAsia" w:ascii="宋体" w:hAnsi="宋体" w:cs="宋体"/>
                <w:snapToGrid w:val="0"/>
                <w:color w:val="auto"/>
                <w:kern w:val="0"/>
                <w:sz w:val="24"/>
                <w:szCs w:val="24"/>
                <w:highlight w:val="none"/>
              </w:rPr>
              <w:t>分</w:t>
            </w:r>
          </w:p>
        </w:tc>
      </w:tr>
      <w:tr w14:paraId="05E6F3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2" w:hRule="exact"/>
        </w:trPr>
        <w:tc>
          <w:tcPr>
            <w:tcW w:w="225" w:type="pct"/>
            <w:tcBorders>
              <w:top w:val="single" w:color="080000" w:sz="4" w:space="0"/>
              <w:left w:val="single" w:color="080000" w:sz="4" w:space="0"/>
              <w:bottom w:val="single" w:color="080000" w:sz="4" w:space="0"/>
              <w:right w:val="single" w:color="080000" w:sz="4" w:space="0"/>
            </w:tcBorders>
            <w:noWrap w:val="0"/>
            <w:vAlign w:val="center"/>
          </w:tcPr>
          <w:p w14:paraId="32F3F961">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6</w:t>
            </w:r>
          </w:p>
        </w:tc>
        <w:tc>
          <w:tcPr>
            <w:tcW w:w="812" w:type="pct"/>
            <w:tcBorders>
              <w:top w:val="single" w:color="080000" w:sz="4" w:space="0"/>
              <w:left w:val="single" w:color="080000" w:sz="4" w:space="0"/>
              <w:bottom w:val="single" w:color="080000" w:sz="4" w:space="0"/>
              <w:right w:val="single" w:color="080000" w:sz="4" w:space="0"/>
            </w:tcBorders>
            <w:noWrap w:val="0"/>
            <w:vAlign w:val="center"/>
          </w:tcPr>
          <w:p w14:paraId="31EE883B">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电子投标</w:t>
            </w:r>
          </w:p>
          <w:p w14:paraId="0226D243">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截止时间 </w:t>
            </w:r>
          </w:p>
        </w:tc>
        <w:tc>
          <w:tcPr>
            <w:tcW w:w="3962" w:type="pct"/>
            <w:tcBorders>
              <w:top w:val="single" w:color="080000" w:sz="4" w:space="0"/>
              <w:left w:val="single" w:color="080000" w:sz="4" w:space="0"/>
              <w:bottom w:val="single" w:color="080000" w:sz="4" w:space="0"/>
              <w:right w:val="single" w:color="080000" w:sz="4" w:space="0"/>
            </w:tcBorders>
            <w:noWrap w:val="0"/>
            <w:vAlign w:val="center"/>
          </w:tcPr>
          <w:p w14:paraId="1866DE13">
            <w:pPr>
              <w:pStyle w:val="4"/>
              <w:pageBreakBefore w:val="0"/>
              <w:kinsoku/>
              <w:wordWrap w:val="0"/>
              <w:overflowPunct/>
              <w:topLinePunct w:val="0"/>
              <w:bidi w:val="0"/>
              <w:adjustRightInd w:val="0"/>
              <w:snapToGrid w:val="0"/>
              <w:spacing w:line="40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rPr>
            </w:pP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6</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sz w:val="24"/>
                <w:szCs w:val="24"/>
                <w:highlight w:val="none"/>
                <w:u w:val="single"/>
                <w:lang w:val="en-US" w:eastAsia="zh-CN"/>
              </w:rPr>
              <w:t xml:space="preserve"> </w:t>
            </w:r>
            <w:r>
              <w:rPr>
                <w:rFonts w:hint="eastAsia" w:hAnsi="宋体" w:cs="宋体"/>
                <w:snapToGrid w:val="0"/>
                <w:color w:val="auto"/>
                <w:sz w:val="24"/>
                <w:szCs w:val="24"/>
                <w:highlight w:val="none"/>
                <w:u w:val="single"/>
                <w:lang w:val="en-US" w:eastAsia="zh-CN"/>
              </w:rPr>
              <w:t>6</w:t>
            </w:r>
            <w:r>
              <w:rPr>
                <w:rFonts w:hint="eastAsia" w:ascii="宋体" w:hAnsi="宋体" w:cs="宋体"/>
                <w:snapToGrid w:val="0"/>
                <w:color w:val="auto"/>
                <w:sz w:val="24"/>
                <w:szCs w:val="24"/>
                <w:highlight w:val="none"/>
                <w:u w:val="single"/>
                <w:lang w:val="en-US" w:eastAsia="zh-CN"/>
              </w:rPr>
              <w:t xml:space="preserve">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sz w:val="24"/>
                <w:szCs w:val="24"/>
                <w:highlight w:val="none"/>
                <w:u w:val="single"/>
              </w:rPr>
              <w:t xml:space="preserve"> </w:t>
            </w:r>
            <w:r>
              <w:rPr>
                <w:rFonts w:hint="eastAsia" w:hAnsi="宋体" w:cs="宋体"/>
                <w:snapToGrid w:val="0"/>
                <w:color w:val="auto"/>
                <w:kern w:val="0"/>
                <w:sz w:val="24"/>
                <w:szCs w:val="24"/>
                <w:highlight w:val="none"/>
                <w:u w:val="single"/>
                <w:lang w:val="en-US" w:eastAsia="zh-CN"/>
              </w:rPr>
              <w:t>2</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rPr>
              <w:t>日</w:t>
            </w:r>
            <w:r>
              <w:rPr>
                <w:rFonts w:hint="eastAsia" w:ascii="宋体" w:hAnsi="宋体" w:cs="宋体"/>
                <w:snapToGrid w:val="0"/>
                <w:color w:val="auto"/>
                <w:sz w:val="24"/>
                <w:szCs w:val="24"/>
                <w:highlight w:val="none"/>
                <w:u w:val="single"/>
              </w:rPr>
              <w:t xml:space="preserve"> </w:t>
            </w:r>
            <w:r>
              <w:rPr>
                <w:rFonts w:hint="eastAsia" w:hAnsi="宋体" w:cs="宋体"/>
                <w:snapToGrid w:val="0"/>
                <w:color w:val="auto"/>
                <w:sz w:val="24"/>
                <w:szCs w:val="24"/>
                <w:highlight w:val="none"/>
                <w:u w:val="single"/>
                <w:lang w:val="en-US" w:eastAsia="zh-CN"/>
              </w:rPr>
              <w:t>9</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sz w:val="24"/>
                <w:szCs w:val="24"/>
                <w:highlight w:val="none"/>
              </w:rPr>
              <w:t>时</w:t>
            </w:r>
            <w:r>
              <w:rPr>
                <w:rFonts w:hint="eastAsia" w:ascii="宋体" w:hAnsi="宋体" w:cs="宋体"/>
                <w:snapToGrid w:val="0"/>
                <w:color w:val="auto"/>
                <w:sz w:val="24"/>
                <w:szCs w:val="24"/>
                <w:highlight w:val="none"/>
                <w:u w:val="single"/>
                <w:lang w:val="en-US" w:eastAsia="zh-CN"/>
              </w:rPr>
              <w:t xml:space="preserve"> </w:t>
            </w:r>
            <w:r>
              <w:rPr>
                <w:rFonts w:hint="eastAsia" w:hAnsi="宋体" w:cs="宋体"/>
                <w:snapToGrid w:val="0"/>
                <w:color w:val="auto"/>
                <w:sz w:val="24"/>
                <w:szCs w:val="24"/>
                <w:highlight w:val="none"/>
                <w:u w:val="single"/>
                <w:lang w:val="en-US" w:eastAsia="zh-CN"/>
              </w:rPr>
              <w:t>30</w:t>
            </w:r>
            <w:r>
              <w:rPr>
                <w:rFonts w:hint="eastAsia" w:ascii="宋体" w:hAnsi="宋体" w:cs="宋体"/>
                <w:snapToGrid w:val="0"/>
                <w:color w:val="auto"/>
                <w:sz w:val="24"/>
                <w:szCs w:val="24"/>
                <w:highlight w:val="none"/>
                <w:u w:val="single"/>
                <w:lang w:val="en-US" w:eastAsia="zh-CN"/>
              </w:rPr>
              <w:t xml:space="preserve"> </w:t>
            </w:r>
            <w:r>
              <w:rPr>
                <w:rFonts w:hint="eastAsia" w:ascii="宋体" w:hAnsi="宋体" w:cs="宋体"/>
                <w:snapToGrid w:val="0"/>
                <w:color w:val="auto"/>
                <w:kern w:val="0"/>
                <w:sz w:val="24"/>
                <w:szCs w:val="24"/>
                <w:highlight w:val="none"/>
              </w:rPr>
              <w:t>分</w:t>
            </w:r>
          </w:p>
        </w:tc>
      </w:tr>
      <w:tr w14:paraId="0FA0FA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25" w:type="pct"/>
            <w:tcBorders>
              <w:top w:val="single" w:color="080000" w:sz="4" w:space="0"/>
              <w:left w:val="single" w:color="080000" w:sz="4" w:space="0"/>
              <w:bottom w:val="single" w:color="080000" w:sz="4" w:space="0"/>
              <w:right w:val="single" w:color="080000" w:sz="4" w:space="0"/>
            </w:tcBorders>
            <w:noWrap w:val="0"/>
            <w:vAlign w:val="center"/>
          </w:tcPr>
          <w:p w14:paraId="2F506CC3">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7</w:t>
            </w:r>
          </w:p>
        </w:tc>
        <w:tc>
          <w:tcPr>
            <w:tcW w:w="812" w:type="pct"/>
            <w:tcBorders>
              <w:top w:val="single" w:color="080000" w:sz="4" w:space="0"/>
              <w:left w:val="single" w:color="080000" w:sz="4" w:space="0"/>
              <w:bottom w:val="single" w:color="080000" w:sz="4" w:space="0"/>
              <w:right w:val="single" w:color="080000" w:sz="4" w:space="0"/>
            </w:tcBorders>
            <w:noWrap w:val="0"/>
            <w:vAlign w:val="center"/>
          </w:tcPr>
          <w:p w14:paraId="62B5FEEA">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投标评审原件（如有）</w:t>
            </w:r>
          </w:p>
          <w:p w14:paraId="78B85CE4">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val="en-US" w:eastAsia="zh-CN"/>
              </w:rPr>
              <w:t>递交时间</w:t>
            </w:r>
          </w:p>
        </w:tc>
        <w:tc>
          <w:tcPr>
            <w:tcW w:w="3962" w:type="pct"/>
            <w:tcBorders>
              <w:top w:val="single" w:color="080000" w:sz="4" w:space="0"/>
              <w:left w:val="single" w:color="080000" w:sz="4" w:space="0"/>
              <w:bottom w:val="single" w:color="080000" w:sz="4" w:space="0"/>
              <w:right w:val="single" w:color="080000" w:sz="4" w:space="0"/>
            </w:tcBorders>
            <w:noWrap w:val="0"/>
            <w:vAlign w:val="center"/>
          </w:tcPr>
          <w:p w14:paraId="0D85F498">
            <w:pPr>
              <w:pStyle w:val="4"/>
              <w:pageBreakBefore w:val="0"/>
              <w:kinsoku/>
              <w:wordWrap w:val="0"/>
              <w:overflowPunct/>
              <w:topLinePunct w:val="0"/>
              <w:bidi w:val="0"/>
              <w:adjustRightInd w:val="0"/>
              <w:snapToGrid w:val="0"/>
              <w:spacing w:line="40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rPr>
            </w:pP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6</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sz w:val="24"/>
                <w:szCs w:val="24"/>
                <w:highlight w:val="none"/>
                <w:u w:val="single"/>
                <w:lang w:val="en-US" w:eastAsia="zh-CN"/>
              </w:rPr>
              <w:t xml:space="preserve"> </w:t>
            </w:r>
            <w:r>
              <w:rPr>
                <w:rFonts w:hint="eastAsia" w:hAnsi="宋体" w:cs="宋体"/>
                <w:snapToGrid w:val="0"/>
                <w:color w:val="auto"/>
                <w:sz w:val="24"/>
                <w:szCs w:val="24"/>
                <w:highlight w:val="none"/>
                <w:u w:val="single"/>
                <w:lang w:val="en-US" w:eastAsia="zh-CN"/>
              </w:rPr>
              <w:t>6</w:t>
            </w:r>
            <w:r>
              <w:rPr>
                <w:rFonts w:hint="eastAsia" w:ascii="宋体" w:hAnsi="宋体" w:cs="宋体"/>
                <w:snapToGrid w:val="0"/>
                <w:color w:val="auto"/>
                <w:sz w:val="24"/>
                <w:szCs w:val="24"/>
                <w:highlight w:val="none"/>
                <w:u w:val="single"/>
                <w:lang w:val="en-US" w:eastAsia="zh-CN"/>
              </w:rPr>
              <w:t xml:space="preserve">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sz w:val="24"/>
                <w:szCs w:val="24"/>
                <w:highlight w:val="none"/>
                <w:u w:val="single"/>
              </w:rPr>
              <w:t xml:space="preserve"> </w:t>
            </w:r>
            <w:r>
              <w:rPr>
                <w:rFonts w:hint="eastAsia" w:hAnsi="宋体" w:cs="宋体"/>
                <w:snapToGrid w:val="0"/>
                <w:color w:val="auto"/>
                <w:kern w:val="0"/>
                <w:sz w:val="24"/>
                <w:szCs w:val="24"/>
                <w:highlight w:val="none"/>
                <w:u w:val="single"/>
                <w:lang w:val="en-US" w:eastAsia="zh-CN"/>
              </w:rPr>
              <w:t>2</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rPr>
              <w:t>日</w:t>
            </w:r>
            <w:r>
              <w:rPr>
                <w:rFonts w:hint="eastAsia" w:ascii="宋体" w:hAnsi="宋体" w:cs="宋体"/>
                <w:snapToGrid w:val="0"/>
                <w:color w:val="auto"/>
                <w:sz w:val="24"/>
                <w:szCs w:val="24"/>
                <w:highlight w:val="none"/>
                <w:u w:val="single"/>
              </w:rPr>
              <w:t xml:space="preserve"> </w:t>
            </w:r>
            <w:r>
              <w:rPr>
                <w:rFonts w:hint="eastAsia" w:hAnsi="宋体" w:cs="宋体"/>
                <w:snapToGrid w:val="0"/>
                <w:color w:val="auto"/>
                <w:sz w:val="24"/>
                <w:szCs w:val="24"/>
                <w:highlight w:val="none"/>
                <w:u w:val="single"/>
                <w:lang w:val="en-US" w:eastAsia="zh-CN"/>
              </w:rPr>
              <w:t>9</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sz w:val="24"/>
                <w:szCs w:val="24"/>
                <w:highlight w:val="none"/>
              </w:rPr>
              <w:t>时</w:t>
            </w:r>
            <w:r>
              <w:rPr>
                <w:rFonts w:hint="eastAsia" w:ascii="宋体" w:hAnsi="宋体" w:cs="宋体"/>
                <w:snapToGrid w:val="0"/>
                <w:color w:val="auto"/>
                <w:sz w:val="24"/>
                <w:szCs w:val="24"/>
                <w:highlight w:val="none"/>
                <w:u w:val="single"/>
                <w:lang w:val="en-US" w:eastAsia="zh-CN"/>
              </w:rPr>
              <w:t xml:space="preserve"> </w:t>
            </w:r>
            <w:r>
              <w:rPr>
                <w:rFonts w:hint="eastAsia" w:hAnsi="宋体" w:cs="宋体"/>
                <w:snapToGrid w:val="0"/>
                <w:color w:val="auto"/>
                <w:sz w:val="24"/>
                <w:szCs w:val="24"/>
                <w:highlight w:val="none"/>
                <w:u w:val="single"/>
                <w:lang w:val="en-US" w:eastAsia="zh-CN"/>
              </w:rPr>
              <w:t>00</w:t>
            </w:r>
            <w:r>
              <w:rPr>
                <w:rFonts w:hint="eastAsia" w:ascii="宋体" w:hAnsi="宋体" w:cs="宋体"/>
                <w:snapToGrid w:val="0"/>
                <w:color w:val="auto"/>
                <w:sz w:val="24"/>
                <w:szCs w:val="24"/>
                <w:highlight w:val="none"/>
                <w:u w:val="single"/>
                <w:lang w:val="en-US" w:eastAsia="zh-CN"/>
              </w:rPr>
              <w:t xml:space="preserve"> </w:t>
            </w:r>
            <w:r>
              <w:rPr>
                <w:rFonts w:hint="eastAsia" w:ascii="宋体" w:hAnsi="宋体" w:cs="宋体"/>
                <w:snapToGrid w:val="0"/>
                <w:color w:val="auto"/>
                <w:kern w:val="0"/>
                <w:sz w:val="24"/>
                <w:szCs w:val="24"/>
                <w:highlight w:val="none"/>
              </w:rPr>
              <w:t>分</w:t>
            </w:r>
            <w:r>
              <w:rPr>
                <w:rFonts w:hint="eastAsia" w:ascii="宋体" w:hAnsi="宋体" w:eastAsia="宋体" w:cs="宋体"/>
                <w:snapToGrid w:val="0"/>
                <w:color w:val="auto"/>
                <w:kern w:val="0"/>
                <w:sz w:val="24"/>
                <w:szCs w:val="24"/>
                <w:highlight w:val="none"/>
              </w:rPr>
              <w:t>至</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6</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sz w:val="24"/>
                <w:szCs w:val="24"/>
                <w:highlight w:val="none"/>
                <w:u w:val="single"/>
                <w:lang w:val="en-US" w:eastAsia="zh-CN"/>
              </w:rPr>
              <w:t xml:space="preserve"> </w:t>
            </w:r>
            <w:r>
              <w:rPr>
                <w:rFonts w:hint="eastAsia" w:hAnsi="宋体" w:cs="宋体"/>
                <w:snapToGrid w:val="0"/>
                <w:color w:val="auto"/>
                <w:sz w:val="24"/>
                <w:szCs w:val="24"/>
                <w:highlight w:val="none"/>
                <w:u w:val="single"/>
                <w:lang w:val="en-US" w:eastAsia="zh-CN"/>
              </w:rPr>
              <w:t>6</w:t>
            </w:r>
            <w:r>
              <w:rPr>
                <w:rFonts w:hint="eastAsia" w:ascii="宋体" w:hAnsi="宋体" w:cs="宋体"/>
                <w:snapToGrid w:val="0"/>
                <w:color w:val="auto"/>
                <w:sz w:val="24"/>
                <w:szCs w:val="24"/>
                <w:highlight w:val="none"/>
                <w:u w:val="single"/>
                <w:lang w:val="en-US" w:eastAsia="zh-CN"/>
              </w:rPr>
              <w:t xml:space="preserve">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sz w:val="24"/>
                <w:szCs w:val="24"/>
                <w:highlight w:val="none"/>
                <w:u w:val="single"/>
              </w:rPr>
              <w:t xml:space="preserve"> </w:t>
            </w:r>
            <w:r>
              <w:rPr>
                <w:rFonts w:hint="eastAsia" w:hAnsi="宋体" w:cs="宋体"/>
                <w:snapToGrid w:val="0"/>
                <w:color w:val="auto"/>
                <w:kern w:val="0"/>
                <w:sz w:val="24"/>
                <w:szCs w:val="24"/>
                <w:highlight w:val="none"/>
                <w:u w:val="single"/>
                <w:lang w:val="en-US" w:eastAsia="zh-CN"/>
              </w:rPr>
              <w:t>2</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rPr>
              <w:t>日</w:t>
            </w:r>
            <w:r>
              <w:rPr>
                <w:rFonts w:hint="eastAsia" w:ascii="宋体" w:hAnsi="宋体" w:cs="宋体"/>
                <w:snapToGrid w:val="0"/>
                <w:color w:val="auto"/>
                <w:sz w:val="24"/>
                <w:szCs w:val="24"/>
                <w:highlight w:val="none"/>
                <w:u w:val="single"/>
              </w:rPr>
              <w:t xml:space="preserve"> </w:t>
            </w:r>
            <w:r>
              <w:rPr>
                <w:rFonts w:hint="eastAsia" w:hAnsi="宋体" w:cs="宋体"/>
                <w:snapToGrid w:val="0"/>
                <w:color w:val="auto"/>
                <w:sz w:val="24"/>
                <w:szCs w:val="24"/>
                <w:highlight w:val="none"/>
                <w:u w:val="single"/>
                <w:lang w:val="en-US" w:eastAsia="zh-CN"/>
              </w:rPr>
              <w:t>9</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sz w:val="24"/>
                <w:szCs w:val="24"/>
                <w:highlight w:val="none"/>
              </w:rPr>
              <w:t>时</w:t>
            </w:r>
            <w:r>
              <w:rPr>
                <w:rFonts w:hint="eastAsia" w:ascii="宋体" w:hAnsi="宋体" w:cs="宋体"/>
                <w:snapToGrid w:val="0"/>
                <w:color w:val="auto"/>
                <w:sz w:val="24"/>
                <w:szCs w:val="24"/>
                <w:highlight w:val="none"/>
                <w:u w:val="single"/>
                <w:lang w:val="en-US" w:eastAsia="zh-CN"/>
              </w:rPr>
              <w:t xml:space="preserve"> </w:t>
            </w:r>
            <w:r>
              <w:rPr>
                <w:rFonts w:hint="eastAsia" w:hAnsi="宋体" w:cs="宋体"/>
                <w:snapToGrid w:val="0"/>
                <w:color w:val="auto"/>
                <w:sz w:val="24"/>
                <w:szCs w:val="24"/>
                <w:highlight w:val="none"/>
                <w:u w:val="single"/>
                <w:lang w:val="en-US" w:eastAsia="zh-CN"/>
              </w:rPr>
              <w:t>30</w:t>
            </w:r>
            <w:r>
              <w:rPr>
                <w:rFonts w:hint="eastAsia" w:ascii="宋体" w:hAnsi="宋体" w:cs="宋体"/>
                <w:snapToGrid w:val="0"/>
                <w:color w:val="auto"/>
                <w:sz w:val="24"/>
                <w:szCs w:val="24"/>
                <w:highlight w:val="none"/>
                <w:u w:val="single"/>
                <w:lang w:val="en-US" w:eastAsia="zh-CN"/>
              </w:rPr>
              <w:t xml:space="preserve"> </w:t>
            </w:r>
            <w:r>
              <w:rPr>
                <w:rFonts w:hint="eastAsia" w:ascii="宋体" w:hAnsi="宋体" w:cs="宋体"/>
                <w:snapToGrid w:val="0"/>
                <w:color w:val="auto"/>
                <w:kern w:val="0"/>
                <w:sz w:val="24"/>
                <w:szCs w:val="24"/>
                <w:highlight w:val="none"/>
              </w:rPr>
              <w:t>分</w:t>
            </w:r>
          </w:p>
        </w:tc>
      </w:tr>
      <w:tr w14:paraId="519C5C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94" w:hRule="exact"/>
        </w:trPr>
        <w:tc>
          <w:tcPr>
            <w:tcW w:w="225" w:type="pct"/>
            <w:tcBorders>
              <w:top w:val="single" w:color="080000" w:sz="4" w:space="0"/>
              <w:left w:val="single" w:color="080000" w:sz="4" w:space="0"/>
              <w:bottom w:val="single" w:color="080000" w:sz="4" w:space="0"/>
              <w:right w:val="single" w:color="080000" w:sz="4" w:space="0"/>
            </w:tcBorders>
            <w:noWrap w:val="0"/>
            <w:vAlign w:val="center"/>
          </w:tcPr>
          <w:p w14:paraId="0490D6B3">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8</w:t>
            </w:r>
          </w:p>
        </w:tc>
        <w:tc>
          <w:tcPr>
            <w:tcW w:w="812" w:type="pct"/>
            <w:tcBorders>
              <w:top w:val="single" w:color="080000" w:sz="4" w:space="0"/>
              <w:left w:val="single" w:color="080000" w:sz="4" w:space="0"/>
              <w:bottom w:val="single" w:color="080000" w:sz="4" w:space="0"/>
              <w:right w:val="single" w:color="080000" w:sz="4" w:space="0"/>
            </w:tcBorders>
            <w:noWrap w:val="0"/>
            <w:vAlign w:val="center"/>
          </w:tcPr>
          <w:p w14:paraId="4DE543D2">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投标评审原件（如有）</w:t>
            </w:r>
          </w:p>
          <w:p w14:paraId="65C8FB45">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val="en-US" w:eastAsia="zh-CN"/>
              </w:rPr>
              <w:t>递交地点</w:t>
            </w:r>
          </w:p>
        </w:tc>
        <w:tc>
          <w:tcPr>
            <w:tcW w:w="3962" w:type="pct"/>
            <w:tcBorders>
              <w:top w:val="single" w:color="080000" w:sz="4" w:space="0"/>
              <w:left w:val="single" w:color="080000" w:sz="4" w:space="0"/>
              <w:bottom w:val="single" w:color="080000" w:sz="4" w:space="0"/>
              <w:right w:val="single" w:color="080000" w:sz="4" w:space="0"/>
            </w:tcBorders>
            <w:noWrap w:val="0"/>
            <w:vAlign w:val="center"/>
          </w:tcPr>
          <w:p w14:paraId="4108C44C">
            <w:pPr>
              <w:keepNext w:val="0"/>
              <w:keepLines w:val="0"/>
              <w:pageBreakBefore w:val="0"/>
              <w:widowControl w:val="0"/>
              <w:kinsoku/>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递交场所：韶关市公共资源交易中心南雄分中心，</w:t>
            </w:r>
          </w:p>
          <w:p w14:paraId="5BCE452C">
            <w:pPr>
              <w:pStyle w:val="4"/>
              <w:pageBreakBefore w:val="0"/>
              <w:kinsoku/>
              <w:wordWrap w:val="0"/>
              <w:overflowPunct/>
              <w:topLinePunct w:val="0"/>
              <w:bidi w:val="0"/>
              <w:adjustRightInd w:val="0"/>
              <w:snapToGrid w:val="0"/>
              <w:spacing w:line="40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地址：南雄市雄东路1号(大润发)四楼韶</w:t>
            </w:r>
            <w:bookmarkStart w:id="275" w:name="_GoBack"/>
            <w:bookmarkEnd w:id="275"/>
            <w:r>
              <w:rPr>
                <w:rFonts w:hint="eastAsia" w:ascii="宋体" w:hAnsi="宋体" w:eastAsia="宋体" w:cs="宋体"/>
                <w:snapToGrid w:val="0"/>
                <w:color w:val="auto"/>
                <w:kern w:val="0"/>
                <w:sz w:val="24"/>
                <w:szCs w:val="24"/>
                <w:highlight w:val="none"/>
              </w:rPr>
              <w:t>关市公共资源交易中心南雄分中心(南雄市公共服务中心内)。</w:t>
            </w:r>
          </w:p>
        </w:tc>
      </w:tr>
      <w:tr w14:paraId="1465CF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10" w:hRule="exact"/>
        </w:trPr>
        <w:tc>
          <w:tcPr>
            <w:tcW w:w="225" w:type="pct"/>
            <w:tcBorders>
              <w:top w:val="single" w:color="080000" w:sz="4" w:space="0"/>
              <w:left w:val="single" w:color="080000" w:sz="4" w:space="0"/>
              <w:bottom w:val="single" w:color="080000" w:sz="4" w:space="0"/>
              <w:right w:val="single" w:color="080000" w:sz="4" w:space="0"/>
            </w:tcBorders>
            <w:noWrap w:val="0"/>
            <w:vAlign w:val="center"/>
          </w:tcPr>
          <w:p w14:paraId="1993F3F3">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9</w:t>
            </w:r>
          </w:p>
        </w:tc>
        <w:tc>
          <w:tcPr>
            <w:tcW w:w="812" w:type="pct"/>
            <w:tcBorders>
              <w:top w:val="single" w:color="080000" w:sz="4" w:space="0"/>
              <w:left w:val="single" w:color="080000" w:sz="4" w:space="0"/>
              <w:bottom w:val="single" w:color="080000" w:sz="4" w:space="0"/>
              <w:right w:val="single" w:color="080000" w:sz="4" w:space="0"/>
            </w:tcBorders>
            <w:noWrap w:val="0"/>
            <w:vAlign w:val="center"/>
          </w:tcPr>
          <w:p w14:paraId="2D3E1F97">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开标时间 </w:t>
            </w:r>
          </w:p>
        </w:tc>
        <w:tc>
          <w:tcPr>
            <w:tcW w:w="3962" w:type="pct"/>
            <w:tcBorders>
              <w:top w:val="single" w:color="080000" w:sz="4" w:space="0"/>
              <w:left w:val="single" w:color="080000" w:sz="4" w:space="0"/>
              <w:bottom w:val="single" w:color="080000" w:sz="4" w:space="0"/>
              <w:right w:val="single" w:color="080000" w:sz="4" w:space="0"/>
            </w:tcBorders>
            <w:noWrap w:val="0"/>
            <w:vAlign w:val="center"/>
          </w:tcPr>
          <w:p w14:paraId="710660D4">
            <w:pPr>
              <w:pStyle w:val="4"/>
              <w:pageBreakBefore w:val="0"/>
              <w:kinsoku/>
              <w:wordWrap w:val="0"/>
              <w:overflowPunct/>
              <w:topLinePunct w:val="0"/>
              <w:bidi w:val="0"/>
              <w:adjustRightInd w:val="0"/>
              <w:snapToGrid w:val="0"/>
              <w:spacing w:line="40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rPr>
            </w:pP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6</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sz w:val="24"/>
                <w:szCs w:val="24"/>
                <w:highlight w:val="none"/>
                <w:u w:val="single"/>
                <w:lang w:val="en-US" w:eastAsia="zh-CN"/>
              </w:rPr>
              <w:t xml:space="preserve"> </w:t>
            </w:r>
            <w:r>
              <w:rPr>
                <w:rFonts w:hint="eastAsia" w:hAnsi="宋体" w:cs="宋体"/>
                <w:snapToGrid w:val="0"/>
                <w:color w:val="auto"/>
                <w:sz w:val="24"/>
                <w:szCs w:val="24"/>
                <w:highlight w:val="none"/>
                <w:u w:val="single"/>
                <w:lang w:val="en-US" w:eastAsia="zh-CN"/>
              </w:rPr>
              <w:t>6</w:t>
            </w:r>
            <w:r>
              <w:rPr>
                <w:rFonts w:hint="eastAsia" w:ascii="宋体" w:hAnsi="宋体" w:cs="宋体"/>
                <w:snapToGrid w:val="0"/>
                <w:color w:val="auto"/>
                <w:sz w:val="24"/>
                <w:szCs w:val="24"/>
                <w:highlight w:val="none"/>
                <w:u w:val="single"/>
                <w:lang w:val="en-US" w:eastAsia="zh-CN"/>
              </w:rPr>
              <w:t xml:space="preserve">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sz w:val="24"/>
                <w:szCs w:val="24"/>
                <w:highlight w:val="none"/>
                <w:u w:val="single"/>
              </w:rPr>
              <w:t xml:space="preserve"> </w:t>
            </w:r>
            <w:r>
              <w:rPr>
                <w:rFonts w:hint="eastAsia" w:hAnsi="宋体" w:cs="宋体"/>
                <w:snapToGrid w:val="0"/>
                <w:color w:val="auto"/>
                <w:kern w:val="0"/>
                <w:sz w:val="24"/>
                <w:szCs w:val="24"/>
                <w:highlight w:val="none"/>
                <w:u w:val="single"/>
                <w:lang w:val="en-US" w:eastAsia="zh-CN"/>
              </w:rPr>
              <w:t>2</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kern w:val="0"/>
                <w:sz w:val="24"/>
                <w:szCs w:val="24"/>
                <w:highlight w:val="none"/>
              </w:rPr>
              <w:t>日</w:t>
            </w:r>
            <w:r>
              <w:rPr>
                <w:rFonts w:hint="eastAsia" w:ascii="宋体" w:hAnsi="宋体" w:cs="宋体"/>
                <w:snapToGrid w:val="0"/>
                <w:color w:val="auto"/>
                <w:sz w:val="24"/>
                <w:szCs w:val="24"/>
                <w:highlight w:val="none"/>
                <w:u w:val="single"/>
              </w:rPr>
              <w:t xml:space="preserve"> </w:t>
            </w:r>
            <w:r>
              <w:rPr>
                <w:rFonts w:hint="eastAsia" w:hAnsi="宋体" w:cs="宋体"/>
                <w:snapToGrid w:val="0"/>
                <w:color w:val="auto"/>
                <w:sz w:val="24"/>
                <w:szCs w:val="24"/>
                <w:highlight w:val="none"/>
                <w:u w:val="single"/>
                <w:lang w:val="en-US" w:eastAsia="zh-CN"/>
              </w:rPr>
              <w:t>9</w:t>
            </w:r>
            <w:r>
              <w:rPr>
                <w:rFonts w:hint="eastAsia" w:ascii="宋体" w:hAnsi="宋体" w:cs="宋体"/>
                <w:snapToGrid w:val="0"/>
                <w:color w:val="auto"/>
                <w:sz w:val="24"/>
                <w:szCs w:val="24"/>
                <w:highlight w:val="none"/>
                <w:u w:val="single"/>
              </w:rPr>
              <w:t xml:space="preserve"> </w:t>
            </w:r>
            <w:r>
              <w:rPr>
                <w:rFonts w:hint="eastAsia" w:ascii="宋体" w:hAnsi="宋体" w:cs="宋体"/>
                <w:snapToGrid w:val="0"/>
                <w:color w:val="auto"/>
                <w:sz w:val="24"/>
                <w:szCs w:val="24"/>
                <w:highlight w:val="none"/>
              </w:rPr>
              <w:t>时</w:t>
            </w:r>
            <w:r>
              <w:rPr>
                <w:rFonts w:hint="eastAsia" w:ascii="宋体" w:hAnsi="宋体" w:cs="宋体"/>
                <w:snapToGrid w:val="0"/>
                <w:color w:val="auto"/>
                <w:sz w:val="24"/>
                <w:szCs w:val="24"/>
                <w:highlight w:val="none"/>
                <w:u w:val="single"/>
                <w:lang w:val="en-US" w:eastAsia="zh-CN"/>
              </w:rPr>
              <w:t xml:space="preserve"> </w:t>
            </w:r>
            <w:r>
              <w:rPr>
                <w:rFonts w:hint="eastAsia" w:hAnsi="宋体" w:cs="宋体"/>
                <w:snapToGrid w:val="0"/>
                <w:color w:val="auto"/>
                <w:sz w:val="24"/>
                <w:szCs w:val="24"/>
                <w:highlight w:val="none"/>
                <w:u w:val="single"/>
                <w:lang w:val="en-US" w:eastAsia="zh-CN"/>
              </w:rPr>
              <w:t>30</w:t>
            </w:r>
            <w:r>
              <w:rPr>
                <w:rFonts w:hint="eastAsia" w:ascii="宋体" w:hAnsi="宋体" w:cs="宋体"/>
                <w:snapToGrid w:val="0"/>
                <w:color w:val="auto"/>
                <w:sz w:val="24"/>
                <w:szCs w:val="24"/>
                <w:highlight w:val="none"/>
                <w:u w:val="single"/>
                <w:lang w:val="en-US" w:eastAsia="zh-CN"/>
              </w:rPr>
              <w:t xml:space="preserve"> </w:t>
            </w:r>
            <w:r>
              <w:rPr>
                <w:rFonts w:hint="eastAsia" w:ascii="宋体" w:hAnsi="宋体" w:cs="宋体"/>
                <w:snapToGrid w:val="0"/>
                <w:color w:val="auto"/>
                <w:kern w:val="0"/>
                <w:sz w:val="24"/>
                <w:szCs w:val="24"/>
                <w:highlight w:val="none"/>
              </w:rPr>
              <w:t>分</w:t>
            </w:r>
          </w:p>
        </w:tc>
      </w:tr>
      <w:tr w14:paraId="1B52AB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87" w:hRule="exact"/>
        </w:trPr>
        <w:tc>
          <w:tcPr>
            <w:tcW w:w="225" w:type="pct"/>
            <w:tcBorders>
              <w:top w:val="single" w:color="080000" w:sz="4" w:space="0"/>
              <w:left w:val="single" w:color="080000" w:sz="4" w:space="0"/>
              <w:bottom w:val="single" w:color="080000" w:sz="4" w:space="0"/>
              <w:right w:val="single" w:color="080000" w:sz="4" w:space="0"/>
            </w:tcBorders>
            <w:noWrap w:val="0"/>
            <w:vAlign w:val="center"/>
          </w:tcPr>
          <w:p w14:paraId="6BC911F2">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10</w:t>
            </w:r>
          </w:p>
        </w:tc>
        <w:tc>
          <w:tcPr>
            <w:tcW w:w="812" w:type="pct"/>
            <w:tcBorders>
              <w:top w:val="single" w:color="080000" w:sz="4" w:space="0"/>
              <w:left w:val="single" w:color="080000" w:sz="4" w:space="0"/>
              <w:bottom w:val="single" w:color="080000" w:sz="4" w:space="0"/>
              <w:right w:val="single" w:color="080000" w:sz="4" w:space="0"/>
            </w:tcBorders>
            <w:noWrap w:val="0"/>
            <w:vAlign w:val="center"/>
          </w:tcPr>
          <w:p w14:paraId="2D2963E9">
            <w:pPr>
              <w:pStyle w:val="22"/>
              <w:pageBreakBefore w:val="0"/>
              <w:kinsoku/>
              <w:wordWrap w:val="0"/>
              <w:overflowPunct/>
              <w:topLinePunct w:val="0"/>
              <w:bidi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开标地点 </w:t>
            </w:r>
          </w:p>
        </w:tc>
        <w:tc>
          <w:tcPr>
            <w:tcW w:w="3962" w:type="pct"/>
            <w:tcBorders>
              <w:top w:val="single" w:color="080000" w:sz="4" w:space="0"/>
              <w:left w:val="single" w:color="080000" w:sz="4" w:space="0"/>
              <w:bottom w:val="single" w:color="080000" w:sz="4" w:space="0"/>
              <w:right w:val="single" w:color="080000" w:sz="4" w:space="0"/>
            </w:tcBorders>
            <w:noWrap w:val="0"/>
            <w:vAlign w:val="center"/>
          </w:tcPr>
          <w:p w14:paraId="6ADFEFFB">
            <w:pPr>
              <w:keepNext w:val="0"/>
              <w:keepLines w:val="0"/>
              <w:pageBreakBefore w:val="0"/>
              <w:widowControl w:val="0"/>
              <w:kinsoku/>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开标场所：韶关市公共资源交易中心南雄分中心，</w:t>
            </w:r>
          </w:p>
          <w:p w14:paraId="5D418732">
            <w:pPr>
              <w:pStyle w:val="22"/>
              <w:pageBreakBefore w:val="0"/>
              <w:kinsoku/>
              <w:wordWrap w:val="0"/>
              <w:overflowPunct/>
              <w:topLinePunct w:val="0"/>
              <w:bidi w:val="0"/>
              <w:adjustRightInd w:val="0"/>
              <w:snapToGrid w:val="0"/>
              <w:spacing w:line="40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地址：南雄市雄东路1号大润发四楼韶关市公共资源交易中心南雄分中心（南雄市公共服务中心内）。</w:t>
            </w:r>
          </w:p>
        </w:tc>
      </w:tr>
      <w:tr w14:paraId="72E2B0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97" w:hRule="exact"/>
        </w:trPr>
        <w:tc>
          <w:tcPr>
            <w:tcW w:w="1037" w:type="pct"/>
            <w:gridSpan w:val="2"/>
            <w:tcBorders>
              <w:top w:val="single" w:color="080000" w:sz="4" w:space="0"/>
              <w:left w:val="single" w:color="080000" w:sz="4" w:space="0"/>
              <w:bottom w:val="single" w:color="080000" w:sz="4" w:space="0"/>
              <w:right w:val="single" w:color="080000" w:sz="4" w:space="0"/>
            </w:tcBorders>
            <w:noWrap w:val="0"/>
            <w:vAlign w:val="center"/>
          </w:tcPr>
          <w:p w14:paraId="62E8D9A8">
            <w:pPr>
              <w:pStyle w:val="22"/>
              <w:pageBreakBefore w:val="0"/>
              <w:kinsoku/>
              <w:wordWrap w:val="0"/>
              <w:overflowPunct/>
              <w:topLinePunct w:val="0"/>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宋体" w:hAnsi="宋体" w:cs="宋体"/>
                <w:snapToGrid w:val="0"/>
                <w:color w:val="auto"/>
                <w:kern w:val="0"/>
                <w:sz w:val="24"/>
                <w:szCs w:val="24"/>
                <w:highlight w:val="none"/>
              </w:rPr>
              <w:t>其他</w:t>
            </w:r>
          </w:p>
        </w:tc>
        <w:tc>
          <w:tcPr>
            <w:tcW w:w="3962" w:type="pct"/>
            <w:tcBorders>
              <w:top w:val="single" w:color="080000" w:sz="4" w:space="0"/>
              <w:left w:val="single" w:color="080000" w:sz="4" w:space="0"/>
              <w:bottom w:val="single" w:color="080000" w:sz="4" w:space="0"/>
              <w:right w:val="single" w:color="080000" w:sz="4" w:space="0"/>
            </w:tcBorders>
            <w:noWrap w:val="0"/>
            <w:vAlign w:val="center"/>
          </w:tcPr>
          <w:p w14:paraId="657076DD">
            <w:pPr>
              <w:pStyle w:val="4"/>
              <w:pageBreakBefore w:val="0"/>
              <w:kinsoku/>
              <w:wordWrap w:val="0"/>
              <w:overflowPunct/>
              <w:topLinePunct w:val="0"/>
              <w:bidi w:val="0"/>
              <w:adjustRightInd w:val="0"/>
              <w:snapToGrid w:val="0"/>
              <w:spacing w:line="40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rPr>
            </w:pPr>
            <w:r>
              <w:rPr>
                <w:rFonts w:hint="eastAsia" w:ascii="宋体" w:hAnsi="宋体" w:eastAsia="宋体" w:cs="宋体"/>
                <w:color w:val="auto"/>
                <w:sz w:val="24"/>
                <w:szCs w:val="24"/>
                <w:highlight w:val="none"/>
                <w:shd w:val="clear" w:color="auto" w:fill="FFFFFF"/>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67D54873">
      <w:pPr>
        <w:pageBreakBefore w:val="0"/>
        <w:tabs>
          <w:tab w:val="left" w:pos="8820"/>
        </w:tabs>
        <w:kinsoku/>
        <w:wordWrap w:val="0"/>
        <w:overflowPunct/>
        <w:topLinePunct w:val="0"/>
        <w:bidi w:val="0"/>
        <w:rPr>
          <w:rFonts w:hint="eastAsia" w:ascii="宋体" w:hAnsi="宋体" w:eastAsia="宋体" w:cs="宋体"/>
          <w:b w:val="0"/>
          <w:bCs w:val="0"/>
          <w:color w:val="auto"/>
          <w:sz w:val="24"/>
          <w:szCs w:val="24"/>
          <w:highlight w:val="none"/>
        </w:rPr>
        <w:sectPr>
          <w:headerReference r:id="rId6" w:type="default"/>
          <w:footerReference r:id="rId7" w:type="default"/>
          <w:pgSz w:w="11906" w:h="16839"/>
          <w:pgMar w:top="1440" w:right="1080" w:bottom="1440" w:left="1080" w:header="0" w:footer="1085" w:gutter="0"/>
          <w:pgBorders>
            <w:top w:val="none" w:sz="0" w:space="0"/>
            <w:left w:val="none" w:sz="0" w:space="0"/>
            <w:bottom w:val="none" w:sz="0" w:space="0"/>
            <w:right w:val="none" w:sz="0" w:space="0"/>
          </w:pgBorders>
          <w:cols w:space="720" w:num="1"/>
        </w:sectPr>
      </w:pPr>
    </w:p>
    <w:p w14:paraId="0956DF53">
      <w:pPr>
        <w:pageBreakBefore w:val="0"/>
        <w:kinsoku/>
        <w:wordWrap w:val="0"/>
        <w:overflowPunct/>
        <w:topLinePunct w:val="0"/>
        <w:bidi w:val="0"/>
        <w:jc w:val="center"/>
        <w:outlineLvl w:val="1"/>
        <w:rPr>
          <w:rFonts w:hint="eastAsia" w:ascii="宋体" w:hAnsi="宋体" w:eastAsia="宋体" w:cs="宋体"/>
          <w:color w:val="auto"/>
          <w:sz w:val="24"/>
          <w:szCs w:val="24"/>
          <w:highlight w:val="none"/>
        </w:rPr>
      </w:pPr>
      <w:bookmarkStart w:id="7" w:name="_Toc20569"/>
      <w:r>
        <w:rPr>
          <w:rFonts w:hint="eastAsia" w:ascii="宋体" w:hAnsi="宋体" w:eastAsia="宋体" w:cs="宋体"/>
          <w:b/>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投标人须知正文</w:t>
      </w:r>
      <w:bookmarkEnd w:id="7"/>
    </w:p>
    <w:p w14:paraId="02A7B79A">
      <w:pPr>
        <w:pStyle w:val="3"/>
        <w:pageBreakBefore w:val="0"/>
        <w:kinsoku/>
        <w:wordWrap w:val="0"/>
        <w:overflowPunct/>
        <w:topLinePunct w:val="0"/>
        <w:bidi w:val="0"/>
        <w:spacing w:line="256" w:lineRule="auto"/>
        <w:rPr>
          <w:rFonts w:hint="eastAsia" w:ascii="宋体" w:hAnsi="宋体" w:eastAsia="宋体" w:cs="宋体"/>
          <w:color w:val="auto"/>
          <w:highlight w:val="none"/>
        </w:rPr>
      </w:pPr>
    </w:p>
    <w:p w14:paraId="52486261">
      <w:pPr>
        <w:pStyle w:val="3"/>
        <w:pageBreakBefore w:val="0"/>
        <w:kinsoku/>
        <w:wordWrap w:val="0"/>
        <w:overflowPunct/>
        <w:topLinePunct w:val="0"/>
        <w:bidi w:val="0"/>
        <w:spacing w:line="257" w:lineRule="auto"/>
        <w:rPr>
          <w:rFonts w:hint="eastAsia" w:ascii="宋体" w:hAnsi="宋体" w:eastAsia="宋体" w:cs="宋体"/>
          <w:color w:val="auto"/>
          <w:highlight w:val="none"/>
        </w:rPr>
      </w:pPr>
    </w:p>
    <w:p w14:paraId="605C5DF8">
      <w:pPr>
        <w:keepNext w:val="0"/>
        <w:keepLines w:val="0"/>
        <w:pageBreakBefore w:val="0"/>
        <w:widowControl/>
        <w:suppressLineNumbers w:val="0"/>
        <w:kinsoku/>
        <w:wordWrap w:val="0"/>
        <w:overflowPunct/>
        <w:topLinePunct w:val="0"/>
        <w:bidi w:val="0"/>
        <w:spacing w:line="360" w:lineRule="auto"/>
        <w:ind w:right="-258" w:rightChars="-123" w:firstLine="480" w:firstLineChars="200"/>
        <w:jc w:val="left"/>
        <w:rPr>
          <w:rFonts w:hint="eastAsia" w:ascii="宋体" w:hAnsi="宋体" w:eastAsia="宋体" w:cs="宋体"/>
          <w:color w:val="auto"/>
          <w:sz w:val="36"/>
          <w:szCs w:val="36"/>
          <w:highlight w:val="none"/>
        </w:rPr>
      </w:pPr>
      <w:r>
        <w:rPr>
          <w:rFonts w:hint="eastAsia" w:ascii="宋体" w:hAnsi="宋体" w:eastAsia="宋体" w:cs="宋体"/>
          <w:snapToGrid w:val="0"/>
          <w:color w:val="auto"/>
          <w:kern w:val="0"/>
          <w:sz w:val="24"/>
          <w:szCs w:val="32"/>
          <w:highlight w:val="none"/>
          <w:u w:val="single"/>
          <w:lang w:eastAsia="zh-CN"/>
        </w:rPr>
        <w:t>南雄市主田镇园岭、大坪头、朝阳移民村美丽家园项目</w:t>
      </w:r>
      <w:r>
        <w:rPr>
          <w:rFonts w:hint="eastAsia" w:ascii="宋体" w:hAnsi="宋体" w:eastAsia="宋体" w:cs="宋体"/>
          <w:snapToGrid w:val="0"/>
          <w:color w:val="auto"/>
          <w:kern w:val="0"/>
          <w:sz w:val="24"/>
          <w:szCs w:val="32"/>
          <w:highlight w:val="none"/>
          <w:u w:val="none"/>
          <w:lang w:eastAsia="zh-CN"/>
        </w:rPr>
        <w:t>经</w:t>
      </w:r>
      <w:r>
        <w:rPr>
          <w:rFonts w:hint="eastAsia" w:ascii="宋体" w:hAnsi="宋体" w:eastAsia="宋体" w:cs="宋体"/>
          <w:snapToGrid w:val="0"/>
          <w:color w:val="auto"/>
          <w:kern w:val="0"/>
          <w:sz w:val="24"/>
          <w:szCs w:val="32"/>
          <w:highlight w:val="none"/>
          <w:u w:val="single"/>
          <w:lang w:eastAsia="zh-CN"/>
        </w:rPr>
        <w:t>南雄市发展和改革局</w:t>
      </w:r>
      <w:r>
        <w:rPr>
          <w:rFonts w:hint="eastAsia" w:ascii="宋体" w:hAnsi="宋体" w:eastAsia="宋体" w:cs="宋体"/>
          <w:snapToGrid w:val="0"/>
          <w:color w:val="auto"/>
          <w:kern w:val="0"/>
          <w:sz w:val="24"/>
          <w:szCs w:val="32"/>
          <w:highlight w:val="none"/>
          <w:u w:val="single"/>
          <w:lang w:val="en-US" w:eastAsia="zh-CN"/>
        </w:rPr>
        <w:t>文件</w:t>
      </w:r>
      <w:r>
        <w:rPr>
          <w:rFonts w:hint="eastAsia" w:ascii="宋体" w:hAnsi="宋体" w:eastAsia="宋体" w:cs="宋体"/>
          <w:snapToGrid w:val="0"/>
          <w:color w:val="auto"/>
          <w:kern w:val="0"/>
          <w:sz w:val="24"/>
          <w:szCs w:val="32"/>
          <w:highlight w:val="none"/>
          <w:u w:val="single"/>
          <w:lang w:eastAsia="zh-CN"/>
        </w:rPr>
        <w:t>《关于</w:t>
      </w:r>
      <w:r>
        <w:rPr>
          <w:rFonts w:hint="eastAsia" w:ascii="宋体" w:hAnsi="宋体" w:eastAsia="宋体" w:cs="宋体"/>
          <w:snapToGrid w:val="0"/>
          <w:color w:val="auto"/>
          <w:kern w:val="0"/>
          <w:sz w:val="24"/>
          <w:szCs w:val="32"/>
          <w:highlight w:val="none"/>
          <w:u w:val="single"/>
          <w:lang w:val="en-US" w:eastAsia="zh-CN"/>
        </w:rPr>
        <w:t>南雄市主田镇园岭、大坪头、朝阳移民村美丽家园项目</w:t>
      </w:r>
      <w:r>
        <w:rPr>
          <w:rFonts w:hint="eastAsia" w:ascii="宋体" w:hAnsi="宋体" w:eastAsia="宋体" w:cs="宋体"/>
          <w:snapToGrid w:val="0"/>
          <w:color w:val="auto"/>
          <w:kern w:val="0"/>
          <w:sz w:val="24"/>
          <w:szCs w:val="32"/>
          <w:highlight w:val="none"/>
          <w:u w:val="single"/>
          <w:lang w:eastAsia="zh-CN"/>
        </w:rPr>
        <w:t>的批复》（雄发改投审〔</w:t>
      </w:r>
      <w:r>
        <w:rPr>
          <w:rFonts w:hint="eastAsia" w:ascii="宋体" w:hAnsi="宋体" w:eastAsia="宋体" w:cs="宋体"/>
          <w:snapToGrid w:val="0"/>
          <w:color w:val="auto"/>
          <w:kern w:val="0"/>
          <w:sz w:val="24"/>
          <w:szCs w:val="32"/>
          <w:highlight w:val="none"/>
          <w:u w:val="single"/>
          <w:lang w:val="en-US" w:eastAsia="zh-CN"/>
        </w:rPr>
        <w:t>2026</w:t>
      </w:r>
      <w:r>
        <w:rPr>
          <w:rFonts w:hint="eastAsia" w:ascii="宋体" w:hAnsi="宋体" w:eastAsia="宋体" w:cs="宋体"/>
          <w:snapToGrid w:val="0"/>
          <w:color w:val="auto"/>
          <w:kern w:val="0"/>
          <w:sz w:val="24"/>
          <w:szCs w:val="32"/>
          <w:highlight w:val="none"/>
          <w:u w:val="single"/>
          <w:lang w:eastAsia="zh-CN"/>
        </w:rPr>
        <w:t>〕</w:t>
      </w:r>
      <w:r>
        <w:rPr>
          <w:rFonts w:hint="eastAsia" w:ascii="宋体" w:hAnsi="宋体" w:eastAsia="宋体" w:cs="宋体"/>
          <w:snapToGrid w:val="0"/>
          <w:color w:val="auto"/>
          <w:kern w:val="0"/>
          <w:sz w:val="24"/>
          <w:szCs w:val="32"/>
          <w:highlight w:val="none"/>
          <w:u w:val="single"/>
          <w:lang w:val="en-US" w:eastAsia="zh-CN"/>
        </w:rPr>
        <w:t>44</w:t>
      </w:r>
      <w:r>
        <w:rPr>
          <w:rFonts w:hint="eastAsia" w:ascii="宋体" w:hAnsi="宋体" w:eastAsia="宋体" w:cs="宋体"/>
          <w:snapToGrid w:val="0"/>
          <w:color w:val="auto"/>
          <w:kern w:val="0"/>
          <w:sz w:val="24"/>
          <w:szCs w:val="32"/>
          <w:highlight w:val="none"/>
          <w:u w:val="single"/>
          <w:lang w:eastAsia="zh-CN"/>
        </w:rPr>
        <w:t>号）、南雄市</w:t>
      </w:r>
      <w:r>
        <w:rPr>
          <w:rFonts w:hint="eastAsia" w:ascii="宋体" w:hAnsi="宋体" w:eastAsia="宋体" w:cs="宋体"/>
          <w:snapToGrid w:val="0"/>
          <w:color w:val="auto"/>
          <w:kern w:val="0"/>
          <w:sz w:val="24"/>
          <w:szCs w:val="32"/>
          <w:highlight w:val="none"/>
          <w:u w:val="single"/>
          <w:lang w:val="en-US" w:eastAsia="zh-CN"/>
        </w:rPr>
        <w:t>人民政府</w:t>
      </w:r>
      <w:r>
        <w:rPr>
          <w:rFonts w:hint="eastAsia" w:ascii="宋体" w:hAnsi="宋体" w:eastAsia="宋体" w:cs="宋体"/>
          <w:snapToGrid w:val="0"/>
          <w:color w:val="auto"/>
          <w:kern w:val="0"/>
          <w:sz w:val="24"/>
          <w:szCs w:val="32"/>
          <w:highlight w:val="none"/>
          <w:u w:val="single"/>
          <w:lang w:eastAsia="zh-CN"/>
        </w:rPr>
        <w:t>《关于</w:t>
      </w:r>
      <w:r>
        <w:rPr>
          <w:rFonts w:hint="eastAsia" w:ascii="宋体" w:hAnsi="宋体" w:eastAsia="宋体" w:cs="宋体"/>
          <w:snapToGrid w:val="0"/>
          <w:color w:val="auto"/>
          <w:kern w:val="0"/>
          <w:sz w:val="24"/>
          <w:szCs w:val="32"/>
          <w:highlight w:val="none"/>
          <w:u w:val="single"/>
          <w:lang w:val="en-US" w:eastAsia="zh-CN"/>
        </w:rPr>
        <w:t>同意南雄市主田镇园岭、大坪头、朝阳移民村美丽家园项目计划</w:t>
      </w:r>
      <w:r>
        <w:rPr>
          <w:rFonts w:hint="eastAsia" w:ascii="宋体" w:hAnsi="宋体" w:eastAsia="宋体" w:cs="宋体"/>
          <w:snapToGrid w:val="0"/>
          <w:color w:val="auto"/>
          <w:kern w:val="0"/>
          <w:sz w:val="24"/>
          <w:szCs w:val="32"/>
          <w:highlight w:val="none"/>
          <w:u w:val="single"/>
          <w:lang w:eastAsia="zh-CN"/>
        </w:rPr>
        <w:t>的批复》</w:t>
      </w:r>
      <w:r>
        <w:rPr>
          <w:rFonts w:hint="eastAsia" w:ascii="宋体" w:hAnsi="宋体" w:eastAsia="宋体" w:cs="宋体"/>
          <w:snapToGrid w:val="0"/>
          <w:color w:val="auto"/>
          <w:kern w:val="0"/>
          <w:sz w:val="24"/>
          <w:szCs w:val="32"/>
          <w:highlight w:val="none"/>
          <w:u w:val="single"/>
          <w:lang w:val="en-US" w:eastAsia="zh-CN"/>
        </w:rPr>
        <w:t>及</w:t>
      </w:r>
      <w:r>
        <w:rPr>
          <w:rFonts w:hint="eastAsia" w:ascii="宋体" w:hAnsi="宋体" w:eastAsia="宋体" w:cs="宋体"/>
          <w:snapToGrid w:val="0"/>
          <w:color w:val="auto"/>
          <w:kern w:val="0"/>
          <w:sz w:val="24"/>
          <w:szCs w:val="32"/>
          <w:highlight w:val="none"/>
          <w:u w:val="single"/>
          <w:lang w:eastAsia="zh-CN"/>
        </w:rPr>
        <w:t>南雄市水务局《关于</w:t>
      </w:r>
      <w:r>
        <w:rPr>
          <w:rFonts w:hint="eastAsia" w:ascii="宋体" w:hAnsi="宋体" w:eastAsia="宋体" w:cs="宋体"/>
          <w:snapToGrid w:val="0"/>
          <w:color w:val="auto"/>
          <w:kern w:val="0"/>
          <w:sz w:val="24"/>
          <w:szCs w:val="32"/>
          <w:highlight w:val="none"/>
          <w:u w:val="single"/>
          <w:lang w:val="en-US" w:eastAsia="zh-CN"/>
        </w:rPr>
        <w:t>南雄市主田镇园岭、大坪头、朝阳移民村美丽家园项目实施方案</w:t>
      </w:r>
      <w:r>
        <w:rPr>
          <w:rFonts w:hint="eastAsia" w:ascii="宋体" w:hAnsi="宋体" w:eastAsia="宋体" w:cs="宋体"/>
          <w:snapToGrid w:val="0"/>
          <w:color w:val="auto"/>
          <w:kern w:val="0"/>
          <w:sz w:val="24"/>
          <w:szCs w:val="32"/>
          <w:highlight w:val="none"/>
          <w:u w:val="single"/>
          <w:lang w:eastAsia="zh-CN"/>
        </w:rPr>
        <w:t>的批复》（雄水批〔</w:t>
      </w:r>
      <w:r>
        <w:rPr>
          <w:rFonts w:hint="eastAsia" w:ascii="宋体" w:hAnsi="宋体" w:eastAsia="宋体" w:cs="宋体"/>
          <w:snapToGrid w:val="0"/>
          <w:color w:val="auto"/>
          <w:kern w:val="0"/>
          <w:sz w:val="24"/>
          <w:szCs w:val="32"/>
          <w:highlight w:val="none"/>
          <w:u w:val="single"/>
          <w:lang w:val="en-US" w:eastAsia="zh-CN"/>
        </w:rPr>
        <w:t>2026</w:t>
      </w:r>
      <w:r>
        <w:rPr>
          <w:rFonts w:hint="eastAsia" w:ascii="宋体" w:hAnsi="宋体" w:eastAsia="宋体" w:cs="宋体"/>
          <w:snapToGrid w:val="0"/>
          <w:color w:val="auto"/>
          <w:kern w:val="0"/>
          <w:sz w:val="24"/>
          <w:szCs w:val="32"/>
          <w:highlight w:val="none"/>
          <w:u w:val="single"/>
          <w:lang w:eastAsia="zh-CN"/>
        </w:rPr>
        <w:t>〕</w:t>
      </w:r>
      <w:r>
        <w:rPr>
          <w:rFonts w:hint="eastAsia" w:ascii="宋体" w:hAnsi="宋体" w:eastAsia="宋体" w:cs="宋体"/>
          <w:snapToGrid w:val="0"/>
          <w:color w:val="auto"/>
          <w:kern w:val="0"/>
          <w:sz w:val="24"/>
          <w:szCs w:val="32"/>
          <w:highlight w:val="none"/>
          <w:u w:val="single"/>
          <w:lang w:val="en-US" w:eastAsia="zh-CN"/>
        </w:rPr>
        <w:t>3</w:t>
      </w:r>
      <w:r>
        <w:rPr>
          <w:rFonts w:hint="eastAsia" w:ascii="宋体" w:hAnsi="宋体" w:eastAsia="宋体" w:cs="宋体"/>
          <w:snapToGrid w:val="0"/>
          <w:color w:val="auto"/>
          <w:kern w:val="0"/>
          <w:sz w:val="24"/>
          <w:szCs w:val="32"/>
          <w:highlight w:val="none"/>
          <w:u w:val="single"/>
          <w:lang w:eastAsia="zh-CN"/>
        </w:rPr>
        <w:t>号）</w:t>
      </w:r>
      <w:r>
        <w:rPr>
          <w:rFonts w:hint="eastAsia" w:ascii="宋体" w:hAnsi="宋体" w:eastAsia="宋体" w:cs="宋体"/>
          <w:snapToGrid w:val="0"/>
          <w:color w:val="auto"/>
          <w:kern w:val="0"/>
          <w:sz w:val="24"/>
          <w:szCs w:val="32"/>
          <w:highlight w:val="none"/>
          <w:u w:val="none"/>
          <w:lang w:eastAsia="zh-CN"/>
        </w:rPr>
        <w:t>批准建设</w:t>
      </w:r>
      <w:r>
        <w:rPr>
          <w:rFonts w:hint="eastAsia" w:ascii="宋体" w:hAnsi="宋体" w:eastAsia="宋体" w:cs="宋体"/>
          <w:snapToGrid w:val="0"/>
          <w:color w:val="auto"/>
          <w:kern w:val="0"/>
          <w:sz w:val="24"/>
          <w:szCs w:val="32"/>
          <w:highlight w:val="none"/>
        </w:rPr>
        <w:t>，项目代码为</w:t>
      </w:r>
      <w:r>
        <w:rPr>
          <w:rFonts w:hint="eastAsia" w:ascii="宋体" w:hAnsi="宋体" w:eastAsia="宋体" w:cs="宋体"/>
          <w:snapToGrid w:val="0"/>
          <w:color w:val="auto"/>
          <w:kern w:val="0"/>
          <w:sz w:val="24"/>
          <w:szCs w:val="32"/>
          <w:highlight w:val="none"/>
          <w:u w:val="single"/>
          <w:lang w:val="en-US" w:eastAsia="zh-CN"/>
        </w:rPr>
        <w:t>2604-440282-04-01-701542</w:t>
      </w:r>
      <w:r>
        <w:rPr>
          <w:rFonts w:hint="eastAsia" w:ascii="宋体" w:hAnsi="宋体" w:eastAsia="宋体" w:cs="宋体"/>
          <w:snapToGrid w:val="0"/>
          <w:color w:val="auto"/>
          <w:kern w:val="0"/>
          <w:sz w:val="24"/>
          <w:szCs w:val="32"/>
          <w:highlight w:val="none"/>
        </w:rPr>
        <w:t>。项目业主为</w:t>
      </w:r>
      <w:r>
        <w:rPr>
          <w:rFonts w:hint="eastAsia" w:ascii="宋体" w:hAnsi="宋体" w:eastAsia="宋体" w:cs="宋体"/>
          <w:snapToGrid w:val="0"/>
          <w:color w:val="auto"/>
          <w:kern w:val="0"/>
          <w:sz w:val="24"/>
          <w:szCs w:val="32"/>
          <w:highlight w:val="none"/>
          <w:u w:val="single"/>
          <w:lang w:eastAsia="zh-CN"/>
        </w:rPr>
        <w:t>南雄市水利建设工程建设管理中心</w:t>
      </w:r>
      <w:r>
        <w:rPr>
          <w:rFonts w:hint="eastAsia" w:ascii="宋体" w:hAnsi="宋体" w:eastAsia="宋体" w:cs="宋体"/>
          <w:snapToGrid w:val="0"/>
          <w:color w:val="auto"/>
          <w:kern w:val="0"/>
          <w:sz w:val="24"/>
          <w:szCs w:val="32"/>
          <w:highlight w:val="none"/>
        </w:rPr>
        <w:t>，建设资金来自</w:t>
      </w:r>
      <w:r>
        <w:rPr>
          <w:rFonts w:hint="eastAsia" w:ascii="宋体" w:hAnsi="宋体" w:eastAsia="宋体" w:cs="宋体"/>
          <w:snapToGrid w:val="0"/>
          <w:color w:val="auto"/>
          <w:kern w:val="0"/>
          <w:sz w:val="24"/>
          <w:szCs w:val="32"/>
          <w:highlight w:val="none"/>
          <w:u w:val="single"/>
          <w:lang w:val="en-US" w:eastAsia="zh-CN"/>
        </w:rPr>
        <w:t>上级资金</w:t>
      </w:r>
      <w:r>
        <w:rPr>
          <w:rFonts w:hint="eastAsia" w:ascii="宋体" w:hAnsi="宋体" w:eastAsia="宋体" w:cs="宋体"/>
          <w:snapToGrid w:val="0"/>
          <w:color w:val="auto"/>
          <w:kern w:val="0"/>
          <w:sz w:val="24"/>
          <w:szCs w:val="32"/>
          <w:highlight w:val="none"/>
        </w:rPr>
        <w:t>，出资比例</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rPr>
        <w:t>100%</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，招标人为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南雄市水利建设工程建设管理中心</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，招标代理机构为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color w:val="auto"/>
          <w:kern w:val="0"/>
          <w:sz w:val="24"/>
          <w:szCs w:val="24"/>
          <w:highlight w:val="none"/>
          <w:u w:val="single"/>
          <w:lang w:eastAsia="zh-CN"/>
        </w:rPr>
        <w:t>韶关市中利工程咨询有限公司</w:t>
      </w:r>
      <w:r>
        <w:rPr>
          <w:rFonts w:hint="eastAsia" w:ascii="宋体" w:hAnsi="宋体" w:eastAsia="宋体" w:cs="宋体"/>
          <w:snapToGrid w:val="0"/>
          <w:color w:val="auto"/>
          <w:kern w:val="0"/>
          <w:sz w:val="24"/>
          <w:szCs w:val="32"/>
          <w:highlight w:val="none"/>
        </w:rPr>
        <w:t>。</w:t>
      </w:r>
      <w:r>
        <w:rPr>
          <w:rFonts w:hint="eastAsia" w:ascii="宋体" w:hAnsi="宋体" w:eastAsia="宋体" w:cs="宋体"/>
          <w:snapToGrid w:val="0"/>
          <w:color w:val="auto"/>
          <w:kern w:val="0"/>
          <w:sz w:val="24"/>
          <w:szCs w:val="24"/>
          <w:highlight w:val="none"/>
        </w:rPr>
        <w:t>项目已具备招标条件，现对该项目的</w:t>
      </w:r>
      <w:r>
        <w:rPr>
          <w:rFonts w:hint="eastAsia" w:ascii="宋体" w:hAnsi="宋体" w:eastAsia="宋体" w:cs="宋体"/>
          <w:snapToGrid w:val="0"/>
          <w:color w:val="auto"/>
          <w:kern w:val="0"/>
          <w:sz w:val="24"/>
          <w:szCs w:val="24"/>
          <w:highlight w:val="none"/>
          <w:u w:val="single"/>
          <w:lang w:val="en-US" w:eastAsia="zh-CN"/>
        </w:rPr>
        <w:t>施工</w:t>
      </w:r>
      <w:r>
        <w:rPr>
          <w:rFonts w:hint="eastAsia" w:ascii="宋体" w:hAnsi="宋体" w:eastAsia="宋体" w:cs="宋体"/>
          <w:snapToGrid w:val="0"/>
          <w:color w:val="auto"/>
          <w:kern w:val="0"/>
          <w:sz w:val="24"/>
          <w:szCs w:val="24"/>
          <w:highlight w:val="none"/>
        </w:rPr>
        <w:t>进行公开招标。</w:t>
      </w:r>
    </w:p>
    <w:p w14:paraId="692F6E02">
      <w:pPr>
        <w:pageBreakBefore w:val="0"/>
        <w:kinsoku/>
        <w:wordWrap w:val="0"/>
        <w:overflowPunct/>
        <w:topLinePunct w:val="0"/>
        <w:bidi w:val="0"/>
        <w:spacing w:before="78" w:line="220" w:lineRule="auto"/>
        <w:ind w:left="496"/>
        <w:outlineLvl w:val="2"/>
        <w:rPr>
          <w:rFonts w:hint="eastAsia" w:ascii="宋体" w:hAnsi="宋体" w:eastAsia="宋体" w:cs="宋体"/>
          <w:color w:val="auto"/>
          <w:sz w:val="24"/>
          <w:szCs w:val="24"/>
          <w:highlight w:val="none"/>
        </w:rPr>
      </w:pPr>
      <w:bookmarkStart w:id="8" w:name="bookmark59"/>
      <w:bookmarkEnd w:id="8"/>
      <w:bookmarkStart w:id="9" w:name="bookmark52"/>
      <w:bookmarkEnd w:id="9"/>
      <w:bookmarkStart w:id="10" w:name="bookmark73"/>
      <w:bookmarkEnd w:id="10"/>
      <w:bookmarkStart w:id="11" w:name="_Toc15993"/>
      <w:bookmarkStart w:id="12" w:name="_Toc19144"/>
      <w:r>
        <w:rPr>
          <w:rFonts w:hint="eastAsia" w:ascii="宋体" w:hAnsi="宋体" w:eastAsia="宋体" w:cs="宋体"/>
          <w:b/>
          <w:bCs/>
          <w:color w:val="auto"/>
          <w:spacing w:val="-4"/>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4"/>
          <w:sz w:val="24"/>
          <w:szCs w:val="24"/>
          <w:highlight w:val="none"/>
        </w:rPr>
        <w:t>．项目概况、招标范围和标段划分、投标费用等</w:t>
      </w:r>
      <w:bookmarkEnd w:id="11"/>
      <w:bookmarkEnd w:id="12"/>
    </w:p>
    <w:p w14:paraId="49DE2858">
      <w:pPr>
        <w:pageBreakBefore w:val="0"/>
        <w:kinsoku/>
        <w:wordWrap w:val="0"/>
        <w:overflowPunct/>
        <w:topLinePunct w:val="0"/>
        <w:bidi w:val="0"/>
        <w:spacing w:before="153"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5"/>
          <w:sz w:val="24"/>
          <w:szCs w:val="24"/>
          <w:highlight w:val="none"/>
        </w:rPr>
        <w:t>项目概况</w:t>
      </w:r>
    </w:p>
    <w:p w14:paraId="2FC94A93">
      <w:pPr>
        <w:keepNext w:val="0"/>
        <w:keepLines w:val="0"/>
        <w:pageBreakBefore w:val="0"/>
        <w:widowControl/>
        <w:kinsoku/>
        <w:wordWrap w:val="0"/>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1.1.1  </w:t>
      </w:r>
      <w:r>
        <w:rPr>
          <w:rFonts w:hint="eastAsia" w:ascii="宋体" w:hAnsi="宋体" w:eastAsia="宋体" w:cs="宋体"/>
          <w:color w:val="auto"/>
          <w:spacing w:val="-2"/>
          <w:sz w:val="24"/>
          <w:szCs w:val="24"/>
          <w:highlight w:val="none"/>
        </w:rPr>
        <w:t>建设地点：</w:t>
      </w:r>
      <w:r>
        <w:rPr>
          <w:rFonts w:hint="eastAsia" w:ascii="宋体" w:hAnsi="宋体" w:eastAsia="宋体" w:cs="宋体"/>
          <w:color w:val="auto"/>
          <w:spacing w:val="-2"/>
          <w:sz w:val="24"/>
          <w:szCs w:val="24"/>
          <w:highlight w:val="none"/>
          <w:u w:val="single"/>
        </w:rPr>
        <w:t>南雄市</w:t>
      </w:r>
      <w:r>
        <w:rPr>
          <w:rFonts w:hint="eastAsia" w:ascii="宋体" w:hAnsi="宋体" w:eastAsia="宋体" w:cs="宋体"/>
          <w:color w:val="auto"/>
          <w:spacing w:val="-2"/>
          <w:sz w:val="24"/>
          <w:szCs w:val="24"/>
          <w:highlight w:val="none"/>
          <w:u w:val="single"/>
          <w:lang w:val="en-US" w:eastAsia="zh-CN"/>
        </w:rPr>
        <w:t>主田镇</w:t>
      </w:r>
      <w:r>
        <w:rPr>
          <w:rFonts w:hint="eastAsia" w:ascii="宋体" w:hAnsi="宋体" w:eastAsia="宋体" w:cs="宋体"/>
          <w:color w:val="auto"/>
          <w:sz w:val="24"/>
          <w:szCs w:val="24"/>
          <w:highlight w:val="none"/>
          <w:u w:val="single"/>
          <w:lang w:val="en-US" w:eastAsia="zh-CN"/>
        </w:rPr>
        <w:t>。</w:t>
      </w:r>
    </w:p>
    <w:p w14:paraId="017DE51C">
      <w:pPr>
        <w:keepNext w:val="0"/>
        <w:keepLines w:val="0"/>
        <w:pageBreakBefore w:val="0"/>
        <w:widowControl/>
        <w:kinsoku/>
        <w:wordWrap w:val="0"/>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1.1.2  </w:t>
      </w:r>
      <w:r>
        <w:rPr>
          <w:rFonts w:hint="eastAsia" w:ascii="宋体" w:hAnsi="宋体" w:eastAsia="宋体" w:cs="宋体"/>
          <w:color w:val="auto"/>
          <w:spacing w:val="-2"/>
          <w:sz w:val="24"/>
          <w:szCs w:val="24"/>
          <w:highlight w:val="none"/>
        </w:rPr>
        <w:t>建设内容和规模：</w:t>
      </w:r>
      <w:r>
        <w:rPr>
          <w:rFonts w:hint="eastAsia" w:ascii="宋体" w:hAnsi="宋体" w:eastAsia="宋体" w:cs="宋体"/>
          <w:color w:val="auto"/>
          <w:spacing w:val="-2"/>
          <w:sz w:val="24"/>
          <w:szCs w:val="24"/>
          <w:highlight w:val="none"/>
          <w:u w:val="single"/>
          <w:lang w:val="en-US" w:eastAsia="zh-CN"/>
        </w:rPr>
        <w:t>新建及现状广场提升约2258平方米；村道白改黑约3164平方米；整治提升巷道约2384平方米；水沟三面光提升约952平方米；外立面改造约16862平方米；新建绿美小公园约1630平方米、四小园矮墙约590米、停车位、健身器材、路灯等。</w:t>
      </w:r>
    </w:p>
    <w:p w14:paraId="13C34DBA">
      <w:pPr>
        <w:keepNext w:val="0"/>
        <w:keepLines w:val="0"/>
        <w:pageBreakBefore w:val="0"/>
        <w:widowControl/>
        <w:kinsoku/>
        <w:wordWrap w:val="0"/>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1.1.3  </w:t>
      </w:r>
      <w:r>
        <w:rPr>
          <w:rFonts w:hint="eastAsia" w:ascii="宋体" w:hAnsi="宋体" w:eastAsia="宋体" w:cs="宋体"/>
          <w:color w:val="auto"/>
          <w:spacing w:val="-2"/>
          <w:sz w:val="24"/>
          <w:szCs w:val="24"/>
          <w:highlight w:val="none"/>
        </w:rPr>
        <w:t>项目总投资</w:t>
      </w:r>
      <w:r>
        <w:rPr>
          <w:rStyle w:val="20"/>
          <w:rFonts w:hint="eastAsia" w:ascii="宋体" w:hAnsi="宋体" w:eastAsia="宋体" w:cs="宋体"/>
          <w:color w:val="auto"/>
          <w:kern w:val="0"/>
          <w:sz w:val="24"/>
          <w:szCs w:val="24"/>
          <w:highlight w:val="none"/>
        </w:rPr>
        <w:t>：</w:t>
      </w:r>
      <w:r>
        <w:rPr>
          <w:rStyle w:val="20"/>
          <w:rFonts w:hint="eastAsia" w:ascii="宋体" w:hAnsi="宋体" w:eastAsia="宋体" w:cs="宋体"/>
          <w:color w:val="auto"/>
          <w:kern w:val="0"/>
          <w:sz w:val="24"/>
          <w:szCs w:val="24"/>
          <w:highlight w:val="none"/>
          <w:u w:val="single"/>
        </w:rPr>
        <w:t>项目概算总投资637.64万元，其中建安工程费567.60万元。</w:t>
      </w:r>
    </w:p>
    <w:p w14:paraId="758B6CCF">
      <w:pPr>
        <w:keepNext w:val="0"/>
        <w:keepLines w:val="0"/>
        <w:pageBreakBefore w:val="0"/>
        <w:widowControl/>
        <w:kinsoku/>
        <w:wordWrap w:val="0"/>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z w:val="24"/>
          <w:szCs w:val="24"/>
          <w:highlight w:val="none"/>
          <w:u w:val="none"/>
          <w:lang w:val="en-US" w:eastAsia="zh-CN"/>
        </w:rPr>
        <w:t>1</w:t>
      </w:r>
      <w:r>
        <w:rPr>
          <w:rFonts w:hint="eastAsia" w:ascii="宋体" w:hAnsi="宋体" w:eastAsia="宋体" w:cs="宋体"/>
          <w:b/>
          <w:bCs/>
          <w:color w:val="auto"/>
          <w:spacing w:val="-2"/>
          <w:sz w:val="24"/>
          <w:szCs w:val="24"/>
          <w:highlight w:val="none"/>
          <w:u w:val="none"/>
          <w:lang w:val="en-US" w:eastAsia="zh-CN"/>
        </w:rPr>
        <w:t xml:space="preserve">.2 </w:t>
      </w:r>
      <w:r>
        <w:rPr>
          <w:rFonts w:hint="eastAsia" w:ascii="宋体" w:hAnsi="宋体" w:eastAsia="宋体" w:cs="宋体"/>
          <w:color w:val="auto"/>
          <w:sz w:val="24"/>
          <w:szCs w:val="24"/>
          <w:highlight w:val="none"/>
          <w:u w:val="none"/>
          <w:lang w:val="en-US" w:eastAsia="zh-CN"/>
        </w:rPr>
        <w:t xml:space="preserve"> 招标范围和标段划分</w:t>
      </w:r>
    </w:p>
    <w:p w14:paraId="52F0C381">
      <w:pPr>
        <w:keepNext w:val="0"/>
        <w:keepLines w:val="0"/>
        <w:pageBreakBefore w:val="0"/>
        <w:widowControl/>
        <w:kinsoku/>
        <w:wordWrap w:val="0"/>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rPr>
        <w:t xml:space="preserve">1.2.1  </w:t>
      </w:r>
      <w:r>
        <w:rPr>
          <w:rFonts w:hint="eastAsia" w:ascii="宋体" w:hAnsi="宋体" w:eastAsia="宋体" w:cs="宋体"/>
          <w:color w:val="auto"/>
          <w:spacing w:val="-2"/>
          <w:sz w:val="24"/>
          <w:szCs w:val="24"/>
          <w:highlight w:val="none"/>
        </w:rPr>
        <w:t>招标范围：</w:t>
      </w:r>
      <w:r>
        <w:rPr>
          <w:rFonts w:hint="eastAsia" w:ascii="宋体" w:hAnsi="宋体" w:eastAsia="宋体" w:cs="宋体"/>
          <w:color w:val="auto"/>
          <w:spacing w:val="-2"/>
          <w:sz w:val="24"/>
          <w:szCs w:val="24"/>
          <w:highlight w:val="none"/>
          <w:lang w:val="en-US" w:eastAsia="zh-CN"/>
        </w:rPr>
        <w:t>工程量清单及图纸范围内的工程施工</w:t>
      </w:r>
      <w:r>
        <w:rPr>
          <w:rFonts w:hint="eastAsia" w:ascii="宋体" w:hAnsi="宋体" w:eastAsia="宋体" w:cs="宋体"/>
          <w:color w:val="auto"/>
          <w:spacing w:val="-1"/>
          <w:sz w:val="24"/>
          <w:szCs w:val="24"/>
          <w:highlight w:val="none"/>
          <w:lang w:eastAsia="zh-CN"/>
        </w:rPr>
        <w:t>。</w:t>
      </w:r>
    </w:p>
    <w:p w14:paraId="4A32985A">
      <w:pPr>
        <w:keepNext w:val="0"/>
        <w:keepLines w:val="0"/>
        <w:pageBreakBefore w:val="0"/>
        <w:widowControl/>
        <w:kinsoku/>
        <w:wordWrap w:val="0"/>
        <w:overflowPunct/>
        <w:topLinePunct w:val="0"/>
        <w:autoSpaceDE w:val="0"/>
        <w:autoSpaceDN w:val="0"/>
        <w:bidi w:val="0"/>
        <w:adjustRightInd w:val="0"/>
        <w:snapToGrid w:val="0"/>
        <w:spacing w:line="360" w:lineRule="auto"/>
        <w:ind w:left="493"/>
        <w:textAlignment w:val="baseline"/>
        <w:outlineLvl w:val="9"/>
        <w:rPr>
          <w:rFonts w:hint="eastAsia" w:ascii="宋体" w:hAnsi="宋体" w:eastAsia="宋体" w:cs="宋体"/>
          <w:color w:val="auto"/>
          <w:sz w:val="24"/>
          <w:szCs w:val="24"/>
          <w:highlight w:val="none"/>
        </w:rPr>
      </w:pPr>
      <w:bookmarkStart w:id="13" w:name="_Toc20855"/>
      <w:bookmarkStart w:id="14" w:name="_Toc14190"/>
      <w:bookmarkStart w:id="15" w:name="_Toc24593"/>
      <w:bookmarkStart w:id="16" w:name="_Toc28202"/>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标段划分：本招标项目不划分标段。</w:t>
      </w:r>
      <w:bookmarkEnd w:id="13"/>
      <w:bookmarkEnd w:id="14"/>
      <w:bookmarkEnd w:id="15"/>
      <w:bookmarkEnd w:id="16"/>
    </w:p>
    <w:p w14:paraId="71B39489">
      <w:pPr>
        <w:keepNext w:val="0"/>
        <w:keepLines w:val="0"/>
        <w:pageBreakBefore w:val="0"/>
        <w:widowControl/>
        <w:kinsoku/>
        <w:wordWrap w:val="0"/>
        <w:overflowPunct/>
        <w:topLinePunct w:val="0"/>
        <w:autoSpaceDE w:val="0"/>
        <w:autoSpaceDN w:val="0"/>
        <w:bidi w:val="0"/>
        <w:adjustRightInd w:val="0"/>
        <w:snapToGrid w:val="0"/>
        <w:spacing w:line="360" w:lineRule="auto"/>
        <w:ind w:left="13" w:right="65" w:firstLine="53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  </w:t>
      </w:r>
      <w:r>
        <w:rPr>
          <w:rFonts w:hint="eastAsia" w:ascii="宋体" w:hAnsi="宋体" w:eastAsia="宋体" w:cs="宋体"/>
          <w:color w:val="auto"/>
          <w:spacing w:val="-1"/>
          <w:sz w:val="24"/>
          <w:szCs w:val="24"/>
          <w:highlight w:val="none"/>
        </w:rPr>
        <w:t>投标费用：投标人应承担所有准备和参加投标的相关费用，不</w:t>
      </w:r>
      <w:r>
        <w:rPr>
          <w:rFonts w:hint="eastAsia" w:ascii="宋体" w:hAnsi="宋体" w:eastAsia="宋体" w:cs="宋体"/>
          <w:color w:val="auto"/>
          <w:spacing w:val="-2"/>
          <w:sz w:val="24"/>
          <w:szCs w:val="24"/>
          <w:highlight w:val="none"/>
        </w:rPr>
        <w:t>论投标结果如</w:t>
      </w:r>
      <w:r>
        <w:rPr>
          <w:rFonts w:hint="eastAsia" w:ascii="宋体" w:hAnsi="宋体" w:eastAsia="宋体" w:cs="宋体"/>
          <w:color w:val="auto"/>
          <w:spacing w:val="-1"/>
          <w:sz w:val="24"/>
          <w:szCs w:val="24"/>
          <w:highlight w:val="none"/>
        </w:rPr>
        <w:t>何，招标人均无义务和责任承担这些费用。</w:t>
      </w:r>
    </w:p>
    <w:p w14:paraId="59A5251A">
      <w:pPr>
        <w:keepNext w:val="0"/>
        <w:keepLines w:val="0"/>
        <w:pageBreakBefore w:val="0"/>
        <w:widowControl/>
        <w:kinsoku/>
        <w:wordWrap w:val="0"/>
        <w:overflowPunct/>
        <w:topLinePunct w:val="0"/>
        <w:autoSpaceDE w:val="0"/>
        <w:autoSpaceDN w:val="0"/>
        <w:bidi w:val="0"/>
        <w:adjustRightInd w:val="0"/>
        <w:snapToGrid w:val="0"/>
        <w:spacing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 xml:space="preserve">1.4  </w:t>
      </w:r>
      <w:r>
        <w:rPr>
          <w:rFonts w:hint="eastAsia" w:ascii="宋体" w:hAnsi="宋体" w:eastAsia="宋体" w:cs="宋体"/>
          <w:color w:val="auto"/>
          <w:spacing w:val="-6"/>
          <w:sz w:val="24"/>
          <w:szCs w:val="24"/>
          <w:highlight w:val="none"/>
        </w:rPr>
        <w:t>招标代理费用：</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82"/>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w:t>
      </w:r>
      <w:r>
        <w:rPr>
          <w:rFonts w:hint="eastAsia" w:ascii="宋体" w:hAnsi="宋体" w:eastAsia="宋体" w:cs="宋体"/>
          <w:color w:val="auto"/>
          <w:spacing w:val="6"/>
          <w:sz w:val="24"/>
          <w:szCs w:val="24"/>
          <w:highlight w:val="none"/>
        </w:rPr>
        <w:t>项目业主</w:t>
      </w:r>
      <w:r>
        <w:rPr>
          <w:rFonts w:hint="eastAsia" w:ascii="宋体" w:hAnsi="宋体" w:eastAsia="宋体" w:cs="宋体"/>
          <w:color w:val="auto"/>
          <w:spacing w:val="-6"/>
          <w:sz w:val="24"/>
          <w:szCs w:val="24"/>
          <w:highlight w:val="none"/>
          <w:shd w:val="clear" w:color="auto" w:fill="FFFFFF"/>
        </w:rPr>
        <w:t>支</w:t>
      </w:r>
      <w:r>
        <w:rPr>
          <w:rFonts w:hint="eastAsia" w:ascii="宋体" w:hAnsi="宋体" w:eastAsia="宋体" w:cs="宋体"/>
          <w:color w:val="auto"/>
          <w:spacing w:val="-6"/>
          <w:sz w:val="24"/>
          <w:szCs w:val="24"/>
          <w:highlight w:val="none"/>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由中标人支付。</w:t>
      </w:r>
    </w:p>
    <w:p w14:paraId="695842AD">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left"/>
        <w:textAlignment w:val="baseline"/>
        <w:outlineLvl w:val="2"/>
        <w:rPr>
          <w:rFonts w:hint="eastAsia" w:ascii="宋体" w:hAnsi="宋体" w:eastAsia="宋体" w:cs="宋体"/>
          <w:b w:val="0"/>
          <w:bCs w:val="0"/>
          <w:color w:val="auto"/>
          <w:sz w:val="24"/>
          <w:szCs w:val="24"/>
          <w:highlight w:val="none"/>
        </w:rPr>
      </w:pPr>
      <w:bookmarkStart w:id="17" w:name="_Toc32570"/>
      <w:r>
        <w:rPr>
          <w:rFonts w:hint="eastAsia" w:ascii="宋体" w:hAnsi="宋体" w:eastAsia="宋体" w:cs="宋体"/>
          <w:b/>
          <w:bCs/>
          <w:color w:val="auto"/>
          <w:sz w:val="24"/>
          <w:szCs w:val="24"/>
          <w:highlight w:val="none"/>
        </w:rPr>
        <w:t>2．</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资质要求</w:t>
      </w:r>
      <w:bookmarkEnd w:id="17"/>
    </w:p>
    <w:p w14:paraId="30FC97F2">
      <w:pPr>
        <w:pageBreakBefore w:val="0"/>
        <w:kinsoku/>
        <w:wordWrap w:val="0"/>
        <w:overflowPunct/>
        <w:topLinePunct w:val="0"/>
        <w:bidi w:val="0"/>
        <w:adjustRightInd w:val="0"/>
        <w:snapToGrid w:val="0"/>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2.1.本次招标不接受联合体投标。</w:t>
      </w:r>
    </w:p>
    <w:p w14:paraId="3B4F2BBB">
      <w:pPr>
        <w:pageBreakBefore w:val="0"/>
        <w:kinsoku/>
        <w:wordWrap w:val="0"/>
        <w:overflowPunct/>
        <w:topLinePunct w:val="0"/>
        <w:bidi w:val="0"/>
        <w:adjustRightInd w:val="0"/>
        <w:snapToGrid w:val="0"/>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2.2．资质要求</w:t>
      </w:r>
    </w:p>
    <w:p w14:paraId="7894F60E">
      <w:pPr>
        <w:pageBreakBefore w:val="0"/>
        <w:kinsoku/>
        <w:wordWrap w:val="0"/>
        <w:overflowPunct/>
        <w:topLinePunct w:val="0"/>
        <w:bidi w:val="0"/>
        <w:adjustRightInd w:val="0"/>
        <w:snapToGrid w:val="0"/>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2.2.1 投标人须具备独立法人资格，按国家法律经营。</w:t>
      </w:r>
    </w:p>
    <w:p w14:paraId="5DE4002B">
      <w:pPr>
        <w:pageBreakBefore w:val="0"/>
        <w:kinsoku/>
        <w:wordWrap w:val="0"/>
        <w:overflowPunct/>
        <w:topLinePunct w:val="0"/>
        <w:bidi w:val="0"/>
        <w:adjustRightInd w:val="0"/>
        <w:snapToGrid w:val="0"/>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2.2.2 投标人须持有建设行政主管部门颁发的企业资质证书及安全生产许可证。</w:t>
      </w:r>
    </w:p>
    <w:p w14:paraId="35D76E0F">
      <w:pPr>
        <w:pageBreakBefore w:val="0"/>
        <w:kinsoku/>
        <w:wordWrap w:val="0"/>
        <w:overflowPunct/>
        <w:topLinePunct w:val="0"/>
        <w:bidi w:val="0"/>
        <w:adjustRightInd w:val="0"/>
        <w:snapToGrid w:val="0"/>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2.2.3 投标人须具备以下资质：</w:t>
      </w:r>
    </w:p>
    <w:p w14:paraId="13E4F27B">
      <w:pPr>
        <w:pageBreakBefore w:val="0"/>
        <w:kinsoku/>
        <w:wordWrap w:val="0"/>
        <w:overflowPunct/>
        <w:topLinePunct w:val="0"/>
        <w:bidi w:val="0"/>
        <w:adjustRightInd w:val="0"/>
        <w:snapToGrid w:val="0"/>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具有建设行政主管部门颁发的市政公用工程施工总承包三级以上（含三级）资质。</w:t>
      </w:r>
    </w:p>
    <w:p w14:paraId="3ECCEE6D">
      <w:pPr>
        <w:pageBreakBefore w:val="0"/>
        <w:kinsoku/>
        <w:wordWrap w:val="0"/>
        <w:overflowPunct/>
        <w:topLinePunct w:val="0"/>
        <w:bidi w:val="0"/>
        <w:adjustRightInd w:val="0"/>
        <w:snapToGrid w:val="0"/>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2.2.4 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19B82D19">
      <w:pPr>
        <w:pageBreakBefore w:val="0"/>
        <w:kinsoku/>
        <w:wordWrap w:val="0"/>
        <w:overflowPunct/>
        <w:topLinePunct w:val="0"/>
        <w:bidi w:val="0"/>
        <w:adjustRightInd w:val="0"/>
        <w:snapToGrid w:val="0"/>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3．相关人员要求</w:t>
      </w:r>
    </w:p>
    <w:p w14:paraId="0D4AD58F">
      <w:pPr>
        <w:pageBreakBefore w:val="0"/>
        <w:kinsoku/>
        <w:wordWrap w:val="0"/>
        <w:overflowPunct/>
        <w:topLinePunct w:val="0"/>
        <w:bidi w:val="0"/>
        <w:adjustRightInd w:val="0"/>
        <w:snapToGrid w:val="0"/>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3.1 拟派项目经理为市政公用工程专业一级或二级注册建造师，应持有住建部门印发的在使用有效期内的有效电子注册证书（根据广东省住房和城乡建设厅（粤建市函〔2023〕469号）文件精神，二级注册建造师可随注册企业在全国范围内执业），同时须具备有效安全生产考核合格证明（B证，安全生产考核合格证书或“广东省建筑施工企业管理人员安全生产考核信息系统”考核合格信息打印页），且未担任其他在施（包括已中标未开工、已建成未竣工）建设工程项目的项目经理。</w:t>
      </w:r>
    </w:p>
    <w:p w14:paraId="596EE474">
      <w:pPr>
        <w:pageBreakBefore w:val="0"/>
        <w:kinsoku/>
        <w:wordWrap w:val="0"/>
        <w:overflowPunct/>
        <w:topLinePunct w:val="0"/>
        <w:bidi w:val="0"/>
        <w:adjustRightInd w:val="0"/>
        <w:snapToGrid w:val="0"/>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3.2 拟派项目技术负责人须具备市政类相关专业中级或以上技术职称。</w:t>
      </w:r>
    </w:p>
    <w:p w14:paraId="0C2DFAEE">
      <w:pPr>
        <w:pageBreakBefore w:val="0"/>
        <w:kinsoku/>
        <w:wordWrap w:val="0"/>
        <w:overflowPunct/>
        <w:topLinePunct w:val="0"/>
        <w:bidi w:val="0"/>
        <w:adjustRightInd w:val="0"/>
        <w:snapToGrid w:val="0"/>
        <w:spacing w:line="360" w:lineRule="auto"/>
        <w:ind w:firstLine="480" w:firstLineChars="200"/>
        <w:rPr>
          <w:rStyle w:val="20"/>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3.3 投标人拟派专职安全生产管理人员须具备有效安全生产考核合格证明（C证，安全生产考核合格证书或“广东省建筑施工企业管理人员安全生产考核系统”考核合格信息打印页），且不少于 1 人。 </w:t>
      </w:r>
    </w:p>
    <w:p w14:paraId="3EC82F78">
      <w:pPr>
        <w:pageBreakBefore w:val="0"/>
        <w:kinsoku/>
        <w:wordWrap w:val="0"/>
        <w:overflowPunct/>
        <w:topLinePunct w:val="0"/>
        <w:bidi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2.3.4 </w:t>
      </w:r>
      <w:r>
        <w:rPr>
          <w:rFonts w:hint="eastAsia" w:ascii="宋体" w:hAnsi="宋体" w:eastAsia="宋体" w:cs="宋体"/>
          <w:b w:val="0"/>
          <w:bCs w:val="0"/>
          <w:color w:val="auto"/>
          <w:sz w:val="24"/>
          <w:szCs w:val="24"/>
          <w:highlight w:val="none"/>
          <w:lang w:val="en-US" w:eastAsia="zh-CN"/>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390DDE10">
      <w:pPr>
        <w:pageBreakBefore w:val="0"/>
        <w:kinsoku/>
        <w:wordWrap w:val="0"/>
        <w:overflowPunct/>
        <w:topLinePunct w:val="0"/>
        <w:bidi w:val="0"/>
        <w:spacing w:before="78"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  </w:t>
      </w:r>
      <w:r>
        <w:rPr>
          <w:rFonts w:hint="eastAsia" w:ascii="宋体" w:hAnsi="宋体" w:eastAsia="宋体" w:cs="宋体"/>
          <w:color w:val="auto"/>
          <w:spacing w:val="-1"/>
          <w:sz w:val="24"/>
          <w:szCs w:val="24"/>
          <w:highlight w:val="none"/>
        </w:rPr>
        <w:t>禁止投标条款</w:t>
      </w:r>
    </w:p>
    <w:p w14:paraId="06D1D3EA">
      <w:pPr>
        <w:pageBreakBefore w:val="0"/>
        <w:kinsoku/>
        <w:wordWrap w:val="0"/>
        <w:overflowPunct/>
        <w:topLinePunct w:val="0"/>
        <w:bidi w:val="0"/>
        <w:spacing w:before="153"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2.4.1  </w:t>
      </w:r>
      <w:r>
        <w:rPr>
          <w:rFonts w:hint="eastAsia" w:ascii="宋体" w:hAnsi="宋体" w:eastAsia="宋体" w:cs="宋体"/>
          <w:color w:val="auto"/>
          <w:spacing w:val="-1"/>
          <w:sz w:val="24"/>
          <w:szCs w:val="24"/>
          <w:highlight w:val="none"/>
        </w:rPr>
        <w:t>投标人不得存在下列情形之一：</w:t>
      </w:r>
    </w:p>
    <w:p w14:paraId="3E5CCC45">
      <w:pPr>
        <w:pageBreakBefore w:val="0"/>
        <w:kinsoku/>
        <w:wordWrap w:val="0"/>
        <w:overflowPunct/>
        <w:topLinePunct w:val="0"/>
        <w:bidi w:val="0"/>
        <w:spacing w:before="153"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（1）为招标人不具有独立法人资格的附属机构（单位</w:t>
      </w:r>
      <w:r>
        <w:rPr>
          <w:rFonts w:hint="eastAsia" w:ascii="宋体" w:hAnsi="宋体" w:eastAsia="宋体" w:cs="宋体"/>
          <w:color w:val="auto"/>
          <w:spacing w:val="1"/>
          <w:sz w:val="24"/>
          <w:szCs w:val="24"/>
          <w:highlight w:val="none"/>
        </w:rPr>
        <w:t>）；</w:t>
      </w:r>
    </w:p>
    <w:p w14:paraId="16678467">
      <w:pPr>
        <w:pageBreakBefore w:val="0"/>
        <w:kinsoku/>
        <w:wordWrap w:val="0"/>
        <w:overflowPunct/>
        <w:topLinePunct w:val="0"/>
        <w:bidi w:val="0"/>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（2）为本招标项目前期准备提供设计或咨询服务的；</w:t>
      </w:r>
    </w:p>
    <w:p w14:paraId="5DFF6242">
      <w:pPr>
        <w:pageBreakBefore w:val="0"/>
        <w:kinsoku/>
        <w:wordWrap w:val="0"/>
        <w:overflowPunct/>
        <w:topLinePunct w:val="0"/>
        <w:bidi w:val="0"/>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（3）与本招标项目的其他投标人为同一个单位负责人；</w:t>
      </w:r>
    </w:p>
    <w:p w14:paraId="17078E26">
      <w:pPr>
        <w:pageBreakBefore w:val="0"/>
        <w:kinsoku/>
        <w:wordWrap w:val="0"/>
        <w:overflowPunct/>
        <w:topLinePunct w:val="0"/>
        <w:bidi w:val="0"/>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（4）与本招标项目的其他投标人存在控股、管理关系；</w:t>
      </w:r>
    </w:p>
    <w:p w14:paraId="2AE295DB">
      <w:pPr>
        <w:pageBreakBefore w:val="0"/>
        <w:kinsoku/>
        <w:wordWrap w:val="0"/>
        <w:overflowPunct/>
        <w:topLinePunct w:val="0"/>
        <w:bidi w:val="0"/>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（5）为本招标项目的监理人；</w:t>
      </w:r>
    </w:p>
    <w:p w14:paraId="3F7FFAD1">
      <w:pPr>
        <w:pageBreakBefore w:val="0"/>
        <w:kinsoku/>
        <w:wordWrap w:val="0"/>
        <w:overflowPunct/>
        <w:topLinePunct w:val="0"/>
        <w:bidi w:val="0"/>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（6）为本招标项目的代建人；</w:t>
      </w:r>
    </w:p>
    <w:p w14:paraId="0877A5E5">
      <w:pPr>
        <w:pageBreakBefore w:val="0"/>
        <w:kinsoku/>
        <w:wordWrap w:val="0"/>
        <w:overflowPunct/>
        <w:topLinePunct w:val="0"/>
        <w:bidi w:val="0"/>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（7）为本招标项目的招标代理机构；</w:t>
      </w:r>
    </w:p>
    <w:p w14:paraId="7D23E0F9">
      <w:pPr>
        <w:pageBreakBefore w:val="0"/>
        <w:kinsoku/>
        <w:wordWrap w:val="0"/>
        <w:overflowPunct/>
        <w:topLinePunct w:val="0"/>
        <w:bidi w:val="0"/>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（8）与本招标项目的监理人或代建人或招标代理机构同为一个法定代表人；</w:t>
      </w:r>
    </w:p>
    <w:p w14:paraId="63FAB54C">
      <w:pPr>
        <w:pageBreakBefore w:val="0"/>
        <w:kinsoku/>
        <w:wordWrap w:val="0"/>
        <w:overflowPunct/>
        <w:topLinePunct w:val="0"/>
        <w:bidi w:val="0"/>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（9）与本招标项目的监理人或代建人或招标代理机构存在控股或参股关系；</w:t>
      </w:r>
    </w:p>
    <w:p w14:paraId="1275DB45">
      <w:pPr>
        <w:pageBreakBefore w:val="0"/>
        <w:kinsoku/>
        <w:wordWrap w:val="0"/>
        <w:overflowPunct/>
        <w:topLinePunct w:val="0"/>
        <w:bidi w:val="0"/>
        <w:spacing w:before="155" w:line="219" w:lineRule="auto"/>
        <w:ind w:firstLine="468"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（10）与本招标项目的监理人或代建人或招标代理机构存在相互</w:t>
      </w:r>
      <w:r>
        <w:rPr>
          <w:rFonts w:hint="eastAsia" w:ascii="宋体" w:hAnsi="宋体" w:eastAsia="宋体" w:cs="宋体"/>
          <w:color w:val="auto"/>
          <w:spacing w:val="-4"/>
          <w:sz w:val="24"/>
          <w:szCs w:val="24"/>
          <w:highlight w:val="none"/>
        </w:rPr>
        <w:t>任职或工作关系；</w:t>
      </w:r>
    </w:p>
    <w:p w14:paraId="6C0F71C6">
      <w:pPr>
        <w:pageBreakBefore w:val="0"/>
        <w:kinsoku/>
        <w:wordWrap w:val="0"/>
        <w:overflowPunct/>
        <w:topLinePunct w:val="0"/>
        <w:bidi w:val="0"/>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（11）被依法暂停或者取消投标资格；</w:t>
      </w:r>
    </w:p>
    <w:p w14:paraId="228B28A4">
      <w:pPr>
        <w:pageBreakBefore w:val="0"/>
        <w:kinsoku/>
        <w:wordWrap w:val="0"/>
        <w:overflowPunct/>
        <w:topLinePunct w:val="0"/>
        <w:bidi w:val="0"/>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（12）被责令停产停业、暂扣或者吊销许可证、暂扣或者吊销执照；</w:t>
      </w:r>
    </w:p>
    <w:p w14:paraId="366BE637">
      <w:pPr>
        <w:pageBreakBefore w:val="0"/>
        <w:kinsoku/>
        <w:wordWrap w:val="0"/>
        <w:overflowPunct/>
        <w:topLinePunct w:val="0"/>
        <w:bidi w:val="0"/>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（13）进入清算程序，或被宣告破产，或其他丧失履约能力的情形；</w:t>
      </w:r>
    </w:p>
    <w:p w14:paraId="1EB464C8">
      <w:pPr>
        <w:pStyle w:val="22"/>
        <w:pageBreakBefore w:val="0"/>
        <w:kinsoku/>
        <w:wordWrap w:val="0"/>
        <w:overflowPunct/>
        <w:topLinePunct w:val="0"/>
        <w:bidi w:val="0"/>
        <w:adjustRightInd w:val="0"/>
        <w:snapToGrid w:val="0"/>
        <w:spacing w:line="440" w:lineRule="exact"/>
        <w:ind w:firstLine="480"/>
        <w:jc w:val="left"/>
        <w:rPr>
          <w:rFonts w:hint="eastAsia" w:ascii="宋体" w:hAnsi="宋体" w:eastAsia="宋体" w:cs="宋体"/>
          <w:color w:val="auto"/>
          <w:spacing w:val="2"/>
          <w:sz w:val="24"/>
          <w:szCs w:val="24"/>
          <w:highlight w:val="none"/>
        </w:rPr>
      </w:pPr>
      <w:bookmarkStart w:id="18" w:name="bookmark116"/>
      <w:bookmarkEnd w:id="18"/>
      <w:r>
        <w:rPr>
          <w:rFonts w:hint="eastAsia" w:ascii="宋体" w:hAnsi="宋体" w:eastAsia="宋体" w:cs="宋体"/>
          <w:color w:val="auto"/>
          <w:spacing w:val="-1"/>
          <w:sz w:val="24"/>
          <w:szCs w:val="24"/>
          <w:highlight w:val="none"/>
        </w:rPr>
        <w:t>处罚决定或司法机关出具的有关法律文书为准</w:t>
      </w:r>
      <w:r>
        <w:rPr>
          <w:rFonts w:hint="eastAsia" w:ascii="宋体" w:hAnsi="宋体" w:eastAsia="宋体" w:cs="宋体"/>
          <w:color w:val="auto"/>
          <w:spacing w:val="2"/>
          <w:sz w:val="24"/>
          <w:szCs w:val="24"/>
          <w:highlight w:val="none"/>
        </w:rPr>
        <w:t>）；</w:t>
      </w:r>
    </w:p>
    <w:p w14:paraId="54C119DA">
      <w:pPr>
        <w:pStyle w:val="22"/>
        <w:pageBreakBefore w:val="0"/>
        <w:kinsoku/>
        <w:wordWrap w:val="0"/>
        <w:overflowPunct/>
        <w:topLinePunct w:val="0"/>
        <w:bidi w:val="0"/>
        <w:adjustRightInd w:val="0"/>
        <w:snapToGrid w:val="0"/>
        <w:spacing w:line="44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highlight w:val="none"/>
        </w:rPr>
        <w:t>（14）在最近三年内发生重大工程质量或安全问题（以相关行业主管部门的行政处罚决定或司法机关出具的有关法律文书为准）；</w:t>
      </w:r>
    </w:p>
    <w:p w14:paraId="71DB056F">
      <w:pPr>
        <w:pageBreakBefore w:val="0"/>
        <w:kinsoku/>
        <w:wordWrap w:val="0"/>
        <w:overflowPunct/>
        <w:topLinePunct w:val="0"/>
        <w:bidi w:val="0"/>
        <w:spacing w:before="118" w:line="293" w:lineRule="auto"/>
        <w:ind w:left="232" w:right="99" w:firstLine="36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（15）被“信用中国</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”网站（https://www.creditchina.gov.cn）发布的《法人和</w:t>
      </w:r>
      <w:r>
        <w:rPr>
          <w:rFonts w:hint="eastAsia" w:ascii="宋体" w:hAnsi="宋体" w:eastAsia="宋体" w:cs="宋体"/>
          <w:color w:val="auto"/>
          <w:spacing w:val="-3"/>
          <w:sz w:val="24"/>
          <w:szCs w:val="24"/>
          <w:highlight w:val="none"/>
        </w:rPr>
        <w:t>非法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人组织公共信用信息报告</w:t>
      </w:r>
      <w:r>
        <w:rPr>
          <w:rFonts w:hint="eastAsia" w:ascii="宋体" w:hAnsi="宋体" w:eastAsia="宋体" w:cs="宋体"/>
          <w:snapToGrid w:val="0"/>
          <w:color w:val="auto"/>
          <w:kern w:val="0"/>
          <w:sz w:val="24"/>
          <w:szCs w:val="24"/>
          <w:highlight w:val="none"/>
          <w:lang w:val="en-US" w:eastAsia="zh-CN" w:bidi="ar-SA"/>
        </w:rPr>
        <w:t>》列为严重失信主体名单的</w:t>
      </w:r>
      <w:r>
        <w:rPr>
          <w:rFonts w:hint="eastAsia" w:ascii="宋体" w:hAnsi="宋体" w:eastAsia="宋体" w:cs="宋体"/>
          <w:color w:val="auto"/>
          <w:spacing w:val="2"/>
          <w:sz w:val="24"/>
          <w:szCs w:val="24"/>
          <w:highlight w:val="none"/>
        </w:rPr>
        <w:t>。</w:t>
      </w:r>
    </w:p>
    <w:p w14:paraId="421AB695">
      <w:pPr>
        <w:pageBreakBefore w:val="0"/>
        <w:kinsoku/>
        <w:wordWrap w:val="0"/>
        <w:overflowPunct/>
        <w:topLinePunct w:val="0"/>
        <w:bidi w:val="0"/>
        <w:spacing w:before="155" w:line="219" w:lineRule="auto"/>
        <w:ind w:left="706"/>
        <w:rPr>
          <w:rFonts w:hint="eastAsia" w:ascii="宋体" w:hAnsi="宋体" w:eastAsia="宋体" w:cs="宋体"/>
          <w:color w:val="auto"/>
          <w:spacing w:val="-1"/>
          <w:sz w:val="24"/>
          <w:szCs w:val="24"/>
          <w:highlight w:val="none"/>
        </w:rPr>
      </w:pPr>
      <w:r>
        <w:rPr>
          <w:rFonts w:hint="eastAsia" w:ascii="宋体" w:hAnsi="宋体" w:eastAsia="宋体" w:cs="宋体"/>
          <w:b/>
          <w:bCs/>
          <w:color w:val="auto"/>
          <w:sz w:val="24"/>
          <w:szCs w:val="24"/>
          <w:highlight w:val="none"/>
        </w:rPr>
        <w:t xml:space="preserve">2.4.2  </w:t>
      </w:r>
      <w:r>
        <w:rPr>
          <w:rFonts w:hint="eastAsia" w:ascii="宋体" w:hAnsi="宋体" w:eastAsia="宋体" w:cs="宋体"/>
          <w:color w:val="auto"/>
          <w:sz w:val="24"/>
          <w:szCs w:val="24"/>
          <w:highlight w:val="none"/>
        </w:rPr>
        <w:t>招标人拒绝以下名单中的单位</w:t>
      </w:r>
      <w:r>
        <w:rPr>
          <w:rFonts w:hint="eastAsia" w:ascii="宋体" w:hAnsi="宋体" w:eastAsia="宋体" w:cs="宋体"/>
          <w:color w:val="auto"/>
          <w:spacing w:val="-1"/>
          <w:sz w:val="24"/>
          <w:szCs w:val="24"/>
          <w:highlight w:val="none"/>
        </w:rPr>
        <w:t>参加本次投标：</w:t>
      </w:r>
    </w:p>
    <w:tbl>
      <w:tblPr>
        <w:tblStyle w:val="14"/>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4552"/>
        <w:gridCol w:w="3933"/>
      </w:tblGrid>
      <w:tr w14:paraId="62084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93" w:type="dxa"/>
            <w:vAlign w:val="center"/>
          </w:tcPr>
          <w:p w14:paraId="334665A7">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序号</w:t>
            </w:r>
          </w:p>
        </w:tc>
        <w:tc>
          <w:tcPr>
            <w:tcW w:w="4552" w:type="dxa"/>
            <w:vAlign w:val="center"/>
          </w:tcPr>
          <w:p w14:paraId="3BC4915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单位名称</w:t>
            </w:r>
          </w:p>
        </w:tc>
        <w:tc>
          <w:tcPr>
            <w:tcW w:w="3933" w:type="dxa"/>
            <w:vAlign w:val="center"/>
          </w:tcPr>
          <w:p w14:paraId="21EA3626">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拒绝原因</w:t>
            </w:r>
          </w:p>
        </w:tc>
      </w:tr>
      <w:tr w14:paraId="4EA80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93" w:type="dxa"/>
            <w:vAlign w:val="center"/>
          </w:tcPr>
          <w:p w14:paraId="6A2835F8">
            <w:pPr>
              <w:pStyle w:val="22"/>
              <w:pageBreakBefore w:val="0"/>
              <w:kinsoku/>
              <w:wordWrap w:val="0"/>
              <w:overflowPunct/>
              <w:topLinePunct w:val="0"/>
              <w:bidi w:val="0"/>
              <w:adjustRightInd w:val="0"/>
              <w:snapToGrid w:val="0"/>
              <w:spacing w:line="340" w:lineRule="exact"/>
              <w:jc w:val="center"/>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1"/>
                <w:szCs w:val="21"/>
                <w:highlight w:val="none"/>
              </w:rPr>
              <w:t>1</w:t>
            </w:r>
          </w:p>
        </w:tc>
        <w:tc>
          <w:tcPr>
            <w:tcW w:w="4552" w:type="dxa"/>
            <w:vAlign w:val="center"/>
          </w:tcPr>
          <w:p w14:paraId="234C470D">
            <w:pPr>
              <w:pStyle w:val="22"/>
              <w:pageBreakBefore w:val="0"/>
              <w:kinsoku/>
              <w:wordWrap w:val="0"/>
              <w:overflowPunct/>
              <w:topLinePunct w:val="0"/>
              <w:bidi w:val="0"/>
              <w:adjustRightInd w:val="0"/>
              <w:snapToGrid w:val="0"/>
              <w:spacing w:line="34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南雄市水利建设工程建设管理中心</w:t>
            </w:r>
          </w:p>
        </w:tc>
        <w:tc>
          <w:tcPr>
            <w:tcW w:w="3933" w:type="dxa"/>
            <w:vAlign w:val="center"/>
          </w:tcPr>
          <w:p w14:paraId="16F3CD79">
            <w:pPr>
              <w:pStyle w:val="22"/>
              <w:pageBreakBefore w:val="0"/>
              <w:kinsoku/>
              <w:wordWrap w:val="0"/>
              <w:overflowPunct/>
              <w:topLinePunct w:val="0"/>
              <w:bidi w:val="0"/>
              <w:adjustRightInd w:val="0"/>
              <w:snapToGrid w:val="0"/>
              <w:spacing w:line="340" w:lineRule="exact"/>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为本招标项目的招标人</w:t>
            </w:r>
          </w:p>
        </w:tc>
      </w:tr>
      <w:tr w14:paraId="246DE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93" w:type="dxa"/>
            <w:vAlign w:val="center"/>
          </w:tcPr>
          <w:p w14:paraId="10B8D341">
            <w:pPr>
              <w:pStyle w:val="22"/>
              <w:pageBreakBefore w:val="0"/>
              <w:kinsoku/>
              <w:wordWrap w:val="0"/>
              <w:overflowPunct/>
              <w:topLinePunct w:val="0"/>
              <w:bidi w:val="0"/>
              <w:adjustRightInd w:val="0"/>
              <w:snapToGrid w:val="0"/>
              <w:spacing w:line="340" w:lineRule="exact"/>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2</w:t>
            </w:r>
          </w:p>
        </w:tc>
        <w:tc>
          <w:tcPr>
            <w:tcW w:w="4552" w:type="dxa"/>
            <w:vAlign w:val="center"/>
          </w:tcPr>
          <w:p w14:paraId="0EFA7E61">
            <w:pPr>
              <w:pStyle w:val="22"/>
              <w:pageBreakBefore w:val="0"/>
              <w:kinsoku/>
              <w:wordWrap w:val="0"/>
              <w:overflowPunct/>
              <w:topLinePunct w:val="0"/>
              <w:bidi w:val="0"/>
              <w:adjustRightInd w:val="0"/>
              <w:snapToGrid w:val="0"/>
              <w:spacing w:line="34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韶关市中利工程咨询有限公司</w:t>
            </w:r>
          </w:p>
        </w:tc>
        <w:tc>
          <w:tcPr>
            <w:tcW w:w="3933" w:type="dxa"/>
            <w:vAlign w:val="center"/>
          </w:tcPr>
          <w:p w14:paraId="4D44C582">
            <w:pPr>
              <w:pStyle w:val="22"/>
              <w:pageBreakBefore w:val="0"/>
              <w:kinsoku/>
              <w:wordWrap w:val="0"/>
              <w:overflowPunct/>
              <w:topLinePunct w:val="0"/>
              <w:bidi w:val="0"/>
              <w:adjustRightInd w:val="0"/>
              <w:snapToGrid w:val="0"/>
              <w:spacing w:line="340" w:lineRule="exact"/>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为本招标项目的招标代理机构</w:t>
            </w:r>
          </w:p>
        </w:tc>
      </w:tr>
      <w:tr w14:paraId="59955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893" w:type="dxa"/>
            <w:vAlign w:val="center"/>
          </w:tcPr>
          <w:p w14:paraId="51D1E547">
            <w:pPr>
              <w:pStyle w:val="22"/>
              <w:pageBreakBefore w:val="0"/>
              <w:kinsoku/>
              <w:wordWrap w:val="0"/>
              <w:overflowPunct/>
              <w:topLinePunct w:val="0"/>
              <w:bidi w:val="0"/>
              <w:adjustRightInd w:val="0"/>
              <w:snapToGrid w:val="0"/>
              <w:spacing w:line="340" w:lineRule="exact"/>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3</w:t>
            </w:r>
          </w:p>
        </w:tc>
        <w:tc>
          <w:tcPr>
            <w:tcW w:w="4552" w:type="dxa"/>
            <w:vAlign w:val="center"/>
          </w:tcPr>
          <w:p w14:paraId="41AB8933">
            <w:pPr>
              <w:pStyle w:val="22"/>
              <w:pageBreakBefore w:val="0"/>
              <w:kinsoku/>
              <w:wordWrap w:val="0"/>
              <w:overflowPunct/>
              <w:topLinePunct w:val="0"/>
              <w:bidi w:val="0"/>
              <w:adjustRightInd w:val="0"/>
              <w:snapToGrid w:val="0"/>
              <w:spacing w:line="34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中润天盛设计集团有限公司</w:t>
            </w:r>
          </w:p>
        </w:tc>
        <w:tc>
          <w:tcPr>
            <w:tcW w:w="3933" w:type="dxa"/>
            <w:vAlign w:val="center"/>
          </w:tcPr>
          <w:p w14:paraId="22DB37F5">
            <w:pPr>
              <w:pStyle w:val="22"/>
              <w:pageBreakBefore w:val="0"/>
              <w:kinsoku/>
              <w:wordWrap w:val="0"/>
              <w:overflowPunct/>
              <w:topLinePunct w:val="0"/>
              <w:bidi w:val="0"/>
              <w:adjustRightInd w:val="0"/>
              <w:snapToGrid w:val="0"/>
              <w:spacing w:line="340" w:lineRule="exact"/>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为本招标项目的</w:t>
            </w:r>
            <w:r>
              <w:rPr>
                <w:rFonts w:hint="eastAsia" w:asciiTheme="minorEastAsia" w:hAnsiTheme="minorEastAsia" w:eastAsiaTheme="minorEastAsia" w:cstheme="minorEastAsia"/>
                <w:snapToGrid w:val="0"/>
                <w:color w:val="auto"/>
                <w:kern w:val="0"/>
                <w:sz w:val="24"/>
                <w:szCs w:val="24"/>
                <w:highlight w:val="none"/>
                <w:lang w:val="en-US" w:eastAsia="zh-CN"/>
              </w:rPr>
              <w:t>设计单位</w:t>
            </w:r>
          </w:p>
        </w:tc>
      </w:tr>
      <w:tr w14:paraId="0947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93" w:type="dxa"/>
            <w:vAlign w:val="center"/>
          </w:tcPr>
          <w:p w14:paraId="70E13915">
            <w:pPr>
              <w:pStyle w:val="22"/>
              <w:pageBreakBefore w:val="0"/>
              <w:kinsoku/>
              <w:wordWrap w:val="0"/>
              <w:overflowPunct/>
              <w:topLinePunct w:val="0"/>
              <w:bidi w:val="0"/>
              <w:adjustRightInd w:val="0"/>
              <w:snapToGrid w:val="0"/>
              <w:spacing w:line="34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p>
        </w:tc>
        <w:tc>
          <w:tcPr>
            <w:tcW w:w="4552" w:type="dxa"/>
            <w:shd w:val="clear" w:color="auto" w:fill="auto"/>
            <w:vAlign w:val="center"/>
          </w:tcPr>
          <w:p w14:paraId="78A4831E">
            <w:pPr>
              <w:pStyle w:val="22"/>
              <w:pageBreakBefore w:val="0"/>
              <w:kinsoku/>
              <w:wordWrap w:val="0"/>
              <w:overflowPunct/>
              <w:topLinePunct w:val="0"/>
              <w:bidi w:val="0"/>
              <w:adjustRightInd w:val="0"/>
              <w:snapToGrid w:val="0"/>
              <w:spacing w:line="340" w:lineRule="exact"/>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力华项目管理有限公司</w:t>
            </w:r>
          </w:p>
        </w:tc>
        <w:tc>
          <w:tcPr>
            <w:tcW w:w="3933" w:type="dxa"/>
            <w:shd w:val="clear" w:color="auto" w:fill="auto"/>
            <w:vAlign w:val="center"/>
          </w:tcPr>
          <w:p w14:paraId="6E7B5602">
            <w:pPr>
              <w:pStyle w:val="22"/>
              <w:pageBreakBefore w:val="0"/>
              <w:kinsoku/>
              <w:wordWrap w:val="0"/>
              <w:overflowPunct/>
              <w:topLinePunct w:val="0"/>
              <w:bidi w:val="0"/>
              <w:adjustRightInd w:val="0"/>
              <w:snapToGrid w:val="0"/>
              <w:spacing w:line="340" w:lineRule="exact"/>
              <w:jc w:val="center"/>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lang w:eastAsia="zh-CN"/>
              </w:rPr>
              <w:t>为本招标项目的</w:t>
            </w:r>
            <w:r>
              <w:rPr>
                <w:rFonts w:hint="eastAsia" w:asciiTheme="minorEastAsia" w:hAnsiTheme="minorEastAsia" w:eastAsiaTheme="minorEastAsia" w:cstheme="minorEastAsia"/>
                <w:snapToGrid w:val="0"/>
                <w:color w:val="auto"/>
                <w:kern w:val="0"/>
                <w:sz w:val="24"/>
                <w:szCs w:val="24"/>
                <w:highlight w:val="none"/>
                <w:lang w:val="en-US" w:eastAsia="zh-CN"/>
              </w:rPr>
              <w:t>预算编制</w:t>
            </w:r>
            <w:r>
              <w:rPr>
                <w:rFonts w:hint="eastAsia" w:asciiTheme="minorEastAsia" w:hAnsiTheme="minorEastAsia" w:eastAsiaTheme="minorEastAsia" w:cstheme="minorEastAsia"/>
                <w:snapToGrid w:val="0"/>
                <w:color w:val="auto"/>
                <w:kern w:val="0"/>
                <w:sz w:val="24"/>
                <w:szCs w:val="24"/>
                <w:highlight w:val="none"/>
                <w:lang w:eastAsia="zh-CN"/>
              </w:rPr>
              <w:t>单位</w:t>
            </w:r>
          </w:p>
        </w:tc>
      </w:tr>
    </w:tbl>
    <w:p w14:paraId="689837CB">
      <w:pPr>
        <w:pageBreakBefore w:val="0"/>
        <w:kinsoku/>
        <w:wordWrap w:val="0"/>
        <w:overflowPunct/>
        <w:topLinePunct w:val="0"/>
        <w:bidi w:val="0"/>
        <w:spacing w:line="93" w:lineRule="auto"/>
        <w:rPr>
          <w:rFonts w:hint="eastAsia" w:ascii="宋体" w:hAnsi="宋体" w:eastAsia="宋体" w:cs="宋体"/>
          <w:color w:val="auto"/>
          <w:sz w:val="2"/>
          <w:highlight w:val="none"/>
        </w:rPr>
      </w:pPr>
    </w:p>
    <w:p w14:paraId="0E5D39AE">
      <w:pPr>
        <w:pageBreakBefore w:val="0"/>
        <w:kinsoku/>
        <w:wordWrap w:val="0"/>
        <w:overflowPunct/>
        <w:topLinePunct w:val="0"/>
        <w:bidi w:val="0"/>
        <w:spacing w:before="153" w:line="221" w:lineRule="auto"/>
        <w:ind w:left="70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其他要求</w:t>
      </w:r>
    </w:p>
    <w:p w14:paraId="513698FE">
      <w:pPr>
        <w:pageBreakBefore w:val="0"/>
        <w:kinsoku/>
        <w:wordWrap w:val="0"/>
        <w:overflowPunct/>
        <w:topLinePunct w:val="0"/>
        <w:bidi w:val="0"/>
        <w:spacing w:before="150" w:line="334" w:lineRule="auto"/>
        <w:ind w:left="232" w:right="99" w:firstLine="481"/>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省外企业及其拟派往本项目管理机构的所有</w:t>
      </w:r>
      <w:r>
        <w:rPr>
          <w:rFonts w:hint="eastAsia" w:ascii="宋体" w:hAnsi="宋体" w:eastAsia="宋体" w:cs="宋体"/>
          <w:color w:val="auto"/>
          <w:spacing w:val="-2"/>
          <w:sz w:val="24"/>
          <w:szCs w:val="24"/>
          <w:highlight w:val="none"/>
        </w:rPr>
        <w:t>人员均须按照《广东省住房和城乡建</w:t>
      </w:r>
      <w:r>
        <w:rPr>
          <w:rFonts w:hint="eastAsia" w:ascii="宋体" w:hAnsi="宋体" w:eastAsia="宋体" w:cs="宋体"/>
          <w:color w:val="auto"/>
          <w:spacing w:val="-1"/>
          <w:sz w:val="24"/>
          <w:szCs w:val="24"/>
          <w:highlight w:val="none"/>
        </w:rPr>
        <w:t>设厅关于取消省外建筑企业和人员进粤信息备案有关工作的通知》</w:t>
      </w:r>
      <w:r>
        <w:rPr>
          <w:rFonts w:hint="eastAsia" w:ascii="宋体" w:hAnsi="宋体" w:eastAsia="宋体" w:cs="宋体"/>
          <w:color w:val="auto"/>
          <w:spacing w:val="-2"/>
          <w:sz w:val="24"/>
          <w:szCs w:val="24"/>
          <w:highlight w:val="none"/>
        </w:rPr>
        <w:t>（粤建市﹝2015﹞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52</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4"/>
          <w:sz w:val="24"/>
          <w:szCs w:val="24"/>
          <w:highlight w:val="none"/>
        </w:rPr>
        <w:t>号）规定在“进粤企业和人员诚信信息登记平台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”录入相关信息并通过数</w:t>
      </w:r>
      <w:r>
        <w:rPr>
          <w:rFonts w:hint="eastAsia" w:ascii="宋体" w:hAnsi="宋体" w:eastAsia="宋体" w:cs="宋体"/>
          <w:color w:val="auto"/>
          <w:spacing w:val="-5"/>
          <w:sz w:val="24"/>
          <w:szCs w:val="24"/>
          <w:highlight w:val="none"/>
        </w:rPr>
        <w:t>据规范检</w:t>
      </w:r>
      <w:r>
        <w:rPr>
          <w:rFonts w:hint="eastAsia" w:ascii="宋体" w:hAnsi="宋体" w:eastAsia="宋体" w:cs="宋体"/>
          <w:color w:val="auto"/>
          <w:spacing w:val="-6"/>
          <w:sz w:val="24"/>
          <w:szCs w:val="24"/>
          <w:highlight w:val="none"/>
        </w:rPr>
        <w:t>查。</w:t>
      </w:r>
    </w:p>
    <w:p w14:paraId="52958258">
      <w:pPr>
        <w:pageBreakBefore w:val="0"/>
        <w:kinsoku/>
        <w:wordWrap w:val="0"/>
        <w:overflowPunct/>
        <w:topLinePunct w:val="0"/>
        <w:bidi w:val="0"/>
        <w:spacing w:before="79" w:line="220" w:lineRule="auto"/>
        <w:ind w:left="715"/>
        <w:outlineLvl w:val="2"/>
        <w:rPr>
          <w:rFonts w:hint="eastAsia" w:ascii="宋体" w:hAnsi="宋体" w:eastAsia="宋体" w:cs="宋体"/>
          <w:color w:val="auto"/>
          <w:sz w:val="24"/>
          <w:szCs w:val="24"/>
          <w:highlight w:val="none"/>
        </w:rPr>
      </w:pPr>
      <w:bookmarkStart w:id="19" w:name="_Toc4305"/>
      <w:bookmarkStart w:id="20" w:name="_Toc23243"/>
      <w:r>
        <w:rPr>
          <w:rFonts w:hint="eastAsia" w:ascii="宋体" w:hAnsi="宋体" w:eastAsia="宋体" w:cs="宋体"/>
          <w:b/>
          <w:bCs/>
          <w:color w:val="auto"/>
          <w:spacing w:val="-4"/>
          <w:sz w:val="24"/>
          <w:szCs w:val="24"/>
          <w:highlight w:val="none"/>
        </w:rPr>
        <w:t>3．招标文件的获取</w:t>
      </w:r>
      <w:bookmarkEnd w:id="19"/>
      <w:bookmarkEnd w:id="20"/>
    </w:p>
    <w:p w14:paraId="6BA39D71">
      <w:pPr>
        <w:pageBreakBefore w:val="0"/>
        <w:kinsoku/>
        <w:wordWrap w:val="0"/>
        <w:overflowPunct/>
        <w:topLinePunct w:val="0"/>
        <w:bidi w:val="0"/>
        <w:spacing w:before="182" w:line="219" w:lineRule="auto"/>
        <w:ind w:left="70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3.1  </w:t>
      </w:r>
      <w:r>
        <w:rPr>
          <w:rFonts w:hint="eastAsia" w:ascii="宋体" w:hAnsi="宋体" w:eastAsia="宋体" w:cs="宋体"/>
          <w:color w:val="auto"/>
          <w:spacing w:val="-1"/>
          <w:sz w:val="24"/>
          <w:szCs w:val="24"/>
          <w:highlight w:val="none"/>
        </w:rPr>
        <w:t>本次招标实行电子投标。</w:t>
      </w:r>
    </w:p>
    <w:p w14:paraId="3ABD5E16">
      <w:pPr>
        <w:pageBreakBefore w:val="0"/>
        <w:kinsoku/>
        <w:wordWrap w:val="0"/>
        <w:overflowPunct/>
        <w:topLinePunct w:val="0"/>
        <w:bidi w:val="0"/>
        <w:spacing w:before="178" w:line="355" w:lineRule="auto"/>
        <w:ind w:left="229"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本次招标实行电子投标。本项目招标文件随招标公</w:t>
      </w:r>
      <w:r>
        <w:rPr>
          <w:rFonts w:hint="eastAsia" w:ascii="宋体" w:hAnsi="宋体" w:eastAsia="宋体" w:cs="宋体"/>
          <w:color w:val="auto"/>
          <w:spacing w:val="-2"/>
          <w:sz w:val="24"/>
          <w:szCs w:val="24"/>
          <w:highlight w:val="none"/>
        </w:rPr>
        <w:t>告一并在全国公共资源交易平台（广东省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56"/>
          <w:sz w:val="24"/>
          <w:szCs w:val="24"/>
          <w:highlight w:val="none"/>
        </w:rPr>
        <w:t>）（</w:t>
      </w:r>
      <w:r>
        <w:rPr>
          <w:rFonts w:hint="eastAsia" w:ascii="宋体" w:hAnsi="宋体" w:eastAsia="宋体" w:cs="宋体"/>
          <w:color w:val="auto"/>
          <w:spacing w:val="-56"/>
          <w:sz w:val="24"/>
          <w:szCs w:val="24"/>
          <w:highlight w:val="none"/>
          <w:lang w:val="en-US" w:eastAsia="zh-CN"/>
        </w:rPr>
        <w:t xml:space="preserve">              </w:t>
      </w:r>
      <w:r>
        <w:rPr>
          <w:rFonts w:hint="eastAsia" w:ascii="宋体" w:hAnsi="宋体" w:eastAsia="宋体" w:cs="宋体"/>
          <w:color w:val="auto"/>
          <w:spacing w:val="-2"/>
          <w:sz w:val="24"/>
          <w:szCs w:val="24"/>
          <w:highlight w:val="none"/>
        </w:rPr>
        <w:t>https://yg</w:t>
      </w:r>
      <w:r>
        <w:rPr>
          <w:rFonts w:hint="eastAsia" w:ascii="宋体" w:hAnsi="宋体" w:eastAsia="宋体" w:cs="宋体"/>
          <w:color w:val="auto"/>
          <w:spacing w:val="-3"/>
          <w:sz w:val="24"/>
          <w:szCs w:val="24"/>
          <w:highlight w:val="none"/>
        </w:rPr>
        <w:t>p.gdzwfw.gov.cn/ggzy-portal/#/440200/index）</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网站发布。招标文件一经发布，视为发送投标人，招标文件及相</w:t>
      </w:r>
      <w:r>
        <w:rPr>
          <w:rFonts w:hint="eastAsia" w:ascii="宋体" w:hAnsi="宋体" w:eastAsia="宋体" w:cs="宋体"/>
          <w:color w:val="auto"/>
          <w:spacing w:val="-2"/>
          <w:sz w:val="24"/>
          <w:szCs w:val="24"/>
          <w:highlight w:val="none"/>
        </w:rPr>
        <w:t>关附件由投标人自行</w:t>
      </w:r>
      <w:r>
        <w:rPr>
          <w:rFonts w:hint="eastAsia" w:ascii="宋体" w:hAnsi="宋体" w:eastAsia="宋体" w:cs="宋体"/>
          <w:color w:val="auto"/>
          <w:spacing w:val="-7"/>
          <w:sz w:val="24"/>
          <w:szCs w:val="24"/>
          <w:highlight w:val="none"/>
        </w:rPr>
        <w:t>在全国公共资源交易平台（广东省</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7"/>
          <w:sz w:val="24"/>
          <w:szCs w:val="24"/>
          <w:highlight w:val="none"/>
        </w:rPr>
        <w:t>·韶关市）网站下载。请于招标文件获取期间,（见</w:t>
      </w:r>
      <w:r>
        <w:rPr>
          <w:rFonts w:hint="eastAsia" w:ascii="宋体" w:hAnsi="宋体" w:eastAsia="宋体" w:cs="宋体"/>
          <w:color w:val="auto"/>
          <w:spacing w:val="-2"/>
          <w:sz w:val="24"/>
          <w:szCs w:val="24"/>
          <w:highlight w:val="none"/>
        </w:rPr>
        <w:t>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”）招标文件获取期间与招标公告发</w:t>
      </w:r>
      <w:r>
        <w:rPr>
          <w:rFonts w:hint="eastAsia" w:ascii="宋体" w:hAnsi="宋体" w:eastAsia="宋体" w:cs="宋体"/>
          <w:color w:val="auto"/>
          <w:spacing w:val="-3"/>
          <w:sz w:val="24"/>
          <w:szCs w:val="24"/>
          <w:highlight w:val="none"/>
        </w:rPr>
        <w:t>布时间一</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致，投标人须登录全国公共资源交易平台（广东省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pacing w:val="-40"/>
          <w:sz w:val="24"/>
          <w:szCs w:val="24"/>
          <w:highlight w:val="none"/>
        </w:rPr>
        <w:t>）（</w:t>
      </w:r>
      <w:r>
        <w:rPr>
          <w:rFonts w:hint="eastAsia" w:ascii="宋体" w:hAnsi="宋体" w:eastAsia="宋体" w:cs="宋体"/>
          <w:color w:val="auto"/>
          <w:spacing w:val="-40"/>
          <w:sz w:val="24"/>
          <w:szCs w:val="24"/>
          <w:highlight w:val="none"/>
          <w:lang w:val="en-US" w:eastAsia="zh-CN"/>
        </w:rPr>
        <w:t xml:space="preserve">   </w:t>
      </w:r>
      <w:r>
        <w:rPr>
          <w:rFonts w:hint="eastAsia" w:ascii="宋体" w:hAnsi="宋体" w:eastAsia="宋体" w:cs="宋体"/>
          <w:color w:val="auto"/>
          <w:spacing w:val="-4"/>
          <w:sz w:val="24"/>
          <w:szCs w:val="24"/>
          <w:highlight w:val="none"/>
        </w:rPr>
        <w:t>https://ygp.gdzwfw.</w:t>
      </w:r>
      <w:r>
        <w:rPr>
          <w:rFonts w:hint="eastAsia" w:ascii="宋体" w:hAnsi="宋体" w:eastAsia="宋体" w:cs="宋体"/>
          <w:color w:val="auto"/>
          <w:sz w:val="24"/>
          <w:szCs w:val="24"/>
          <w:highlight w:val="none"/>
        </w:rPr>
        <w:t xml:space="preserve">  gov</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ggzy</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portal</w:t>
      </w:r>
      <w:r>
        <w:rPr>
          <w:rFonts w:hint="eastAsia" w:ascii="宋体" w:hAnsi="宋体" w:eastAsia="宋体" w:cs="宋体"/>
          <w:color w:val="auto"/>
          <w:spacing w:val="2"/>
          <w:sz w:val="24"/>
          <w:szCs w:val="24"/>
          <w:highlight w:val="none"/>
        </w:rPr>
        <w:t>/#/440200/</w:t>
      </w:r>
      <w:r>
        <w:rPr>
          <w:rFonts w:hint="eastAsia" w:ascii="宋体" w:hAnsi="宋体" w:eastAsia="宋体" w:cs="宋体"/>
          <w:color w:val="auto"/>
          <w:sz w:val="24"/>
          <w:szCs w:val="24"/>
          <w:highlight w:val="none"/>
        </w:rPr>
        <w:t>index</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rPr>
        <w:t>使用新建设工程交易系统进行下载</w:t>
      </w:r>
      <w:r>
        <w:rPr>
          <w:rFonts w:hint="eastAsia" w:ascii="宋体" w:hAnsi="宋体" w:eastAsia="宋体" w:cs="宋体"/>
          <w:color w:val="auto"/>
          <w:spacing w:val="1"/>
          <w:sz w:val="24"/>
          <w:szCs w:val="24"/>
          <w:highlight w:val="none"/>
        </w:rPr>
        <w:t>招标文</w:t>
      </w:r>
      <w:r>
        <w:rPr>
          <w:rFonts w:hint="eastAsia" w:ascii="宋体" w:hAnsi="宋体" w:eastAsia="宋体" w:cs="宋体"/>
          <w:color w:val="auto"/>
          <w:spacing w:val="-6"/>
          <w:sz w:val="24"/>
          <w:szCs w:val="24"/>
          <w:highlight w:val="none"/>
        </w:rPr>
        <w:t>件及相关附件，并于电子投标截止时间（见本章第二节“重要事项时间地点一览表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前完成电子投标。投标人可登录全国公共资源交易平</w:t>
      </w:r>
      <w:r>
        <w:rPr>
          <w:rFonts w:hint="eastAsia" w:ascii="宋体" w:hAnsi="宋体" w:eastAsia="宋体" w:cs="宋体"/>
          <w:color w:val="auto"/>
          <w:spacing w:val="-3"/>
          <w:sz w:val="24"/>
          <w:szCs w:val="24"/>
          <w:highlight w:val="none"/>
        </w:rPr>
        <w:t>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·韶关市</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5"/>
          <w:sz w:val="24"/>
          <w:szCs w:val="24"/>
          <w:highlight w:val="none"/>
          <w:lang w:val="en-US" w:eastAsia="zh-CN"/>
        </w:rPr>
        <w:t xml:space="preserve">   </w:t>
      </w:r>
      <w:r>
        <w:rPr>
          <w:rFonts w:hint="eastAsia" w:ascii="宋体" w:hAnsi="宋体" w:eastAsia="宋体" w:cs="宋体"/>
          <w:color w:val="auto"/>
          <w:spacing w:val="-3"/>
          <w:sz w:val="24"/>
          <w:szCs w:val="24"/>
          <w:highlight w:val="none"/>
        </w:rPr>
        <w:t>https:</w:t>
      </w:r>
      <w:r>
        <w:rPr>
          <w:rFonts w:hint="eastAsia" w:ascii="宋体" w:hAnsi="宋体" w:eastAsia="宋体" w:cs="宋体"/>
          <w:color w:val="auto"/>
          <w:sz w:val="24"/>
          <w:szCs w:val="24"/>
          <w:highlight w:val="none"/>
        </w:rPr>
        <w:t>//ygp.gdzwfw.gov.cn/ggz</w:t>
      </w:r>
      <w:r>
        <w:rPr>
          <w:rFonts w:hint="eastAsia" w:ascii="宋体" w:hAnsi="宋体" w:eastAsia="宋体" w:cs="宋体"/>
          <w:color w:val="auto"/>
          <w:spacing w:val="-1"/>
          <w:sz w:val="24"/>
          <w:szCs w:val="24"/>
          <w:highlight w:val="none"/>
        </w:rPr>
        <w:t>y-portal/#/440200/index</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
          <w:sz w:val="24"/>
          <w:szCs w:val="24"/>
          <w:highlight w:val="none"/>
        </w:rPr>
        <w:t>在【服务指南】栏目中建设</w:t>
      </w:r>
      <w:r>
        <w:rPr>
          <w:rFonts w:hint="eastAsia" w:ascii="宋体" w:hAnsi="宋体" w:eastAsia="宋体" w:cs="宋体"/>
          <w:color w:val="auto"/>
          <w:spacing w:val="-2"/>
          <w:sz w:val="24"/>
          <w:szCs w:val="24"/>
          <w:highlight w:val="none"/>
        </w:rPr>
        <w:t>工程交易中下载《韶关市公共资源建设工程交易系统-投</w:t>
      </w:r>
      <w:r>
        <w:rPr>
          <w:rFonts w:hint="eastAsia" w:ascii="宋体" w:hAnsi="宋体" w:eastAsia="宋体" w:cs="宋体"/>
          <w:color w:val="auto"/>
          <w:spacing w:val="-1"/>
          <w:sz w:val="24"/>
          <w:szCs w:val="24"/>
          <w:highlight w:val="none"/>
        </w:rPr>
        <w:t>标人操作指南（电子评标）》 （附件 2），了解网上获取招标文件操作流程。技术咨询电话：0751-837</w:t>
      </w:r>
      <w:r>
        <w:rPr>
          <w:rFonts w:hint="eastAsia" w:ascii="宋体" w:hAnsi="宋体" w:eastAsia="宋体" w:cs="宋体"/>
          <w:color w:val="auto"/>
          <w:spacing w:val="-4"/>
          <w:sz w:val="24"/>
          <w:szCs w:val="24"/>
          <w:highlight w:val="none"/>
        </w:rPr>
        <w:t>9671 伍</w:t>
      </w:r>
      <w:r>
        <w:rPr>
          <w:rFonts w:hint="eastAsia" w:ascii="宋体" w:hAnsi="宋体" w:eastAsia="宋体" w:cs="宋体"/>
          <w:color w:val="auto"/>
          <w:spacing w:val="-5"/>
          <w:sz w:val="24"/>
          <w:szCs w:val="24"/>
          <w:highlight w:val="none"/>
        </w:rPr>
        <w:t>先生，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业务咨询电话：0751-8633211、8633071。</w:t>
      </w:r>
    </w:p>
    <w:p w14:paraId="772F64E5">
      <w:pPr>
        <w:pageBreakBefore w:val="0"/>
        <w:kinsoku/>
        <w:wordWrap w:val="0"/>
        <w:overflowPunct/>
        <w:topLinePunct w:val="0"/>
        <w:bidi w:val="0"/>
        <w:spacing w:before="142" w:line="330" w:lineRule="auto"/>
        <w:ind w:left="11" w:right="105" w:firstLine="473"/>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3.2  </w:t>
      </w:r>
      <w:r>
        <w:rPr>
          <w:rFonts w:hint="eastAsia" w:ascii="宋体" w:hAnsi="宋体" w:eastAsia="宋体" w:cs="宋体"/>
          <w:color w:val="auto"/>
          <w:spacing w:val="-1"/>
          <w:sz w:val="24"/>
          <w:szCs w:val="24"/>
          <w:highlight w:val="none"/>
        </w:rPr>
        <w:t>只有申领了数字证书（CA）、“粤企签</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1"/>
          <w:sz w:val="24"/>
          <w:szCs w:val="24"/>
          <w:highlight w:val="none"/>
        </w:rPr>
        <w:t>”或</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GDCA/SZCA/NETCA</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1"/>
          <w:sz w:val="24"/>
          <w:szCs w:val="24"/>
          <w:highlight w:val="none"/>
        </w:rPr>
        <w:t>等符合法律法规规定的电子印章，并在交易系统中完成企业信息数据入库</w:t>
      </w:r>
      <w:r>
        <w:rPr>
          <w:rFonts w:hint="eastAsia" w:ascii="宋体" w:hAnsi="宋体" w:eastAsia="宋体" w:cs="宋体"/>
          <w:color w:val="auto"/>
          <w:spacing w:val="-2"/>
          <w:sz w:val="24"/>
          <w:szCs w:val="24"/>
          <w:highlight w:val="none"/>
        </w:rPr>
        <w:t>的投标人，方可使用建设</w:t>
      </w:r>
      <w:r>
        <w:rPr>
          <w:rFonts w:hint="eastAsia" w:ascii="宋体" w:hAnsi="宋体" w:eastAsia="宋体" w:cs="宋体"/>
          <w:color w:val="auto"/>
          <w:spacing w:val="-1"/>
          <w:sz w:val="24"/>
          <w:szCs w:val="24"/>
          <w:highlight w:val="none"/>
        </w:rPr>
        <w:t>工程交易系统进行招标文件及附件获取和电子投标。</w:t>
      </w:r>
    </w:p>
    <w:p w14:paraId="76AAA589">
      <w:pPr>
        <w:pageBreakBefore w:val="0"/>
        <w:kinsoku/>
        <w:wordWrap w:val="0"/>
        <w:overflowPunct/>
        <w:topLinePunct w:val="0"/>
        <w:bidi w:val="0"/>
        <w:spacing w:before="32" w:line="332" w:lineRule="auto"/>
        <w:ind w:left="10" w:right="90"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首次在韶关市参与建设工程招标投标活动的</w:t>
      </w:r>
      <w:r>
        <w:rPr>
          <w:rFonts w:hint="eastAsia" w:ascii="宋体" w:hAnsi="宋体" w:eastAsia="宋体" w:cs="宋体"/>
          <w:color w:val="auto"/>
          <w:spacing w:val="-2"/>
          <w:sz w:val="24"/>
          <w:szCs w:val="24"/>
          <w:highlight w:val="none"/>
        </w:rPr>
        <w:t>投标人，必须在平台系统上传企业相</w:t>
      </w:r>
      <w:r>
        <w:rPr>
          <w:rFonts w:hint="eastAsia" w:ascii="宋体" w:hAnsi="宋体" w:eastAsia="宋体" w:cs="宋体"/>
          <w:color w:val="auto"/>
          <w:spacing w:val="-3"/>
          <w:sz w:val="24"/>
          <w:szCs w:val="24"/>
          <w:highlight w:val="none"/>
        </w:rPr>
        <w:t>关资料办理企业入库事宜。投标人可登录全国公共资源</w:t>
      </w:r>
      <w:r>
        <w:rPr>
          <w:rFonts w:hint="eastAsia" w:ascii="宋体" w:hAnsi="宋体" w:eastAsia="宋体" w:cs="宋体"/>
          <w:color w:val="auto"/>
          <w:spacing w:val="-4"/>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"https://ygp.gdzwfw.gov.cn/ggzy-portal/#/440200/index"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sz w:val="24"/>
          <w:szCs w:val="24"/>
          <w:highlight w:val="none"/>
        </w:rPr>
        <w:t>https://ygp.gdzwfw.gov.cn/ggzy-portal/#/440200/index</w:t>
      </w:r>
      <w:r>
        <w:rPr>
          <w:rFonts w:hint="eastAsia" w:ascii="宋体" w:hAnsi="宋体" w:eastAsia="宋体" w:cs="宋体"/>
          <w:color w:val="auto"/>
          <w:spacing w:val="-1"/>
          <w:sz w:val="24"/>
          <w:szCs w:val="24"/>
          <w:highlight w:val="none"/>
        </w:rPr>
        <w:fldChar w:fldCharType="end"/>
      </w:r>
      <w:r>
        <w:rPr>
          <w:rFonts w:hint="eastAsia" w:ascii="宋体" w:hAnsi="宋体" w:eastAsia="宋体" w:cs="宋体"/>
          <w:color w:val="auto"/>
          <w:spacing w:val="-1"/>
          <w:sz w:val="24"/>
          <w:szCs w:val="24"/>
          <w:highlight w:val="none"/>
        </w:rPr>
        <w:t>）办理企业入库、数字证书及电子印章事宜，具体请在平台查阅相应的交易指引。</w:t>
      </w:r>
    </w:p>
    <w:p w14:paraId="7ABA17A1">
      <w:pPr>
        <w:pageBreakBefore w:val="0"/>
        <w:kinsoku/>
        <w:wordWrap w:val="0"/>
        <w:overflowPunct/>
        <w:topLinePunct w:val="0"/>
        <w:bidi w:val="0"/>
        <w:spacing w:before="37" w:line="329" w:lineRule="auto"/>
        <w:ind w:left="9" w:right="105"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已入库企业有关信息（如单位名称、基本账号、资质、人员等）发生变化</w:t>
      </w:r>
      <w:r>
        <w:rPr>
          <w:rFonts w:hint="eastAsia" w:ascii="宋体" w:hAnsi="宋体" w:eastAsia="宋体" w:cs="宋体"/>
          <w:color w:val="auto"/>
          <w:spacing w:val="-3"/>
          <w:sz w:val="24"/>
          <w:szCs w:val="24"/>
          <w:highlight w:val="none"/>
        </w:rPr>
        <w:t>的，须</w:t>
      </w:r>
      <w:r>
        <w:rPr>
          <w:rFonts w:hint="eastAsia" w:ascii="宋体" w:hAnsi="宋体" w:eastAsia="宋体" w:cs="宋体"/>
          <w:color w:val="auto"/>
          <w:spacing w:val="-1"/>
          <w:sz w:val="24"/>
          <w:szCs w:val="24"/>
          <w:highlight w:val="none"/>
        </w:rPr>
        <w:t>及时在交易系统进行相应变更。投标人未及时变更信息而造成的</w:t>
      </w:r>
      <w:r>
        <w:rPr>
          <w:rFonts w:hint="eastAsia" w:ascii="宋体" w:hAnsi="宋体" w:eastAsia="宋体" w:cs="宋体"/>
          <w:color w:val="auto"/>
          <w:spacing w:val="-2"/>
          <w:sz w:val="24"/>
          <w:szCs w:val="24"/>
          <w:highlight w:val="none"/>
        </w:rPr>
        <w:t>损失和后果，由投标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人自行承担。</w:t>
      </w:r>
    </w:p>
    <w:p w14:paraId="73A40149">
      <w:pPr>
        <w:pageBreakBefore w:val="0"/>
        <w:kinsoku/>
        <w:wordWrap w:val="0"/>
        <w:overflowPunct/>
        <w:topLinePunct w:val="0"/>
        <w:bidi w:val="0"/>
        <w:spacing w:before="33" w:line="335" w:lineRule="auto"/>
        <w:ind w:left="10" w:right="105" w:firstLine="508"/>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电子印章：是指获得国家工业和信息化部颁发的《电子认证服务许可</w:t>
      </w:r>
      <w:r>
        <w:rPr>
          <w:rFonts w:hint="eastAsia" w:ascii="宋体" w:hAnsi="宋体" w:eastAsia="宋体" w:cs="宋体"/>
          <w:color w:val="auto"/>
          <w:spacing w:val="-3"/>
          <w:sz w:val="24"/>
          <w:szCs w:val="24"/>
          <w:highlight w:val="none"/>
        </w:rPr>
        <w:t>证》、国家</w:t>
      </w:r>
      <w:r>
        <w:rPr>
          <w:rFonts w:hint="eastAsia" w:ascii="宋体" w:hAnsi="宋体" w:eastAsia="宋体" w:cs="宋体"/>
          <w:color w:val="auto"/>
          <w:spacing w:val="-1"/>
          <w:sz w:val="24"/>
          <w:szCs w:val="24"/>
          <w:highlight w:val="none"/>
        </w:rPr>
        <w:t>密码管理局颁发的《电子认证服务使用密码许可证》等资质，</w:t>
      </w:r>
      <w:r>
        <w:rPr>
          <w:rFonts w:hint="eastAsia" w:ascii="宋体" w:hAnsi="宋体" w:eastAsia="宋体" w:cs="宋体"/>
          <w:color w:val="auto"/>
          <w:spacing w:val="-2"/>
          <w:sz w:val="24"/>
          <w:szCs w:val="24"/>
          <w:highlight w:val="none"/>
        </w:rPr>
        <w:t>具备承担因数字证书原</w:t>
      </w:r>
      <w:r>
        <w:rPr>
          <w:rFonts w:hint="eastAsia" w:ascii="宋体" w:hAnsi="宋体" w:eastAsia="宋体" w:cs="宋体"/>
          <w:color w:val="auto"/>
          <w:spacing w:val="-1"/>
          <w:sz w:val="24"/>
          <w:szCs w:val="24"/>
          <w:highlight w:val="none"/>
        </w:rPr>
        <w:t>因产生纠纷的相关责任的能力，且在广东省内具有数量基础和</w:t>
      </w:r>
      <w:r>
        <w:rPr>
          <w:rFonts w:hint="eastAsia" w:ascii="宋体" w:hAnsi="宋体" w:eastAsia="宋体" w:cs="宋体"/>
          <w:color w:val="auto"/>
          <w:spacing w:val="-2"/>
          <w:sz w:val="24"/>
          <w:szCs w:val="24"/>
          <w:highlight w:val="none"/>
        </w:rPr>
        <w:t>服务能力的依法设立的</w:t>
      </w:r>
      <w:r>
        <w:rPr>
          <w:rFonts w:hint="eastAsia" w:ascii="宋体" w:hAnsi="宋体" w:eastAsia="宋体" w:cs="宋体"/>
          <w:color w:val="auto"/>
          <w:spacing w:val="3"/>
          <w:sz w:val="24"/>
          <w:szCs w:val="24"/>
          <w:highlight w:val="none"/>
        </w:rPr>
        <w:t>电子认证服务机构签发的电子签章认证证书（即</w:t>
      </w:r>
      <w:r>
        <w:rPr>
          <w:rFonts w:hint="eastAsia" w:ascii="宋体" w:hAnsi="宋体" w:eastAsia="宋体" w:cs="宋体"/>
          <w:color w:val="auto"/>
          <w:sz w:val="24"/>
          <w:szCs w:val="24"/>
          <w:highlight w:val="none"/>
        </w:rPr>
        <w:t>CA</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数字证书）。投标人应当到相关</w:t>
      </w:r>
      <w:r>
        <w:rPr>
          <w:rFonts w:hint="eastAsia" w:ascii="宋体" w:hAnsi="宋体" w:eastAsia="宋体" w:cs="宋体"/>
          <w:color w:val="auto"/>
          <w:spacing w:val="-1"/>
          <w:sz w:val="24"/>
          <w:szCs w:val="24"/>
          <w:highlight w:val="none"/>
        </w:rPr>
        <w:t>服务机构办理并取得数字证书介质和应用。电子印章包括机构</w:t>
      </w:r>
      <w:r>
        <w:rPr>
          <w:rFonts w:hint="eastAsia" w:ascii="宋体" w:hAnsi="宋体" w:eastAsia="宋体" w:cs="宋体"/>
          <w:color w:val="auto"/>
          <w:spacing w:val="-2"/>
          <w:sz w:val="24"/>
          <w:szCs w:val="24"/>
          <w:highlight w:val="none"/>
        </w:rPr>
        <w:t>法人电子形式印章，单</w:t>
      </w:r>
      <w:r>
        <w:rPr>
          <w:rFonts w:hint="eastAsia" w:ascii="宋体" w:hAnsi="宋体" w:eastAsia="宋体" w:cs="宋体"/>
          <w:color w:val="auto"/>
          <w:spacing w:val="-1"/>
          <w:sz w:val="24"/>
          <w:szCs w:val="24"/>
          <w:highlight w:val="none"/>
        </w:rPr>
        <w:t>位法定代表人、被委托人及其他个人的电子形式印章。电子印</w:t>
      </w:r>
      <w:r>
        <w:rPr>
          <w:rFonts w:hint="eastAsia" w:ascii="宋体" w:hAnsi="宋体" w:eastAsia="宋体" w:cs="宋体"/>
          <w:color w:val="auto"/>
          <w:spacing w:val="-2"/>
          <w:sz w:val="24"/>
          <w:szCs w:val="24"/>
          <w:highlight w:val="none"/>
        </w:rPr>
        <w:t>章与手写签名或者盖章</w:t>
      </w:r>
      <w:r>
        <w:rPr>
          <w:rFonts w:hint="eastAsia" w:ascii="宋体" w:hAnsi="宋体" w:eastAsia="宋体" w:cs="宋体"/>
          <w:color w:val="auto"/>
          <w:spacing w:val="-1"/>
          <w:sz w:val="24"/>
          <w:szCs w:val="24"/>
          <w:highlight w:val="none"/>
        </w:rPr>
        <w:t>具有同等的法律效力。</w:t>
      </w:r>
    </w:p>
    <w:p w14:paraId="1296078A">
      <w:pPr>
        <w:pageBreakBefore w:val="0"/>
        <w:kinsoku/>
        <w:wordWrap w:val="0"/>
        <w:overflowPunct/>
        <w:topLinePunct w:val="0"/>
        <w:bidi w:val="0"/>
        <w:spacing w:before="33" w:line="221"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3"/>
          <w:sz w:val="24"/>
          <w:szCs w:val="24"/>
          <w:highlight w:val="none"/>
        </w:rPr>
        <w:t>投标保证</w:t>
      </w:r>
    </w:p>
    <w:p w14:paraId="70FE9E8C">
      <w:pPr>
        <w:pageBreakBefore w:val="0"/>
        <w:kinsoku/>
        <w:wordWrap w:val="0"/>
        <w:overflowPunct/>
        <w:topLinePunct w:val="0"/>
        <w:bidi w:val="0"/>
        <w:spacing w:before="152" w:line="280" w:lineRule="auto"/>
        <w:ind w:left="8" w:right="105"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3.3.1  </w:t>
      </w:r>
      <w:r>
        <w:rPr>
          <w:rFonts w:hint="eastAsia" w:ascii="宋体" w:hAnsi="宋体" w:eastAsia="宋体" w:cs="宋体"/>
          <w:color w:val="auto"/>
          <w:spacing w:val="-1"/>
          <w:sz w:val="24"/>
          <w:szCs w:val="24"/>
          <w:highlight w:val="none"/>
        </w:rPr>
        <w:t>投标人须缴纳金额为人民币</w:t>
      </w:r>
      <w:r>
        <w:rPr>
          <w:rFonts w:hint="eastAsia" w:ascii="宋体" w:hAnsi="宋体" w:eastAsia="宋体" w:cs="宋体"/>
          <w:color w:val="auto"/>
          <w:spacing w:val="-1"/>
          <w:sz w:val="24"/>
          <w:szCs w:val="24"/>
          <w:highlight w:val="none"/>
          <w:u w:val="single"/>
          <w:lang w:val="en-US" w:eastAsia="zh-CN"/>
        </w:rPr>
        <w:t>40000.00元</w:t>
      </w:r>
      <w:r>
        <w:rPr>
          <w:rFonts w:hint="eastAsia" w:ascii="宋体" w:hAnsi="宋体" w:eastAsia="宋体" w:cs="宋体"/>
          <w:color w:val="auto"/>
          <w:spacing w:val="-1"/>
          <w:sz w:val="24"/>
          <w:szCs w:val="24"/>
          <w:highlight w:val="none"/>
        </w:rPr>
        <w:t xml:space="preserve">的投标保证。 </w:t>
      </w:r>
    </w:p>
    <w:p w14:paraId="77827FA8">
      <w:pPr>
        <w:pageBreakBefore w:val="0"/>
        <w:kinsoku/>
        <w:wordWrap w:val="0"/>
        <w:overflowPunct/>
        <w:topLinePunct w:val="0"/>
        <w:bidi w:val="0"/>
        <w:spacing w:before="35" w:line="325" w:lineRule="auto"/>
        <w:ind w:left="12" w:right="108" w:firstLine="471"/>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3.3.2  </w:t>
      </w:r>
      <w:r>
        <w:rPr>
          <w:rFonts w:hint="eastAsia" w:ascii="宋体" w:hAnsi="宋体" w:eastAsia="宋体" w:cs="宋体"/>
          <w:color w:val="auto"/>
          <w:spacing w:val="2"/>
          <w:sz w:val="24"/>
          <w:szCs w:val="24"/>
          <w:highlight w:val="none"/>
        </w:rPr>
        <w:t>投标保证的形式包括投标保证金、投标保证担保、投标保证保险三种</w:t>
      </w:r>
      <w:r>
        <w:rPr>
          <w:rFonts w:hint="eastAsia" w:ascii="宋体" w:hAnsi="宋体" w:eastAsia="宋体" w:cs="宋体"/>
          <w:color w:val="auto"/>
          <w:spacing w:val="1"/>
          <w:sz w:val="24"/>
          <w:szCs w:val="24"/>
          <w:highlight w:val="none"/>
        </w:rPr>
        <w:t>，由</w:t>
      </w:r>
      <w:r>
        <w:rPr>
          <w:rFonts w:hint="eastAsia" w:ascii="宋体" w:hAnsi="宋体" w:eastAsia="宋体" w:cs="宋体"/>
          <w:color w:val="auto"/>
          <w:spacing w:val="-2"/>
          <w:sz w:val="24"/>
          <w:szCs w:val="24"/>
          <w:highlight w:val="none"/>
        </w:rPr>
        <w:t>投标人自主选择。</w:t>
      </w:r>
    </w:p>
    <w:p w14:paraId="4459D6DD">
      <w:pPr>
        <w:pageBreakBefore w:val="0"/>
        <w:kinsoku/>
        <w:wordWrap w:val="0"/>
        <w:overflowPunct/>
        <w:topLinePunct w:val="0"/>
        <w:bidi w:val="0"/>
        <w:spacing w:before="78" w:line="334" w:lineRule="auto"/>
        <w:ind w:left="12" w:right="2" w:firstLine="490"/>
        <w:jc w:val="both"/>
        <w:rPr>
          <w:rFonts w:hint="eastAsia" w:ascii="宋体" w:hAnsi="宋体" w:eastAsia="宋体" w:cs="宋体"/>
          <w:color w:val="auto"/>
          <w:spacing w:val="-1"/>
          <w:sz w:val="24"/>
          <w:szCs w:val="24"/>
          <w:highlight w:val="none"/>
        </w:rPr>
      </w:pPr>
      <w:bookmarkStart w:id="21" w:name="bookmark117"/>
      <w:bookmarkEnd w:id="21"/>
      <w:r>
        <w:rPr>
          <w:rFonts w:hint="eastAsia" w:ascii="宋体" w:hAnsi="宋体" w:eastAsia="宋体" w:cs="宋体"/>
          <w:color w:val="auto"/>
          <w:spacing w:val="2"/>
          <w:sz w:val="24"/>
          <w:szCs w:val="24"/>
          <w:highlight w:val="none"/>
        </w:rPr>
        <w:t>（1）采用投标保证金的，投标人在建设工程交易系统获取招</w:t>
      </w:r>
      <w:r>
        <w:rPr>
          <w:rFonts w:hint="eastAsia" w:ascii="宋体" w:hAnsi="宋体" w:eastAsia="宋体" w:cs="宋体"/>
          <w:color w:val="auto"/>
          <w:spacing w:val="1"/>
          <w:sz w:val="24"/>
          <w:szCs w:val="24"/>
          <w:highlight w:val="none"/>
        </w:rPr>
        <w:t>标文件完毕后，即</w:t>
      </w:r>
      <w:r>
        <w:rPr>
          <w:rFonts w:hint="eastAsia" w:ascii="宋体" w:hAnsi="宋体" w:eastAsia="宋体" w:cs="宋体"/>
          <w:color w:val="auto"/>
          <w:spacing w:val="-1"/>
          <w:sz w:val="24"/>
          <w:szCs w:val="24"/>
          <w:highlight w:val="none"/>
        </w:rPr>
        <w:t>可在系统申请缴纳投标保证金，获取本次招标投标保证金缴</w:t>
      </w:r>
      <w:r>
        <w:rPr>
          <w:rFonts w:hint="eastAsia" w:ascii="宋体" w:hAnsi="宋体" w:eastAsia="宋体" w:cs="宋体"/>
          <w:color w:val="auto"/>
          <w:spacing w:val="-2"/>
          <w:sz w:val="24"/>
          <w:szCs w:val="24"/>
          <w:highlight w:val="none"/>
        </w:rPr>
        <w:t>纳账号。投标人必须于投标保证金到账截</w:t>
      </w:r>
      <w:r>
        <w:rPr>
          <w:rFonts w:hint="eastAsia" w:ascii="宋体" w:hAnsi="宋体" w:eastAsia="宋体" w:cs="宋体"/>
          <w:color w:val="auto"/>
          <w:spacing w:val="-1"/>
          <w:sz w:val="24"/>
          <w:szCs w:val="24"/>
          <w:highlight w:val="none"/>
        </w:rPr>
        <w:t>止时间（见本招标文件“重要事项时间地点一览表 ”）前，从其基本账户将投标保证金转账到指定的缴纳账号。逾期到账的、从非投标人基本账户转出的，其投标无效。</w:t>
      </w:r>
    </w:p>
    <w:p w14:paraId="19B8D669">
      <w:pPr>
        <w:pageBreakBefore w:val="0"/>
        <w:kinsoku/>
        <w:wordWrap w:val="0"/>
        <w:overflowPunct/>
        <w:topLinePunct w:val="0"/>
        <w:bidi w:val="0"/>
        <w:spacing w:before="78" w:line="334" w:lineRule="auto"/>
        <w:ind w:left="12" w:right="2" w:firstLine="49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59A2CBC2">
      <w:pPr>
        <w:keepNext w:val="0"/>
        <w:keepLines w:val="0"/>
        <w:pageBreakBefore w:val="0"/>
        <w:widowControl/>
        <w:kinsoku/>
        <w:wordWrap w:val="0"/>
        <w:overflowPunct/>
        <w:topLinePunct w:val="0"/>
        <w:autoSpaceDE w:val="0"/>
        <w:autoSpaceDN w:val="0"/>
        <w:bidi w:val="0"/>
        <w:adjustRightInd w:val="0"/>
        <w:snapToGrid w:val="0"/>
        <w:spacing w:before="78" w:line="334" w:lineRule="auto"/>
        <w:ind w:left="11" w:right="0" w:firstLine="488"/>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3）采用投标保证保险的，投标人须在投标保证保险投保截止时间（见本招标文件“重要事项时间地点一览表”）前，使用建设工程交易系统完成网上投保。投标人可在系统选择保险机构、录入投保信息、支付保费、打印</w:t>
      </w:r>
      <w:r>
        <w:rPr>
          <w:rFonts w:hint="eastAsia" w:ascii="宋体" w:hAnsi="宋体" w:eastAsia="宋体" w:cs="宋体"/>
          <w:color w:val="auto"/>
          <w:spacing w:val="-2"/>
          <w:sz w:val="24"/>
          <w:szCs w:val="24"/>
          <w:highlight w:val="none"/>
        </w:rPr>
        <w:t>电子保单，电子保单的有</w:t>
      </w:r>
      <w:r>
        <w:rPr>
          <w:rFonts w:hint="eastAsia" w:ascii="宋体" w:hAnsi="宋体" w:eastAsia="宋体" w:cs="宋体"/>
          <w:color w:val="auto"/>
          <w:spacing w:val="-3"/>
          <w:sz w:val="24"/>
          <w:szCs w:val="24"/>
          <w:highlight w:val="none"/>
        </w:rPr>
        <w:t>效期不得短于投标有效期。投标人可登录全国公共资源交易平台（广东省·韶关市）（</w:t>
      </w:r>
      <w:r>
        <w:rPr>
          <w:rFonts w:hint="eastAsia" w:ascii="宋体" w:hAnsi="宋体" w:eastAsia="宋体" w:cs="宋体"/>
          <w:color w:val="auto"/>
          <w:spacing w:val="-3"/>
          <w:sz w:val="24"/>
          <w:szCs w:val="24"/>
          <w:highlight w:val="none"/>
        </w:rPr>
        <w:fldChar w:fldCharType="begin"/>
      </w:r>
      <w:r>
        <w:rPr>
          <w:rFonts w:hint="eastAsia" w:ascii="宋体" w:hAnsi="宋体" w:eastAsia="宋体" w:cs="宋体"/>
          <w:color w:val="auto"/>
          <w:spacing w:val="-3"/>
          <w:sz w:val="24"/>
          <w:szCs w:val="24"/>
          <w:highlight w:val="none"/>
        </w:rPr>
        <w:instrText xml:space="preserve"> HYPERLINK "https://ygp.gdzwfw.gov.cn/ggzy-portal/#/440200/index" </w:instrText>
      </w:r>
      <w:r>
        <w:rPr>
          <w:rFonts w:hint="eastAsia" w:ascii="宋体" w:hAnsi="宋体" w:eastAsia="宋体" w:cs="宋体"/>
          <w:color w:val="auto"/>
          <w:spacing w:val="-3"/>
          <w:sz w:val="24"/>
          <w:szCs w:val="24"/>
          <w:highlight w:val="none"/>
        </w:rPr>
        <w:fldChar w:fldCharType="separate"/>
      </w:r>
      <w:r>
        <w:rPr>
          <w:rFonts w:hint="eastAsia" w:ascii="宋体" w:hAnsi="宋体" w:eastAsia="宋体" w:cs="宋体"/>
          <w:color w:val="auto"/>
          <w:spacing w:val="-3"/>
          <w:sz w:val="24"/>
          <w:szCs w:val="24"/>
          <w:highlight w:val="none"/>
        </w:rPr>
        <w:t>https://ygp.gdzwfw.gov.cn/ggzy-portal/#/440200/index</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），在【服务指南】栏目中下载《建设工程网上交易系统保险保证金缴纳操作指南》，了解网上投保具体操作流程。逾期投保的，其投标无效。</w:t>
      </w:r>
    </w:p>
    <w:p w14:paraId="0C95A37A">
      <w:pPr>
        <w:pageBreakBefore w:val="0"/>
        <w:kinsoku/>
        <w:wordWrap w:val="0"/>
        <w:overflowPunct/>
        <w:topLinePunct w:val="0"/>
        <w:bidi w:val="0"/>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温馨提示：1.投标人采用投标保证担保或投标保证保险的，为避免在评标过程中因有效期发生争议，建议投标人将银行保函或电子保单有效期设置为较招标文件规定的投标有效期延长不少于20个日历天。</w:t>
      </w:r>
    </w:p>
    <w:p w14:paraId="39A5AF30">
      <w:pPr>
        <w:pageBreakBefore w:val="0"/>
        <w:kinsoku/>
        <w:wordWrap w:val="0"/>
        <w:overflowPunct/>
        <w:topLinePunct w:val="0"/>
        <w:bidi w:val="0"/>
        <w:spacing w:before="78" w:line="334" w:lineRule="auto"/>
        <w:ind w:left="12" w:right="2" w:firstLine="490"/>
        <w:jc w:val="both"/>
        <w:rPr>
          <w:rFonts w:hint="eastAsia" w:ascii="宋体" w:hAnsi="宋体" w:eastAsia="宋体" w:cs="宋体"/>
          <w:color w:val="auto"/>
          <w:highlight w:val="none"/>
        </w:rPr>
      </w:pPr>
      <w:r>
        <w:rPr>
          <w:rFonts w:hint="eastAsia" w:ascii="宋体" w:hAnsi="宋体" w:eastAsia="宋体" w:cs="宋体"/>
          <w:b/>
          <w:bCs/>
          <w:color w:val="auto"/>
          <w:spacing w:val="-3"/>
          <w:sz w:val="24"/>
          <w:szCs w:val="24"/>
          <w:highlight w:val="none"/>
        </w:rPr>
        <w:t xml:space="preserve">3.4 </w:t>
      </w:r>
      <w:r>
        <w:rPr>
          <w:rFonts w:hint="eastAsia" w:ascii="宋体" w:hAnsi="宋体" w:eastAsia="宋体" w:cs="宋体"/>
          <w:b/>
          <w:bCs/>
          <w:color w:val="auto"/>
          <w:spacing w:val="-3"/>
          <w:sz w:val="24"/>
          <w:szCs w:val="24"/>
          <w:highlight w:val="none"/>
          <w:lang w:val="en-US" w:eastAsia="zh-CN"/>
        </w:rPr>
        <w:t xml:space="preserve"> </w:t>
      </w:r>
      <w:r>
        <w:rPr>
          <w:rFonts w:hint="eastAsia" w:ascii="宋体" w:hAnsi="宋体" w:eastAsia="宋体" w:cs="宋体"/>
          <w:color w:val="auto"/>
          <w:spacing w:val="-3"/>
          <w:sz w:val="24"/>
          <w:szCs w:val="24"/>
          <w:highlight w:val="none"/>
        </w:rPr>
        <w:t>若投标人因自身原因未能正确完成获取招标文件</w:t>
      </w:r>
      <w:r>
        <w:rPr>
          <w:rFonts w:hint="eastAsia" w:ascii="宋体" w:hAnsi="宋体" w:eastAsia="宋体" w:cs="宋体"/>
          <w:color w:val="auto"/>
          <w:sz w:val="24"/>
          <w:szCs w:val="24"/>
          <w:highlight w:val="none"/>
        </w:rPr>
        <w:t>、电子投标、缴纳投标保证</w:t>
      </w:r>
      <w:r>
        <w:rPr>
          <w:rFonts w:hint="eastAsia" w:ascii="宋体" w:hAnsi="宋体" w:eastAsia="宋体" w:cs="宋体"/>
          <w:color w:val="auto"/>
          <w:spacing w:val="-4"/>
          <w:sz w:val="24"/>
          <w:szCs w:val="24"/>
          <w:highlight w:val="none"/>
        </w:rPr>
        <w:t>的，其投标无效。</w:t>
      </w:r>
    </w:p>
    <w:p w14:paraId="7C7CE3F6">
      <w:pPr>
        <w:pageBreakBefore w:val="0"/>
        <w:kinsoku/>
        <w:wordWrap w:val="0"/>
        <w:overflowPunct/>
        <w:topLinePunct w:val="0"/>
        <w:bidi w:val="0"/>
        <w:spacing w:before="79" w:line="221" w:lineRule="auto"/>
        <w:ind w:left="487"/>
        <w:outlineLvl w:val="2"/>
        <w:rPr>
          <w:rFonts w:hint="eastAsia" w:ascii="宋体" w:hAnsi="宋体" w:eastAsia="宋体" w:cs="宋体"/>
          <w:color w:val="auto"/>
          <w:sz w:val="24"/>
          <w:szCs w:val="24"/>
          <w:highlight w:val="none"/>
        </w:rPr>
      </w:pPr>
      <w:bookmarkStart w:id="22" w:name="bookmark78"/>
      <w:bookmarkEnd w:id="22"/>
      <w:bookmarkStart w:id="23" w:name="bookmark64"/>
      <w:bookmarkEnd w:id="23"/>
      <w:bookmarkStart w:id="24" w:name="_Toc15498"/>
      <w:bookmarkStart w:id="25" w:name="_Toc16564"/>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8"/>
          <w:sz w:val="24"/>
          <w:szCs w:val="24"/>
          <w:highlight w:val="none"/>
          <w:lang w:val="en-US" w:eastAsia="zh-CN"/>
        </w:rPr>
        <w:t xml:space="preserve"> </w:t>
      </w:r>
      <w:r>
        <w:rPr>
          <w:rFonts w:hint="eastAsia" w:ascii="宋体" w:hAnsi="宋体" w:eastAsia="宋体" w:cs="宋体"/>
          <w:b/>
          <w:bCs/>
          <w:color w:val="auto"/>
          <w:spacing w:val="-8"/>
          <w:sz w:val="24"/>
          <w:szCs w:val="24"/>
          <w:highlight w:val="none"/>
        </w:rPr>
        <w:t>．工期要求</w:t>
      </w:r>
      <w:bookmarkEnd w:id="24"/>
      <w:bookmarkEnd w:id="25"/>
    </w:p>
    <w:p w14:paraId="533C7AA5">
      <w:pPr>
        <w:pageBreakBefore w:val="0"/>
        <w:kinsoku/>
        <w:wordWrap w:val="0"/>
        <w:overflowPunct/>
        <w:topLinePunct w:val="0"/>
        <w:bidi w:val="0"/>
        <w:spacing w:before="153" w:line="324" w:lineRule="auto"/>
        <w:ind w:left="30" w:right="65" w:firstLine="4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本招标项目招标工期为</w:t>
      </w:r>
      <w:r>
        <w:rPr>
          <w:rFonts w:hint="eastAsia" w:ascii="宋体" w:hAnsi="宋体" w:eastAsia="宋体" w:cs="宋体"/>
          <w:color w:val="auto"/>
          <w:spacing w:val="-2"/>
          <w:sz w:val="24"/>
          <w:szCs w:val="24"/>
          <w:highlight w:val="none"/>
          <w:u w:val="single"/>
          <w:lang w:val="en-US" w:eastAsia="zh-CN"/>
        </w:rPr>
        <w:t>150个日历天</w:t>
      </w:r>
      <w:r>
        <w:rPr>
          <w:rFonts w:hint="eastAsia" w:ascii="宋体" w:hAnsi="宋体" w:eastAsia="宋体" w:cs="宋体"/>
          <w:color w:val="auto"/>
          <w:spacing w:val="-2"/>
          <w:sz w:val="24"/>
          <w:szCs w:val="24"/>
          <w:highlight w:val="none"/>
        </w:rPr>
        <w:t>，中标人必须在招标工期内完成招标范围内</w:t>
      </w:r>
      <w:r>
        <w:rPr>
          <w:rFonts w:hint="eastAsia" w:ascii="宋体" w:hAnsi="宋体" w:eastAsia="宋体" w:cs="宋体"/>
          <w:color w:val="auto"/>
          <w:spacing w:val="-5"/>
          <w:sz w:val="24"/>
          <w:szCs w:val="24"/>
          <w:highlight w:val="none"/>
        </w:rPr>
        <w:t>的全部内容。</w:t>
      </w:r>
    </w:p>
    <w:p w14:paraId="20DC87FE">
      <w:pPr>
        <w:pageBreakBefore w:val="0"/>
        <w:kinsoku/>
        <w:wordWrap w:val="0"/>
        <w:overflowPunct/>
        <w:topLinePunct w:val="0"/>
        <w:bidi w:val="0"/>
        <w:spacing w:before="78" w:line="219" w:lineRule="auto"/>
        <w:ind w:left="488"/>
        <w:outlineLvl w:val="2"/>
        <w:rPr>
          <w:rFonts w:hint="eastAsia" w:ascii="宋体" w:hAnsi="宋体" w:eastAsia="宋体" w:cs="宋体"/>
          <w:color w:val="auto"/>
          <w:sz w:val="24"/>
          <w:szCs w:val="24"/>
          <w:highlight w:val="none"/>
        </w:rPr>
      </w:pPr>
      <w:bookmarkStart w:id="26" w:name="_Toc4154"/>
      <w:bookmarkStart w:id="27" w:name="_Toc28358"/>
      <w:r>
        <w:rPr>
          <w:rFonts w:hint="eastAsia" w:ascii="宋体" w:hAnsi="宋体" w:eastAsia="宋体" w:cs="宋体"/>
          <w:b/>
          <w:bCs/>
          <w:color w:val="auto"/>
          <w:spacing w:val="-5"/>
          <w:sz w:val="24"/>
          <w:szCs w:val="24"/>
          <w:highlight w:val="none"/>
        </w:rPr>
        <w:t>5</w:t>
      </w:r>
      <w:r>
        <w:rPr>
          <w:rFonts w:hint="eastAsia" w:ascii="宋体" w:hAnsi="宋体" w:eastAsia="宋体" w:cs="宋体"/>
          <w:b/>
          <w:bCs/>
          <w:color w:val="auto"/>
          <w:spacing w:val="-5"/>
          <w:sz w:val="24"/>
          <w:szCs w:val="24"/>
          <w:highlight w:val="none"/>
          <w:lang w:val="en-US" w:eastAsia="zh-CN"/>
        </w:rPr>
        <w:t xml:space="preserve"> </w:t>
      </w:r>
      <w:r>
        <w:rPr>
          <w:rFonts w:hint="eastAsia" w:ascii="宋体" w:hAnsi="宋体" w:eastAsia="宋体" w:cs="宋体"/>
          <w:b/>
          <w:bCs/>
          <w:color w:val="auto"/>
          <w:spacing w:val="-5"/>
          <w:sz w:val="24"/>
          <w:szCs w:val="24"/>
          <w:highlight w:val="none"/>
        </w:rPr>
        <w:t>．质量标准和材料、机械要求</w:t>
      </w:r>
      <w:bookmarkEnd w:id="26"/>
      <w:bookmarkEnd w:id="27"/>
    </w:p>
    <w:p w14:paraId="3BC3191A">
      <w:pPr>
        <w:pageBreakBefore w:val="0"/>
        <w:kinsoku/>
        <w:wordWrap w:val="0"/>
        <w:overflowPunct/>
        <w:topLinePunct w:val="0"/>
        <w:bidi w:val="0"/>
        <w:spacing w:before="154" w:line="279" w:lineRule="auto"/>
        <w:ind w:left="11" w:right="99"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5.1  </w:t>
      </w:r>
      <w:r>
        <w:rPr>
          <w:rFonts w:hint="eastAsia" w:ascii="宋体" w:hAnsi="宋体" w:eastAsia="宋体" w:cs="宋体"/>
          <w:color w:val="auto"/>
          <w:sz w:val="24"/>
          <w:szCs w:val="24"/>
          <w:highlight w:val="none"/>
        </w:rPr>
        <w:t>施工工艺严格按照国家和广东省的有关现行施工技术规范及标准执行，工程</w:t>
      </w:r>
      <w:r>
        <w:rPr>
          <w:rFonts w:hint="eastAsia" w:ascii="宋体" w:hAnsi="宋体" w:eastAsia="宋体" w:cs="宋体"/>
          <w:color w:val="auto"/>
          <w:spacing w:val="-1"/>
          <w:sz w:val="24"/>
          <w:szCs w:val="24"/>
          <w:highlight w:val="none"/>
        </w:rPr>
        <w:t>质量标准须达到</w:t>
      </w:r>
      <w:r>
        <w:rPr>
          <w:rFonts w:hint="eastAsia" w:ascii="宋体" w:hAnsi="宋体" w:eastAsia="宋体" w:cs="宋体"/>
          <w:color w:val="auto"/>
          <w:spacing w:val="-1"/>
          <w:sz w:val="24"/>
          <w:szCs w:val="24"/>
          <w:highlight w:val="none"/>
          <w:u w:val="single"/>
          <w:lang w:val="en-US" w:eastAsia="zh-CN"/>
        </w:rPr>
        <w:t>合格</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w:t>
      </w:r>
    </w:p>
    <w:p w14:paraId="5197C550">
      <w:pPr>
        <w:pageBreakBefore w:val="0"/>
        <w:kinsoku/>
        <w:wordWrap w:val="0"/>
        <w:overflowPunct/>
        <w:topLinePunct w:val="0"/>
        <w:bidi w:val="0"/>
        <w:spacing w:before="154" w:line="279" w:lineRule="auto"/>
        <w:ind w:left="10" w:right="99"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5.2</w:t>
      </w:r>
      <w:r>
        <w:rPr>
          <w:rFonts w:hint="eastAsia" w:ascii="宋体" w:hAnsi="宋体" w:eastAsia="宋体" w:cs="宋体"/>
          <w:b/>
          <w:bCs/>
          <w:color w:val="auto"/>
          <w:spacing w:val="21"/>
          <w:w w:val="101"/>
          <w:sz w:val="24"/>
          <w:szCs w:val="24"/>
          <w:highlight w:val="none"/>
        </w:rPr>
        <w:t xml:space="preserve">  </w:t>
      </w:r>
      <w:r>
        <w:rPr>
          <w:rFonts w:hint="eastAsia" w:ascii="宋体" w:hAnsi="宋体" w:eastAsia="宋体" w:cs="宋体"/>
          <w:color w:val="auto"/>
          <w:spacing w:val="-3"/>
          <w:sz w:val="24"/>
          <w:szCs w:val="24"/>
          <w:highlight w:val="none"/>
        </w:rPr>
        <w:t>中标人在施工中如果工程质量不符合设计要求和有关规定，招标人或监理单</w:t>
      </w:r>
      <w:r>
        <w:rPr>
          <w:rFonts w:hint="eastAsia" w:ascii="宋体" w:hAnsi="宋体" w:eastAsia="宋体" w:cs="宋体"/>
          <w:color w:val="auto"/>
          <w:sz w:val="24"/>
          <w:szCs w:val="24"/>
          <w:highlight w:val="none"/>
        </w:rPr>
        <w:t>位要求停工和返工的必须立即执行，并承担由此产生的各</w:t>
      </w:r>
      <w:r>
        <w:rPr>
          <w:rFonts w:hint="eastAsia" w:ascii="宋体" w:hAnsi="宋体" w:eastAsia="宋体" w:cs="宋体"/>
          <w:color w:val="auto"/>
          <w:spacing w:val="-1"/>
          <w:sz w:val="24"/>
          <w:szCs w:val="24"/>
          <w:highlight w:val="none"/>
        </w:rPr>
        <w:t>种费用，工期不予顺延。</w:t>
      </w:r>
    </w:p>
    <w:p w14:paraId="1B1D3255">
      <w:pPr>
        <w:pageBreakBefore w:val="0"/>
        <w:kinsoku/>
        <w:wordWrap w:val="0"/>
        <w:overflowPunct/>
        <w:topLinePunct w:val="0"/>
        <w:bidi w:val="0"/>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6"/>
          <w:sz w:val="24"/>
          <w:szCs w:val="24"/>
          <w:highlight w:val="none"/>
        </w:rPr>
        <w:t xml:space="preserve">5.3  </w:t>
      </w:r>
      <w:r>
        <w:rPr>
          <w:rFonts w:hint="eastAsia" w:ascii="宋体" w:hAnsi="宋体" w:eastAsia="宋体" w:cs="宋体"/>
          <w:color w:val="auto"/>
          <w:spacing w:val="-6"/>
          <w:sz w:val="24"/>
          <w:szCs w:val="24"/>
          <w:highlight w:val="none"/>
        </w:rPr>
        <w:t>保修期限按《建设工程质量管理条例》（中华人民共和国国务院令第</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6"/>
          <w:sz w:val="24"/>
          <w:szCs w:val="24"/>
          <w:highlight w:val="none"/>
        </w:rPr>
        <w:t>279</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6"/>
          <w:sz w:val="24"/>
          <w:szCs w:val="24"/>
          <w:highlight w:val="none"/>
        </w:rPr>
        <w:t>号）</w:t>
      </w:r>
      <w:r>
        <w:rPr>
          <w:rFonts w:hint="eastAsia" w:ascii="宋体" w:hAnsi="宋体" w:eastAsia="宋体" w:cs="宋体"/>
          <w:color w:val="auto"/>
          <w:spacing w:val="-1"/>
          <w:sz w:val="24"/>
          <w:szCs w:val="24"/>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2D8C80FB">
      <w:pPr>
        <w:pageBreakBefore w:val="0"/>
        <w:kinsoku/>
        <w:wordWrap w:val="0"/>
        <w:overflowPunct/>
        <w:topLinePunct w:val="0"/>
        <w:bidi w:val="0"/>
        <w:spacing w:before="152" w:line="309" w:lineRule="auto"/>
        <w:ind w:left="9" w:firstLine="568"/>
        <w:rPr>
          <w:rFonts w:hint="eastAsia" w:ascii="宋体" w:hAnsi="宋体" w:eastAsia="宋体" w:cs="宋体"/>
          <w:color w:val="auto"/>
          <w:spacing w:val="-6"/>
          <w:sz w:val="24"/>
          <w:szCs w:val="24"/>
          <w:highlight w:val="none"/>
        </w:rPr>
      </w:pPr>
      <w:r>
        <w:rPr>
          <w:rFonts w:hint="eastAsia" w:ascii="宋体" w:hAnsi="宋体" w:eastAsia="宋体" w:cs="宋体"/>
          <w:b/>
          <w:bCs/>
          <w:color w:val="auto"/>
          <w:spacing w:val="-1"/>
          <w:sz w:val="24"/>
          <w:szCs w:val="24"/>
          <w:highlight w:val="none"/>
        </w:rPr>
        <w:t>5.4</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6"/>
          <w:sz w:val="24"/>
          <w:szCs w:val="24"/>
          <w:highlight w:val="none"/>
          <w:lang w:val="en-US" w:eastAsia="zh-CN"/>
        </w:rPr>
        <w:t>根据韶关市人民政府《关于加快推进全市绿色建筑发展工作的通知》（韶府办明电〔2013〕277号）有关规定，结合《韶关市住建管理局关于贯彻落实&lt;广东省绿色建筑条例&gt;有关工作的通知》（韶市建字〔2021〕85 号）等有关规定，</w:t>
      </w:r>
      <w:r>
        <w:rPr>
          <w:rFonts w:hint="eastAsia" w:ascii="宋体" w:hAnsi="宋体" w:eastAsia="宋体" w:cs="宋体"/>
          <w:color w:val="auto"/>
          <w:spacing w:val="-6"/>
          <w:sz w:val="24"/>
          <w:szCs w:val="24"/>
          <w:highlight w:val="none"/>
        </w:rPr>
        <w:t>本招标项目</w:t>
      </w:r>
      <w:r>
        <w:rPr>
          <w:rFonts w:hint="eastAsia" w:ascii="宋体" w:hAnsi="宋体" w:eastAsia="宋体" w:cs="宋体"/>
          <w:color w:val="auto"/>
          <w:spacing w:val="-6"/>
          <w:sz w:val="24"/>
          <w:szCs w:val="24"/>
          <w:highlight w:val="none"/>
          <w:lang w:val="en-US" w:eastAsia="zh-CN"/>
        </w:rPr>
        <w:t>不</w:t>
      </w:r>
      <w:r>
        <w:rPr>
          <w:rFonts w:hint="eastAsia" w:ascii="宋体" w:hAnsi="宋体" w:eastAsia="宋体" w:cs="宋体"/>
          <w:color w:val="auto"/>
          <w:spacing w:val="-6"/>
          <w:sz w:val="24"/>
          <w:szCs w:val="24"/>
          <w:highlight w:val="none"/>
        </w:rPr>
        <w:t>纳入绿色建设实施范围</w:t>
      </w:r>
      <w:r>
        <w:rPr>
          <w:rFonts w:hint="eastAsia" w:ascii="宋体" w:hAnsi="宋体" w:eastAsia="宋体" w:cs="宋体"/>
          <w:color w:val="auto"/>
          <w:spacing w:val="-6"/>
          <w:sz w:val="24"/>
          <w:szCs w:val="24"/>
          <w:highlight w:val="none"/>
          <w:lang w:eastAsia="zh-CN"/>
        </w:rPr>
        <w:t>。</w:t>
      </w:r>
    </w:p>
    <w:p w14:paraId="67F07540">
      <w:pPr>
        <w:pageBreakBefore w:val="0"/>
        <w:kinsoku/>
        <w:wordWrap w:val="0"/>
        <w:overflowPunct/>
        <w:topLinePunct w:val="0"/>
        <w:bidi w:val="0"/>
        <w:spacing w:before="152" w:line="309" w:lineRule="auto"/>
        <w:ind w:left="9" w:firstLine="568"/>
        <w:rPr>
          <w:rFonts w:hint="eastAsia" w:ascii="宋体" w:hAnsi="宋体" w:eastAsia="宋体" w:cs="宋体"/>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rPr>
        <w:t>5.5</w:t>
      </w:r>
      <w:r>
        <w:rPr>
          <w:rFonts w:hint="eastAsia" w:ascii="宋体" w:hAnsi="宋体" w:eastAsia="宋体" w:cs="宋体"/>
          <w:color w:val="auto"/>
          <w:spacing w:val="-1"/>
          <w:sz w:val="24"/>
          <w:szCs w:val="24"/>
          <w:highlight w:val="none"/>
        </w:rPr>
        <w:t xml:space="preserve">  其它：</w:t>
      </w:r>
      <w:r>
        <w:rPr>
          <w:rFonts w:hint="eastAsia" w:ascii="宋体" w:hAnsi="宋体" w:eastAsia="宋体" w:cs="宋体"/>
          <w:color w:val="auto"/>
          <w:spacing w:val="-1"/>
          <w:sz w:val="24"/>
          <w:szCs w:val="24"/>
          <w:highlight w:val="none"/>
          <w:lang w:eastAsia="zh-CN"/>
        </w:rPr>
        <w:t>本招标项目</w:t>
      </w:r>
      <w:r>
        <w:rPr>
          <w:rFonts w:hint="eastAsia" w:ascii="宋体" w:hAnsi="宋体" w:eastAsia="宋体" w:cs="宋体"/>
          <w:color w:val="auto"/>
          <w:spacing w:val="-1"/>
          <w:sz w:val="24"/>
          <w:szCs w:val="24"/>
          <w:highlight w:val="none"/>
          <w:lang w:val="en-US" w:eastAsia="zh-CN"/>
        </w:rPr>
        <w:t>不</w:t>
      </w:r>
      <w:r>
        <w:rPr>
          <w:rFonts w:hint="eastAsia" w:ascii="宋体" w:hAnsi="宋体" w:eastAsia="宋体" w:cs="宋体"/>
          <w:color w:val="auto"/>
          <w:spacing w:val="-1"/>
          <w:sz w:val="24"/>
          <w:szCs w:val="24"/>
          <w:highlight w:val="none"/>
          <w:lang w:eastAsia="zh-CN"/>
        </w:rPr>
        <w:t>纳入装配式建造建设实施范围。</w:t>
      </w:r>
    </w:p>
    <w:p w14:paraId="06C479B1">
      <w:pPr>
        <w:pageBreakBefore w:val="0"/>
        <w:kinsoku/>
        <w:wordWrap w:val="0"/>
        <w:overflowPunct/>
        <w:topLinePunct w:val="0"/>
        <w:bidi w:val="0"/>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5.6</w:t>
      </w:r>
      <w:r>
        <w:rPr>
          <w:rFonts w:hint="eastAsia" w:ascii="宋体" w:hAnsi="宋体" w:eastAsia="宋体" w:cs="宋体"/>
          <w:color w:val="auto"/>
          <w:spacing w:val="-1"/>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则中标人必须使用合格材料或设备。</w:t>
      </w:r>
    </w:p>
    <w:p w14:paraId="65D6044A">
      <w:pPr>
        <w:pageBreakBefore w:val="0"/>
        <w:kinsoku/>
        <w:wordWrap w:val="0"/>
        <w:overflowPunct/>
        <w:topLinePunct w:val="0"/>
        <w:bidi w:val="0"/>
        <w:spacing w:before="152" w:line="309" w:lineRule="auto"/>
        <w:ind w:left="9" w:firstLine="568"/>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w:t>
      </w:r>
      <w:r>
        <w:rPr>
          <w:rFonts w:hint="eastAsia" w:ascii="宋体" w:hAnsi="宋体" w:eastAsia="宋体" w:cs="宋体"/>
          <w:b/>
          <w:bCs/>
          <w:color w:val="auto"/>
          <w:spacing w:val="-1"/>
          <w:sz w:val="24"/>
          <w:szCs w:val="24"/>
          <w:highlight w:val="none"/>
          <w:lang w:eastAsia="zh-CN"/>
        </w:rPr>
        <w:t>7</w:t>
      </w:r>
      <w:r>
        <w:rPr>
          <w:rFonts w:hint="eastAsia" w:ascii="宋体" w:hAnsi="宋体" w:eastAsia="宋体" w:cs="宋体"/>
          <w:color w:val="auto"/>
          <w:spacing w:val="-1"/>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370C3495">
      <w:pPr>
        <w:pageBreakBefore w:val="0"/>
        <w:kinsoku/>
        <w:wordWrap w:val="0"/>
        <w:overflowPunct/>
        <w:topLinePunct w:val="0"/>
        <w:bidi w:val="0"/>
        <w:spacing w:before="78" w:line="220" w:lineRule="auto"/>
        <w:ind w:left="489"/>
        <w:outlineLvl w:val="2"/>
        <w:rPr>
          <w:rFonts w:hint="eastAsia" w:ascii="宋体" w:hAnsi="宋体" w:eastAsia="宋体" w:cs="宋体"/>
          <w:color w:val="auto"/>
          <w:sz w:val="24"/>
          <w:szCs w:val="24"/>
          <w:highlight w:val="none"/>
        </w:rPr>
      </w:pPr>
      <w:bookmarkStart w:id="28" w:name="_Toc7763"/>
      <w:bookmarkStart w:id="29" w:name="_Toc10320"/>
      <w:r>
        <w:rPr>
          <w:rFonts w:hint="eastAsia" w:ascii="宋体" w:hAnsi="宋体" w:eastAsia="宋体" w:cs="宋体"/>
          <w:b/>
          <w:bCs/>
          <w:color w:val="auto"/>
          <w:spacing w:val="-6"/>
          <w:sz w:val="24"/>
          <w:szCs w:val="24"/>
          <w:highlight w:val="none"/>
        </w:rPr>
        <w:t>6</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b/>
          <w:bCs/>
          <w:color w:val="auto"/>
          <w:spacing w:val="-6"/>
          <w:sz w:val="24"/>
          <w:szCs w:val="24"/>
          <w:highlight w:val="none"/>
        </w:rPr>
        <w:t>．施工条件及现场踏勘</w:t>
      </w:r>
      <w:bookmarkEnd w:id="28"/>
      <w:bookmarkEnd w:id="29"/>
    </w:p>
    <w:p w14:paraId="65C882D9">
      <w:pPr>
        <w:pageBreakBefore w:val="0"/>
        <w:kinsoku/>
        <w:wordWrap w:val="0"/>
        <w:overflowPunct/>
        <w:topLinePunct w:val="0"/>
        <w:bidi w:val="0"/>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6.1  </w:t>
      </w:r>
      <w:r>
        <w:rPr>
          <w:rFonts w:hint="eastAsia" w:ascii="宋体" w:hAnsi="宋体" w:eastAsia="宋体" w:cs="宋体"/>
          <w:color w:val="auto"/>
          <w:spacing w:val="-2"/>
          <w:sz w:val="24"/>
          <w:szCs w:val="24"/>
          <w:highlight w:val="none"/>
        </w:rPr>
        <w:t>招标人仅在本招标项目征地红线范围内提供场地，其他一切场地费用由中标人自行负责（含临时道路）。</w:t>
      </w:r>
    </w:p>
    <w:p w14:paraId="49C1BAAE">
      <w:pPr>
        <w:pageBreakBefore w:val="0"/>
        <w:kinsoku/>
        <w:wordWrap w:val="0"/>
        <w:overflowPunct/>
        <w:topLinePunct w:val="0"/>
        <w:bidi w:val="0"/>
        <w:spacing w:before="155" w:line="324" w:lineRule="auto"/>
        <w:ind w:left="12" w:right="99" w:firstLine="556"/>
        <w:rPr>
          <w:rFonts w:hint="eastAsia" w:ascii="宋体" w:hAnsi="宋体" w:eastAsia="宋体" w:cs="宋体"/>
          <w:color w:val="auto"/>
          <w:spacing w:val="-2"/>
          <w:sz w:val="24"/>
          <w:szCs w:val="24"/>
          <w:highlight w:val="none"/>
        </w:rPr>
      </w:pPr>
      <w:bookmarkStart w:id="30" w:name="bookmark118"/>
      <w:bookmarkEnd w:id="30"/>
      <w:r>
        <w:rPr>
          <w:rFonts w:hint="eastAsia" w:ascii="宋体" w:hAnsi="宋体" w:eastAsia="宋体" w:cs="宋体"/>
          <w:b/>
          <w:bCs/>
          <w:color w:val="auto"/>
          <w:spacing w:val="-2"/>
          <w:sz w:val="24"/>
          <w:szCs w:val="24"/>
          <w:highlight w:val="none"/>
        </w:rPr>
        <w:t>6.2</w:t>
      </w:r>
      <w:r>
        <w:rPr>
          <w:rFonts w:hint="eastAsia" w:ascii="宋体" w:hAnsi="宋体" w:eastAsia="宋体" w:cs="宋体"/>
          <w:color w:val="auto"/>
          <w:spacing w:val="-2"/>
          <w:sz w:val="24"/>
          <w:szCs w:val="24"/>
          <w:highlight w:val="none"/>
        </w:rPr>
        <w:t xml:space="preserve">  施工用水：</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416B05D2">
      <w:pPr>
        <w:pageBreakBefore w:val="0"/>
        <w:kinsoku/>
        <w:wordWrap w:val="0"/>
        <w:overflowPunct/>
        <w:topLinePunct w:val="0"/>
        <w:bidi w:val="0"/>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6.3</w:t>
      </w:r>
      <w:r>
        <w:rPr>
          <w:rFonts w:hint="eastAsia" w:ascii="宋体" w:hAnsi="宋体" w:eastAsia="宋体" w:cs="宋体"/>
          <w:color w:val="auto"/>
          <w:spacing w:val="-2"/>
          <w:sz w:val="24"/>
          <w:szCs w:val="24"/>
          <w:highlight w:val="none"/>
        </w:rPr>
        <w:t xml:space="preserve">  施工用电：</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7DBA3CD">
      <w:pPr>
        <w:pageBreakBefore w:val="0"/>
        <w:kinsoku/>
        <w:wordWrap w:val="0"/>
        <w:overflowPunct/>
        <w:topLinePunct w:val="0"/>
        <w:bidi w:val="0"/>
        <w:spacing w:before="154" w:line="299" w:lineRule="auto"/>
        <w:ind w:left="9" w:right="16" w:firstLine="558"/>
        <w:rPr>
          <w:rFonts w:hint="eastAsia" w:ascii="宋体" w:hAnsi="宋体" w:eastAsia="宋体" w:cs="宋体"/>
          <w:b/>
          <w:bCs/>
          <w:color w:val="auto"/>
          <w:spacing w:val="-2"/>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4</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b w:val="0"/>
          <w:bCs w:val="0"/>
          <w:color w:val="auto"/>
          <w:spacing w:val="-2"/>
          <w:sz w:val="24"/>
          <w:szCs w:val="24"/>
          <w:highlight w:val="none"/>
        </w:rPr>
        <w:t>施工用水、用电各提供一驳接点到现场边缘。要求中标人单独安装水表、电表，其水、电费按项目所在地</w:t>
      </w:r>
      <w:r>
        <w:rPr>
          <w:rFonts w:hint="eastAsia" w:ascii="宋体" w:hAnsi="宋体" w:eastAsia="宋体" w:cs="宋体"/>
          <w:b w:val="0"/>
          <w:bCs w:val="0"/>
          <w:color w:val="auto"/>
          <w:spacing w:val="-2"/>
          <w:sz w:val="24"/>
          <w:szCs w:val="24"/>
          <w:highlight w:val="none"/>
          <w:u w:val="single"/>
          <w:lang w:val="en-US" w:eastAsia="zh-CN"/>
        </w:rPr>
        <w:t>南雄市</w:t>
      </w:r>
      <w:r>
        <w:rPr>
          <w:rFonts w:hint="eastAsia" w:ascii="宋体" w:hAnsi="宋体" w:eastAsia="宋体" w:cs="宋体"/>
          <w:b w:val="0"/>
          <w:bCs w:val="0"/>
          <w:color w:val="auto"/>
          <w:spacing w:val="-2"/>
          <w:sz w:val="24"/>
          <w:szCs w:val="24"/>
          <w:highlight w:val="none"/>
        </w:rPr>
        <w:t>基建工程水、电计费标准计算并由中标人缴纳。</w:t>
      </w:r>
    </w:p>
    <w:p w14:paraId="324254FC">
      <w:pPr>
        <w:pageBreakBefore w:val="0"/>
        <w:kinsoku/>
        <w:wordWrap w:val="0"/>
        <w:overflowPunct/>
        <w:topLinePunct w:val="0"/>
        <w:bidi w:val="0"/>
        <w:spacing w:before="154" w:line="29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val="en-US" w:eastAsia="zh-CN"/>
        </w:rPr>
        <w:t>6.5</w:t>
      </w:r>
      <w:r>
        <w:rPr>
          <w:rFonts w:hint="eastAsia" w:ascii="宋体" w:hAnsi="宋体" w:eastAsia="宋体" w:cs="宋体"/>
          <w:color w:val="auto"/>
          <w:spacing w:val="-2"/>
          <w:sz w:val="24"/>
          <w:szCs w:val="24"/>
          <w:highlight w:val="none"/>
        </w:rPr>
        <w:t>招标人不组织现场踏勘，</w:t>
      </w:r>
      <w:r>
        <w:rPr>
          <w:rFonts w:hint="eastAsia" w:ascii="宋体" w:hAnsi="宋体" w:eastAsia="宋体" w:cs="宋体"/>
          <w:color w:val="auto"/>
          <w:sz w:val="24"/>
          <w:szCs w:val="24"/>
          <w:highlight w:val="none"/>
        </w:rPr>
        <w:t>投标人需要了解现场情况的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1"/>
          <w:sz w:val="24"/>
          <w:szCs w:val="24"/>
          <w:highlight w:val="none"/>
        </w:rPr>
        <w:t>可自行进行现场踏勘。</w:t>
      </w:r>
    </w:p>
    <w:p w14:paraId="1B0B1AFE">
      <w:pPr>
        <w:pageBreakBefore w:val="0"/>
        <w:kinsoku/>
        <w:wordWrap w:val="0"/>
        <w:overflowPunct/>
        <w:topLinePunct w:val="0"/>
        <w:bidi w:val="0"/>
        <w:spacing w:before="153" w:line="280"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6</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在现场踏勘过程中，投标人应确保自身安全，投标人如果发生人身伤亡、财</w:t>
      </w:r>
      <w:r>
        <w:rPr>
          <w:rFonts w:hint="eastAsia" w:ascii="宋体" w:hAnsi="宋体" w:eastAsia="宋体" w:cs="宋体"/>
          <w:color w:val="auto"/>
          <w:spacing w:val="-1"/>
          <w:sz w:val="24"/>
          <w:szCs w:val="24"/>
          <w:highlight w:val="none"/>
        </w:rPr>
        <w:t>物或其他损失，法律法规有规定的按有关规定处理，没有规定</w:t>
      </w:r>
      <w:r>
        <w:rPr>
          <w:rFonts w:hint="eastAsia" w:ascii="宋体" w:hAnsi="宋体" w:eastAsia="宋体" w:cs="宋体"/>
          <w:color w:val="auto"/>
          <w:spacing w:val="-2"/>
          <w:sz w:val="24"/>
          <w:szCs w:val="24"/>
          <w:highlight w:val="none"/>
        </w:rPr>
        <w:t>的由投标人自行负责。</w:t>
      </w:r>
    </w:p>
    <w:p w14:paraId="5F9F4616">
      <w:pPr>
        <w:pageBreakBefore w:val="0"/>
        <w:kinsoku/>
        <w:wordWrap w:val="0"/>
        <w:overflowPunct/>
        <w:topLinePunct w:val="0"/>
        <w:bidi w:val="0"/>
        <w:spacing w:before="153" w:line="220" w:lineRule="auto"/>
        <w:ind w:left="568"/>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6.</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现场踏勘期间的交通、食宿由投标人</w:t>
      </w:r>
      <w:r>
        <w:rPr>
          <w:rFonts w:hint="eastAsia" w:ascii="宋体" w:hAnsi="宋体" w:eastAsia="宋体" w:cs="宋体"/>
          <w:color w:val="auto"/>
          <w:spacing w:val="-1"/>
          <w:sz w:val="24"/>
          <w:szCs w:val="24"/>
          <w:highlight w:val="none"/>
        </w:rPr>
        <w:t>自行安排，费用自理。</w:t>
      </w:r>
    </w:p>
    <w:p w14:paraId="235FFA49">
      <w:pPr>
        <w:pageBreakBefore w:val="0"/>
        <w:kinsoku/>
        <w:wordWrap w:val="0"/>
        <w:overflowPunct/>
        <w:topLinePunct w:val="0"/>
        <w:bidi w:val="0"/>
        <w:spacing w:before="78" w:line="220" w:lineRule="auto"/>
        <w:ind w:left="488"/>
        <w:outlineLvl w:val="2"/>
        <w:rPr>
          <w:rFonts w:hint="eastAsia" w:ascii="宋体" w:hAnsi="宋体" w:eastAsia="宋体" w:cs="宋体"/>
          <w:color w:val="auto"/>
          <w:sz w:val="24"/>
          <w:szCs w:val="24"/>
          <w:highlight w:val="none"/>
        </w:rPr>
      </w:pPr>
      <w:bookmarkStart w:id="31" w:name="bookmark81"/>
      <w:bookmarkEnd w:id="31"/>
      <w:bookmarkStart w:id="32" w:name="bookmark69"/>
      <w:bookmarkEnd w:id="32"/>
      <w:bookmarkStart w:id="33" w:name="bookmark67"/>
      <w:bookmarkEnd w:id="33"/>
      <w:bookmarkStart w:id="34" w:name="_Toc15543"/>
      <w:bookmarkStart w:id="35" w:name="_Toc31135"/>
      <w:r>
        <w:rPr>
          <w:rFonts w:hint="eastAsia" w:ascii="宋体" w:hAnsi="宋体" w:eastAsia="宋体" w:cs="宋体"/>
          <w:b/>
          <w:bCs/>
          <w:color w:val="auto"/>
          <w:spacing w:val="-5"/>
          <w:sz w:val="24"/>
          <w:szCs w:val="24"/>
          <w:highlight w:val="none"/>
        </w:rPr>
        <w:t>7</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5"/>
          <w:sz w:val="24"/>
          <w:szCs w:val="24"/>
          <w:highlight w:val="none"/>
        </w:rPr>
        <w:t>．招标文件的提问和答疑</w:t>
      </w:r>
      <w:bookmarkEnd w:id="34"/>
      <w:bookmarkEnd w:id="35"/>
    </w:p>
    <w:p w14:paraId="75CFCE47">
      <w:pPr>
        <w:pageBreakBefore w:val="0"/>
        <w:kinsoku/>
        <w:wordWrap w:val="0"/>
        <w:overflowPunct/>
        <w:topLinePunct w:val="0"/>
        <w:bidi w:val="0"/>
        <w:spacing w:before="153" w:line="299" w:lineRule="auto"/>
        <w:ind w:right="16"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7.1  </w:t>
      </w:r>
      <w:r>
        <w:rPr>
          <w:rFonts w:hint="eastAsia" w:ascii="宋体" w:hAnsi="宋体" w:eastAsia="宋体" w:cs="宋体"/>
          <w:color w:val="auto"/>
          <w:sz w:val="24"/>
          <w:szCs w:val="24"/>
          <w:highlight w:val="none"/>
        </w:rPr>
        <w:t>投标人若对招标文件（含施工图、招标工程量清单）有疑问，应在提问截止</w:t>
      </w:r>
      <w:r>
        <w:rPr>
          <w:rFonts w:hint="eastAsia" w:ascii="宋体" w:hAnsi="宋体" w:eastAsia="宋体" w:cs="宋体"/>
          <w:color w:val="auto"/>
          <w:spacing w:val="-2"/>
          <w:sz w:val="24"/>
          <w:szCs w:val="24"/>
          <w:highlight w:val="none"/>
        </w:rPr>
        <w:t>时间（见本章第二节“重要事项时间地点一览表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”）前使用建设工程交易</w:t>
      </w:r>
      <w:r>
        <w:rPr>
          <w:rFonts w:hint="eastAsia" w:ascii="宋体" w:hAnsi="宋体" w:eastAsia="宋体" w:cs="宋体"/>
          <w:color w:val="auto"/>
          <w:spacing w:val="-3"/>
          <w:sz w:val="24"/>
          <w:szCs w:val="24"/>
          <w:highlight w:val="none"/>
        </w:rPr>
        <w:t>系统提出问</w:t>
      </w:r>
      <w:r>
        <w:rPr>
          <w:rFonts w:hint="eastAsia" w:ascii="宋体" w:hAnsi="宋体" w:eastAsia="宋体" w:cs="宋体"/>
          <w:color w:val="auto"/>
          <w:spacing w:val="-1"/>
          <w:sz w:val="24"/>
          <w:szCs w:val="24"/>
          <w:highlight w:val="none"/>
        </w:rPr>
        <w:t>题。未在指定时间前、未采用指定方式提出的，招标人不予受理。</w:t>
      </w:r>
    </w:p>
    <w:p w14:paraId="1D96D998">
      <w:pPr>
        <w:pageBreakBefore w:val="0"/>
        <w:kinsoku/>
        <w:wordWrap w:val="0"/>
        <w:overflowPunct/>
        <w:topLinePunct w:val="0"/>
        <w:bidi w:val="0"/>
        <w:spacing w:before="154" w:line="30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7.2  </w:t>
      </w:r>
      <w:r>
        <w:rPr>
          <w:rFonts w:hint="eastAsia" w:ascii="宋体" w:hAnsi="宋体" w:eastAsia="宋体" w:cs="宋体"/>
          <w:color w:val="auto"/>
          <w:spacing w:val="-1"/>
          <w:sz w:val="24"/>
          <w:szCs w:val="24"/>
          <w:highlight w:val="none"/>
        </w:rPr>
        <w:t>招标人在提问截止时间（见本章第二节“重要</w:t>
      </w:r>
      <w:r>
        <w:rPr>
          <w:rFonts w:hint="eastAsia" w:ascii="宋体" w:hAnsi="宋体" w:eastAsia="宋体" w:cs="宋体"/>
          <w:color w:val="auto"/>
          <w:spacing w:val="-2"/>
          <w:sz w:val="24"/>
          <w:szCs w:val="24"/>
          <w:highlight w:val="none"/>
        </w:rPr>
        <w:t>事项时间地点一览表</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2"/>
          <w:sz w:val="24"/>
          <w:szCs w:val="24"/>
          <w:highlight w:val="none"/>
        </w:rPr>
        <w:t>”）后3</w:t>
      </w:r>
      <w:r>
        <w:rPr>
          <w:rFonts w:hint="eastAsia" w:ascii="宋体" w:hAnsi="宋体" w:eastAsia="宋体" w:cs="宋体"/>
          <w:color w:val="auto"/>
          <w:spacing w:val="-1"/>
          <w:sz w:val="24"/>
          <w:szCs w:val="24"/>
          <w:highlight w:val="none"/>
        </w:rPr>
        <w:t>日内，一次性对收到的所有问题作出答复，并形成答疑（或修</w:t>
      </w:r>
      <w:r>
        <w:rPr>
          <w:rFonts w:hint="eastAsia" w:ascii="宋体" w:hAnsi="宋体" w:eastAsia="宋体" w:cs="宋体"/>
          <w:color w:val="auto"/>
          <w:spacing w:val="-2"/>
          <w:sz w:val="24"/>
          <w:szCs w:val="24"/>
          <w:highlight w:val="none"/>
        </w:rPr>
        <w:t>改）公告在发布招标公</w:t>
      </w:r>
      <w:r>
        <w:rPr>
          <w:rFonts w:hint="eastAsia" w:ascii="宋体" w:hAnsi="宋体" w:eastAsia="宋体" w:cs="宋体"/>
          <w:color w:val="auto"/>
          <w:spacing w:val="-1"/>
          <w:sz w:val="24"/>
          <w:szCs w:val="24"/>
          <w:highlight w:val="none"/>
        </w:rPr>
        <w:t>告的媒介上公开发布。答疑（或修改）公告一旦发布，即视所</w:t>
      </w:r>
      <w:r>
        <w:rPr>
          <w:rFonts w:hint="eastAsia" w:ascii="宋体" w:hAnsi="宋体" w:eastAsia="宋体" w:cs="宋体"/>
          <w:color w:val="auto"/>
          <w:spacing w:val="-2"/>
          <w:sz w:val="24"/>
          <w:szCs w:val="24"/>
          <w:highlight w:val="none"/>
        </w:rPr>
        <w:t>有潜在投标人已经知悉</w:t>
      </w:r>
      <w:r>
        <w:rPr>
          <w:rFonts w:hint="eastAsia" w:ascii="宋体" w:hAnsi="宋体" w:eastAsia="宋体" w:cs="宋体"/>
          <w:color w:val="auto"/>
          <w:spacing w:val="-1"/>
          <w:sz w:val="24"/>
          <w:szCs w:val="24"/>
          <w:highlight w:val="none"/>
        </w:rPr>
        <w:t>答疑（或修改）内容，投标人未及时关注而造成的损失和后果</w:t>
      </w:r>
      <w:r>
        <w:rPr>
          <w:rFonts w:hint="eastAsia" w:ascii="宋体" w:hAnsi="宋体" w:eastAsia="宋体" w:cs="宋体"/>
          <w:color w:val="auto"/>
          <w:spacing w:val="-2"/>
          <w:sz w:val="24"/>
          <w:szCs w:val="24"/>
          <w:highlight w:val="none"/>
        </w:rPr>
        <w:t>，由投标人自行承担。</w:t>
      </w:r>
    </w:p>
    <w:p w14:paraId="2E76E133">
      <w:pPr>
        <w:pageBreakBefore w:val="0"/>
        <w:kinsoku/>
        <w:wordWrap w:val="0"/>
        <w:overflowPunct/>
        <w:topLinePunct w:val="0"/>
        <w:bidi w:val="0"/>
        <w:spacing w:before="152" w:line="219" w:lineRule="auto"/>
        <w:ind w:firstLine="478" w:firstLineChars="200"/>
        <w:jc w:val="both"/>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7.3  </w:t>
      </w:r>
      <w:r>
        <w:rPr>
          <w:rFonts w:hint="eastAsia" w:ascii="宋体" w:hAnsi="宋体" w:eastAsia="宋体" w:cs="宋体"/>
          <w:color w:val="auto"/>
          <w:spacing w:val="-1"/>
          <w:sz w:val="24"/>
          <w:szCs w:val="24"/>
          <w:highlight w:val="none"/>
        </w:rPr>
        <w:t>招标人对招标文件所作的答疑（或修改）公告，构成</w:t>
      </w:r>
      <w:r>
        <w:rPr>
          <w:rFonts w:hint="eastAsia" w:ascii="宋体" w:hAnsi="宋体" w:eastAsia="宋体" w:cs="宋体"/>
          <w:color w:val="auto"/>
          <w:spacing w:val="-2"/>
          <w:sz w:val="24"/>
          <w:szCs w:val="24"/>
          <w:highlight w:val="none"/>
        </w:rPr>
        <w:t>招标文件的组成部分。</w:t>
      </w:r>
    </w:p>
    <w:p w14:paraId="27B5D21C">
      <w:pPr>
        <w:pageBreakBefore w:val="0"/>
        <w:kinsoku/>
        <w:wordWrap w:val="0"/>
        <w:overflowPunct/>
        <w:topLinePunct w:val="0"/>
        <w:bidi w:val="0"/>
        <w:spacing w:before="79" w:line="219" w:lineRule="auto"/>
        <w:ind w:left="488"/>
        <w:outlineLvl w:val="2"/>
        <w:rPr>
          <w:rFonts w:hint="eastAsia" w:ascii="宋体" w:hAnsi="宋体" w:eastAsia="宋体" w:cs="宋体"/>
          <w:color w:val="auto"/>
          <w:sz w:val="24"/>
          <w:szCs w:val="24"/>
          <w:highlight w:val="none"/>
          <w:lang w:eastAsia="zh-CN"/>
        </w:rPr>
      </w:pPr>
      <w:bookmarkStart w:id="36" w:name="_Toc6897"/>
      <w:bookmarkStart w:id="37" w:name="_Toc28760"/>
      <w:r>
        <w:rPr>
          <w:rFonts w:hint="eastAsia" w:ascii="宋体" w:hAnsi="宋体" w:eastAsia="宋体" w:cs="宋体"/>
          <w:b/>
          <w:bCs/>
          <w:color w:val="auto"/>
          <w:spacing w:val="-5"/>
          <w:sz w:val="24"/>
          <w:szCs w:val="24"/>
          <w:highlight w:val="none"/>
        </w:rPr>
        <w:t>8</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5"/>
          <w:sz w:val="24"/>
          <w:szCs w:val="24"/>
          <w:highlight w:val="none"/>
        </w:rPr>
        <w:t>．</w:t>
      </w:r>
      <w:r>
        <w:rPr>
          <w:rFonts w:hint="eastAsia" w:ascii="宋体" w:hAnsi="宋体" w:eastAsia="宋体" w:cs="宋体"/>
          <w:b/>
          <w:bCs/>
          <w:color w:val="auto"/>
          <w:spacing w:val="-1"/>
          <w:sz w:val="24"/>
          <w:szCs w:val="24"/>
          <w:highlight w:val="none"/>
          <w:lang w:eastAsia="zh-CN"/>
        </w:rPr>
        <w:t>最高投标限价</w:t>
      </w:r>
      <w:bookmarkEnd w:id="36"/>
      <w:bookmarkEnd w:id="37"/>
    </w:p>
    <w:p w14:paraId="575A60B6">
      <w:pPr>
        <w:pageBreakBefore w:val="0"/>
        <w:kinsoku/>
        <w:wordWrap w:val="0"/>
        <w:overflowPunct/>
        <w:topLinePunct w:val="0"/>
        <w:bidi w:val="0"/>
        <w:spacing w:before="155"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8.1  </w:t>
      </w:r>
      <w:r>
        <w:rPr>
          <w:rFonts w:hint="eastAsia" w:ascii="宋体" w:hAnsi="宋体" w:eastAsia="宋体" w:cs="宋体"/>
          <w:color w:val="auto"/>
          <w:spacing w:val="-1"/>
          <w:sz w:val="24"/>
          <w:szCs w:val="24"/>
          <w:highlight w:val="none"/>
        </w:rPr>
        <w:t>本招标项目按照以下依据编制</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w:t>
      </w:r>
    </w:p>
    <w:p w14:paraId="3CF70373">
      <w:pPr>
        <w:keepNext w:val="0"/>
        <w:keepLines w:val="0"/>
        <w:pageBreakBefore w:val="0"/>
        <w:widowControl/>
        <w:kinsoku/>
        <w:wordWrap w:val="0"/>
        <w:overflowPunct/>
        <w:topLinePunct w:val="0"/>
        <w:autoSpaceDE w:val="0"/>
        <w:autoSpaceDN w:val="0"/>
        <w:bidi w:val="0"/>
        <w:adjustRightInd w:val="0"/>
        <w:snapToGrid w:val="0"/>
        <w:spacing w:before="157"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》（GB/T</w:t>
      </w:r>
      <w:r>
        <w:rPr>
          <w:rFonts w:hint="eastAsia" w:ascii="宋体" w:hAnsi="宋体" w:eastAsia="宋体" w:cs="宋体"/>
          <w:color w:val="auto"/>
          <w:spacing w:val="-1"/>
          <w:sz w:val="24"/>
          <w:szCs w:val="24"/>
          <w:highlight w:val="none"/>
          <w:lang w:val="en-US" w:eastAsia="zh-CN"/>
        </w:rPr>
        <w:t xml:space="preserve"> </w:t>
      </w:r>
      <w:r>
        <w:rPr>
          <w:rFonts w:hint="eastAsia" w:ascii="宋体" w:hAnsi="宋体" w:eastAsia="宋体" w:cs="宋体"/>
          <w:color w:val="auto"/>
          <w:spacing w:val="-1"/>
          <w:sz w:val="24"/>
          <w:szCs w:val="24"/>
          <w:highlight w:val="none"/>
        </w:rPr>
        <w:t>50500-2024）；</w:t>
      </w:r>
    </w:p>
    <w:p w14:paraId="400B07CC">
      <w:pPr>
        <w:keepNext w:val="0"/>
        <w:keepLines w:val="0"/>
        <w:pageBreakBefore w:val="0"/>
        <w:widowControl/>
        <w:kinsoku/>
        <w:wordWrap w:val="0"/>
        <w:overflowPunct/>
        <w:topLinePunct w:val="0"/>
        <w:autoSpaceDE w:val="0"/>
        <w:autoSpaceDN w:val="0"/>
        <w:bidi w:val="0"/>
        <w:adjustRightInd w:val="0"/>
        <w:snapToGrid w:val="0"/>
        <w:spacing w:line="360" w:lineRule="auto"/>
        <w:ind w:left="11" w:right="17"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（2）《房屋建筑与装饰工程工程量计算标准》(GB/T 50854-2024)、《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1BF8F48A">
      <w:pPr>
        <w:keepNext w:val="0"/>
        <w:keepLines w:val="0"/>
        <w:pageBreakBefore w:val="0"/>
        <w:widowControl/>
        <w:kinsoku/>
        <w:wordWrap w:val="0"/>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（3）施工图及相关资料；</w:t>
      </w:r>
    </w:p>
    <w:p w14:paraId="32B213E1">
      <w:pPr>
        <w:keepNext w:val="0"/>
        <w:keepLines w:val="0"/>
        <w:pageBreakBefore w:val="0"/>
        <w:widowControl/>
        <w:kinsoku/>
        <w:wordWrap w:val="0"/>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bookmarkStart w:id="38" w:name="bookmark119"/>
      <w:bookmarkEnd w:id="38"/>
      <w:r>
        <w:rPr>
          <w:rFonts w:hint="eastAsia" w:ascii="宋体" w:hAnsi="宋体" w:eastAsia="宋体" w:cs="宋体"/>
          <w:color w:val="auto"/>
          <w:spacing w:val="-2"/>
          <w:sz w:val="24"/>
          <w:szCs w:val="24"/>
          <w:highlight w:val="none"/>
        </w:rPr>
        <w:t>（4）招标文件及招标工程量清单；</w:t>
      </w:r>
    </w:p>
    <w:p w14:paraId="177D9338">
      <w:pPr>
        <w:keepNext w:val="0"/>
        <w:keepLines w:val="0"/>
        <w:pageBreakBefore w:val="0"/>
        <w:widowControl/>
        <w:kinsoku/>
        <w:wordWrap w:val="0"/>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（5）施工现场情况、工程特点及常规施工方案；</w:t>
      </w:r>
    </w:p>
    <w:p w14:paraId="00FB1D3E">
      <w:pPr>
        <w:keepNext w:val="0"/>
        <w:keepLines w:val="0"/>
        <w:pageBreakBefore w:val="0"/>
        <w:widowControl/>
        <w:kinsoku/>
        <w:wordWrap w:val="0"/>
        <w:overflowPunct/>
        <w:topLinePunct w:val="0"/>
        <w:autoSpaceDE w:val="0"/>
        <w:autoSpaceDN w:val="0"/>
        <w:bidi w:val="0"/>
        <w:adjustRightInd w:val="0"/>
        <w:snapToGrid w:val="0"/>
        <w:spacing w:line="360" w:lineRule="auto"/>
        <w:ind w:left="12" w:right="136"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（6）项目所在地工程造价管理机构发布的工程造价信息，工程造</w:t>
      </w:r>
      <w:r>
        <w:rPr>
          <w:rFonts w:hint="eastAsia" w:ascii="宋体" w:hAnsi="宋体" w:eastAsia="宋体" w:cs="宋体"/>
          <w:color w:val="auto"/>
          <w:spacing w:val="-4"/>
          <w:sz w:val="24"/>
          <w:szCs w:val="24"/>
          <w:highlight w:val="none"/>
        </w:rPr>
        <w:t>价信息缺项的，</w:t>
      </w:r>
      <w:r>
        <w:rPr>
          <w:rFonts w:hint="eastAsia" w:ascii="宋体" w:hAnsi="宋体" w:eastAsia="宋体" w:cs="宋体"/>
          <w:color w:val="auto"/>
          <w:spacing w:val="-2"/>
          <w:sz w:val="24"/>
          <w:szCs w:val="24"/>
          <w:highlight w:val="none"/>
        </w:rPr>
        <w:t>参照市场价格；</w:t>
      </w:r>
    </w:p>
    <w:p w14:paraId="24969273">
      <w:pPr>
        <w:keepNext w:val="0"/>
        <w:keepLines w:val="0"/>
        <w:pageBreakBefore w:val="0"/>
        <w:widowControl/>
        <w:kinsoku/>
        <w:wordWrap w:val="0"/>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（7）与建设项目相关的标准、规范、技术资料。</w:t>
      </w:r>
    </w:p>
    <w:p w14:paraId="5D017348">
      <w:pPr>
        <w:pageBreakBefore w:val="0"/>
        <w:kinsoku/>
        <w:wordWrap w:val="0"/>
        <w:overflowPunct/>
        <w:topLinePunct w:val="0"/>
        <w:bidi w:val="0"/>
        <w:spacing w:before="79" w:line="333" w:lineRule="auto"/>
        <w:ind w:firstLine="482" w:firstLineChars="200"/>
        <w:jc w:val="both"/>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b/>
          <w:bCs/>
          <w:color w:val="auto"/>
          <w:sz w:val="24"/>
          <w:szCs w:val="24"/>
          <w:highlight w:val="none"/>
        </w:rPr>
        <w:t>8.2</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本招标项目最高投标限价、施工图纸、工程量清单在开标前15天另行发布于全国公共资源交易平台（广东省·韶关市）（https://ygp.gdzwfw.gov.cn/ggzy-portal/#/440200/index）、广东省招标投标监管网（http://zbtb.gd.gov.cn）网站。</w:t>
      </w:r>
    </w:p>
    <w:p w14:paraId="354CD1E5">
      <w:pPr>
        <w:pageBreakBefore w:val="0"/>
        <w:kinsoku/>
        <w:wordWrap w:val="0"/>
        <w:overflowPunct/>
        <w:topLinePunct w:val="0"/>
        <w:bidi w:val="0"/>
        <w:spacing w:before="79" w:line="333" w:lineRule="auto"/>
        <w:ind w:firstLine="482"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rPr>
        <w:t>暂估价指招标工程量清单中提供的用于支付必然发生但暂时不能确定价格的</w:t>
      </w:r>
      <w:r>
        <w:rPr>
          <w:rFonts w:hint="eastAsia" w:ascii="宋体" w:hAnsi="宋体" w:eastAsia="宋体" w:cs="宋体"/>
          <w:color w:val="auto"/>
          <w:spacing w:val="-1"/>
          <w:sz w:val="24"/>
          <w:szCs w:val="24"/>
          <w:highlight w:val="none"/>
        </w:rPr>
        <w:t>材料、工程设备的单价以及专业工程的金额；暂列金额指招标</w:t>
      </w:r>
      <w:r>
        <w:rPr>
          <w:rFonts w:hint="eastAsia" w:ascii="宋体" w:hAnsi="宋体" w:eastAsia="宋体" w:cs="宋体"/>
          <w:color w:val="auto"/>
          <w:spacing w:val="-2"/>
          <w:sz w:val="24"/>
          <w:szCs w:val="24"/>
          <w:highlight w:val="none"/>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rPr>
        <w:t>者不可预见的所需材料、</w:t>
      </w:r>
      <w:r>
        <w:rPr>
          <w:rFonts w:hint="eastAsia" w:ascii="宋体" w:hAnsi="宋体" w:eastAsia="宋体" w:cs="宋体"/>
          <w:color w:val="auto"/>
          <w:spacing w:val="-1"/>
          <w:sz w:val="24"/>
          <w:szCs w:val="24"/>
          <w:highlight w:val="none"/>
        </w:rPr>
        <w:t>工程设备、服务的采购，施工中可能发生的工程变更、合同约</w:t>
      </w:r>
      <w:r>
        <w:rPr>
          <w:rFonts w:hint="eastAsia" w:ascii="宋体" w:hAnsi="宋体" w:eastAsia="宋体" w:cs="宋体"/>
          <w:color w:val="auto"/>
          <w:spacing w:val="-2"/>
          <w:sz w:val="24"/>
          <w:szCs w:val="24"/>
          <w:highlight w:val="none"/>
        </w:rPr>
        <w:t>定调整因素出现时的合</w:t>
      </w:r>
      <w:r>
        <w:rPr>
          <w:rFonts w:hint="eastAsia" w:ascii="宋体" w:hAnsi="宋体" w:eastAsia="宋体" w:cs="宋体"/>
          <w:color w:val="auto"/>
          <w:spacing w:val="-1"/>
          <w:sz w:val="24"/>
          <w:szCs w:val="24"/>
          <w:highlight w:val="none"/>
        </w:rPr>
        <w:t>同价款调整以及发生的索赔、现场签证确认等的费用。</w:t>
      </w:r>
    </w:p>
    <w:p w14:paraId="2D63794A">
      <w:pPr>
        <w:pageBreakBefore w:val="0"/>
        <w:kinsoku/>
        <w:wordWrap w:val="0"/>
        <w:overflowPunct/>
        <w:topLinePunct w:val="0"/>
        <w:bidi w:val="0"/>
        <w:spacing w:before="154" w:line="309" w:lineRule="auto"/>
        <w:ind w:left="11" w:right="65" w:firstLine="489"/>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8.</w:t>
      </w:r>
      <w:r>
        <w:rPr>
          <w:rFonts w:hint="eastAsia" w:ascii="宋体" w:hAnsi="宋体" w:eastAsia="宋体" w:cs="宋体"/>
          <w:b/>
          <w:bCs/>
          <w:color w:val="auto"/>
          <w:spacing w:val="2"/>
          <w:sz w:val="24"/>
          <w:szCs w:val="24"/>
          <w:highlight w:val="none"/>
          <w:lang w:eastAsia="zh-CN"/>
        </w:rPr>
        <w:t>4</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本招标项目以暂估价形式列入招标工程量清单中的材料、工程设备、专业工程（以下统称“暂估价项目 ”）包括：</w:t>
      </w:r>
      <w:r>
        <w:rPr>
          <w:rFonts w:hint="eastAsia" w:ascii="宋体" w:hAnsi="宋体" w:eastAsia="宋体" w:cs="宋体"/>
          <w:color w:val="auto"/>
          <w:spacing w:val="2"/>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r>
        <w:rPr>
          <w:rFonts w:hint="eastAsia" w:ascii="宋体" w:hAnsi="宋体" w:eastAsia="宋体" w:cs="宋体"/>
          <w:color w:val="auto"/>
          <w:spacing w:val="2"/>
          <w:sz w:val="24"/>
          <w:szCs w:val="24"/>
          <w:highlight w:val="none"/>
        </w:rPr>
        <w:t>。</w:t>
      </w:r>
    </w:p>
    <w:p w14:paraId="0B134047">
      <w:pPr>
        <w:pageBreakBefore w:val="0"/>
        <w:kinsoku/>
        <w:wordWrap w:val="0"/>
        <w:overflowPunct/>
        <w:topLinePunct w:val="0"/>
        <w:bidi w:val="0"/>
        <w:spacing w:before="154" w:line="309" w:lineRule="auto"/>
        <w:ind w:left="11" w:right="65" w:firstLine="489"/>
        <w:rPr>
          <w:rFonts w:hint="eastAsia" w:ascii="宋体" w:hAnsi="宋体" w:eastAsia="宋体" w:cs="宋体"/>
          <w:color w:val="auto"/>
          <w:spacing w:val="2"/>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当暂估价项目的内容、标准、要求在项目实施过程中得以深化、明确、固定</w:t>
      </w:r>
      <w:r>
        <w:rPr>
          <w:rFonts w:hint="eastAsia" w:ascii="宋体" w:hAnsi="宋体" w:eastAsia="宋体" w:cs="宋体"/>
          <w:color w:val="auto"/>
          <w:spacing w:val="-2"/>
          <w:sz w:val="24"/>
          <w:szCs w:val="24"/>
          <w:highlight w:val="none"/>
        </w:rPr>
        <w:t>后，按</w:t>
      </w:r>
      <w:r>
        <w:rPr>
          <w:rFonts w:hint="eastAsia" w:ascii="宋体" w:hAnsi="宋体" w:eastAsia="宋体" w:cs="宋体"/>
          <w:color w:val="auto"/>
          <w:spacing w:val="2"/>
          <w:sz w:val="24"/>
          <w:szCs w:val="24"/>
          <w:highlight w:val="none"/>
        </w:rPr>
        <w:t>以下原则发包：</w:t>
      </w:r>
    </w:p>
    <w:p w14:paraId="497A481B">
      <w:pPr>
        <w:pageBreakBefore w:val="0"/>
        <w:kinsoku/>
        <w:wordWrap w:val="0"/>
        <w:overflowPunct/>
        <w:topLinePunct w:val="0"/>
        <w:bidi w:val="0"/>
        <w:spacing w:before="154" w:line="309" w:lineRule="auto"/>
        <w:ind w:left="11" w:right="65" w:firstLine="489"/>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（1）暂估价项目按工程、货物（指材料或工程设备，下同）的类别分类汇总的金额，达到必须招标规模标准的，由 中标人招标，招标人参与管理 ，确定专业工程承包人（或材料、工程设备供应商）和合同价格。</w:t>
      </w:r>
    </w:p>
    <w:p w14:paraId="5EEE8160">
      <w:pPr>
        <w:pageBreakBefore w:val="0"/>
        <w:kinsoku/>
        <w:wordWrap w:val="0"/>
        <w:overflowPunct/>
        <w:topLinePunct w:val="0"/>
        <w:bidi w:val="0"/>
        <w:spacing w:before="154" w:line="30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准但适用政府采购规定的，按照政府采购规定确定专业工</w:t>
      </w:r>
      <w:r>
        <w:rPr>
          <w:rFonts w:hint="eastAsia" w:ascii="宋体" w:hAnsi="宋体" w:eastAsia="宋体" w:cs="宋体"/>
          <w:color w:val="auto"/>
          <w:spacing w:val="-2"/>
          <w:sz w:val="24"/>
          <w:szCs w:val="24"/>
          <w:highlight w:val="none"/>
        </w:rPr>
        <w:t>程承包人（或材料、工程设备供应商）和合同价格。</w:t>
      </w:r>
    </w:p>
    <w:p w14:paraId="414D5F0A">
      <w:pPr>
        <w:pageBreakBefore w:val="0"/>
        <w:kinsoku/>
        <w:wordWrap w:val="0"/>
        <w:overflowPunct/>
        <w:topLinePunct w:val="0"/>
        <w:bidi w:val="0"/>
        <w:spacing w:before="154" w:line="30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准也不适用政府采购规定，中标人具备相应资格条件的，</w:t>
      </w:r>
      <w:r>
        <w:rPr>
          <w:rFonts w:hint="eastAsia" w:ascii="宋体" w:hAnsi="宋体" w:eastAsia="宋体" w:cs="宋体"/>
          <w:color w:val="auto"/>
          <w:spacing w:val="-2"/>
          <w:sz w:val="24"/>
          <w:szCs w:val="24"/>
          <w:highlight w:val="none"/>
        </w:rPr>
        <w:t>由中标人承包；中标人不具</w:t>
      </w:r>
      <w:r>
        <w:rPr>
          <w:rFonts w:hint="eastAsia" w:ascii="宋体" w:hAnsi="宋体" w:eastAsia="宋体" w:cs="宋体"/>
          <w:color w:val="auto"/>
          <w:spacing w:val="-1"/>
          <w:sz w:val="24"/>
          <w:szCs w:val="24"/>
          <w:highlight w:val="none"/>
        </w:rPr>
        <w:t>备相应资格条件但具备分包权的，由中标人分包，招标人</w:t>
      </w:r>
      <w:r>
        <w:rPr>
          <w:rFonts w:hint="eastAsia" w:ascii="宋体" w:hAnsi="宋体" w:eastAsia="宋体" w:cs="宋体"/>
          <w:color w:val="auto"/>
          <w:spacing w:val="-2"/>
          <w:sz w:val="24"/>
          <w:szCs w:val="24"/>
          <w:highlight w:val="none"/>
        </w:rPr>
        <w:t>同中标人结算原则按本招标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文件相关条款执行。</w:t>
      </w:r>
    </w:p>
    <w:p w14:paraId="411CD8B2">
      <w:pPr>
        <w:pageBreakBefore w:val="0"/>
        <w:kinsoku/>
        <w:wordWrap w:val="0"/>
        <w:overflowPunct/>
        <w:topLinePunct w:val="0"/>
        <w:bidi w:val="0"/>
        <w:spacing w:before="154" w:line="29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准也不适用政府采购规定，中标人既不具备相应资格条件</w:t>
      </w:r>
      <w:r>
        <w:rPr>
          <w:rFonts w:hint="eastAsia" w:ascii="宋体" w:hAnsi="宋体" w:eastAsia="宋体" w:cs="宋体"/>
          <w:color w:val="auto"/>
          <w:spacing w:val="-2"/>
          <w:sz w:val="24"/>
          <w:szCs w:val="24"/>
          <w:highlight w:val="none"/>
        </w:rPr>
        <w:t>又不具备分包权的，由招标人另行发包。</w:t>
      </w:r>
    </w:p>
    <w:p w14:paraId="14D894B7">
      <w:pPr>
        <w:pageBreakBefore w:val="0"/>
        <w:kinsoku/>
        <w:wordWrap w:val="0"/>
        <w:overflowPunct/>
        <w:topLinePunct w:val="0"/>
        <w:bidi w:val="0"/>
        <w:spacing w:before="155" w:line="279" w:lineRule="auto"/>
        <w:ind w:left="9" w:right="66"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（5）暂估价项目由其他承包人承包的，纳入中标人的管理</w:t>
      </w:r>
      <w:r>
        <w:rPr>
          <w:rFonts w:hint="eastAsia" w:ascii="宋体" w:hAnsi="宋体" w:eastAsia="宋体" w:cs="宋体"/>
          <w:color w:val="auto"/>
          <w:spacing w:val="1"/>
          <w:sz w:val="24"/>
          <w:szCs w:val="24"/>
          <w:highlight w:val="none"/>
        </w:rPr>
        <w:t>和协调范围，由其他</w:t>
      </w:r>
      <w:r>
        <w:rPr>
          <w:rFonts w:hint="eastAsia" w:ascii="宋体" w:hAnsi="宋体" w:eastAsia="宋体" w:cs="宋体"/>
          <w:color w:val="auto"/>
          <w:spacing w:val="-1"/>
          <w:sz w:val="24"/>
          <w:szCs w:val="24"/>
          <w:highlight w:val="none"/>
        </w:rPr>
        <w:t>承包人向中标人承担质量、安全、文明施工、工期责任，中标</w:t>
      </w:r>
      <w:r>
        <w:rPr>
          <w:rFonts w:hint="eastAsia" w:ascii="宋体" w:hAnsi="宋体" w:eastAsia="宋体" w:cs="宋体"/>
          <w:color w:val="auto"/>
          <w:spacing w:val="-2"/>
          <w:sz w:val="24"/>
          <w:szCs w:val="24"/>
          <w:highlight w:val="none"/>
        </w:rPr>
        <w:t>人向招标人承担责任。</w:t>
      </w:r>
    </w:p>
    <w:p w14:paraId="32E42486">
      <w:pPr>
        <w:pageBreakBefore w:val="0"/>
        <w:kinsoku/>
        <w:wordWrap w:val="0"/>
        <w:overflowPunct/>
        <w:topLinePunct w:val="0"/>
        <w:bidi w:val="0"/>
        <w:spacing w:before="155" w:line="333" w:lineRule="auto"/>
        <w:ind w:left="10" w:right="65" w:firstLine="478"/>
        <w:jc w:val="both"/>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本招标项目以暂列金额形式列入招标工程量清单中的所需货物和服务的采购</w:t>
      </w:r>
      <w:r>
        <w:rPr>
          <w:rFonts w:hint="eastAsia" w:ascii="宋体" w:hAnsi="宋体" w:eastAsia="宋体" w:cs="宋体"/>
          <w:color w:val="auto"/>
          <w:spacing w:val="-1"/>
          <w:sz w:val="24"/>
          <w:szCs w:val="24"/>
          <w:highlight w:val="none"/>
        </w:rPr>
        <w:t>（以下统称“暂列金额项目</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”）若有发生，按照本节第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1"/>
          <w:sz w:val="24"/>
          <w:szCs w:val="24"/>
          <w:highlight w:val="none"/>
        </w:rPr>
        <w:t xml:space="preserve">8.5 </w:t>
      </w:r>
      <w:r>
        <w:rPr>
          <w:rFonts w:hint="eastAsia" w:ascii="宋体" w:hAnsi="宋体" w:eastAsia="宋体" w:cs="宋体"/>
          <w:color w:val="auto"/>
          <w:spacing w:val="-1"/>
          <w:sz w:val="24"/>
          <w:szCs w:val="24"/>
          <w:highlight w:val="none"/>
        </w:rPr>
        <w:t>条的规定确定货物（或服务）供应商和合同价格。暂列金额项目由其他承包人承包的</w:t>
      </w:r>
      <w:r>
        <w:rPr>
          <w:rFonts w:hint="eastAsia" w:ascii="宋体" w:hAnsi="宋体" w:eastAsia="宋体" w:cs="宋体"/>
          <w:color w:val="auto"/>
          <w:spacing w:val="-2"/>
          <w:sz w:val="24"/>
          <w:szCs w:val="24"/>
          <w:highlight w:val="none"/>
        </w:rPr>
        <w:t>，纳入中标人的管理和协</w:t>
      </w:r>
      <w:r>
        <w:rPr>
          <w:rFonts w:hint="eastAsia" w:ascii="宋体" w:hAnsi="宋体" w:eastAsia="宋体" w:cs="宋体"/>
          <w:color w:val="auto"/>
          <w:spacing w:val="-1"/>
          <w:sz w:val="24"/>
          <w:szCs w:val="24"/>
          <w:highlight w:val="none"/>
        </w:rPr>
        <w:t>调范围</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由其他承包人向中标人承担质量、安全、文明</w:t>
      </w:r>
      <w:r>
        <w:rPr>
          <w:rFonts w:hint="eastAsia" w:ascii="宋体" w:hAnsi="宋体" w:eastAsia="宋体" w:cs="宋体"/>
          <w:color w:val="auto"/>
          <w:spacing w:val="-2"/>
          <w:sz w:val="24"/>
          <w:szCs w:val="24"/>
          <w:highlight w:val="none"/>
        </w:rPr>
        <w:t>施工、工期责任，中标人向招标人承担责任。</w:t>
      </w:r>
    </w:p>
    <w:p w14:paraId="5743915F">
      <w:pPr>
        <w:pageBreakBefore w:val="0"/>
        <w:kinsoku/>
        <w:wordWrap w:val="0"/>
        <w:overflowPunct/>
        <w:topLinePunct w:val="0"/>
        <w:bidi w:val="0"/>
        <w:spacing w:before="79" w:line="219" w:lineRule="auto"/>
        <w:ind w:left="487"/>
        <w:outlineLvl w:val="2"/>
        <w:rPr>
          <w:rFonts w:hint="eastAsia" w:ascii="宋体" w:hAnsi="宋体" w:eastAsia="宋体" w:cs="宋体"/>
          <w:color w:val="auto"/>
          <w:sz w:val="24"/>
          <w:szCs w:val="24"/>
          <w:highlight w:val="none"/>
        </w:rPr>
      </w:pPr>
      <w:bookmarkStart w:id="39" w:name="_Toc24303"/>
      <w:bookmarkStart w:id="40" w:name="_Toc22978"/>
      <w:r>
        <w:rPr>
          <w:rFonts w:hint="eastAsia" w:ascii="宋体" w:hAnsi="宋体" w:eastAsia="宋体" w:cs="宋体"/>
          <w:b/>
          <w:bCs/>
          <w:color w:val="auto"/>
          <w:spacing w:val="-8"/>
          <w:sz w:val="24"/>
          <w:szCs w:val="24"/>
          <w:highlight w:val="none"/>
        </w:rPr>
        <w:t>9</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8"/>
          <w:sz w:val="24"/>
          <w:szCs w:val="24"/>
          <w:highlight w:val="none"/>
        </w:rPr>
        <w:t>．投标报价</w:t>
      </w:r>
      <w:bookmarkEnd w:id="39"/>
      <w:bookmarkEnd w:id="40"/>
    </w:p>
    <w:p w14:paraId="3DE643F3">
      <w:pPr>
        <w:pageBreakBefore w:val="0"/>
        <w:kinsoku/>
        <w:wordWrap w:val="0"/>
        <w:overflowPunct/>
        <w:topLinePunct w:val="0"/>
        <w:bidi w:val="0"/>
        <w:spacing w:before="157" w:line="219"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9.1  </w:t>
      </w:r>
      <w:r>
        <w:rPr>
          <w:rFonts w:hint="eastAsia" w:ascii="宋体" w:hAnsi="宋体" w:eastAsia="宋体" w:cs="宋体"/>
          <w:color w:val="auto"/>
          <w:spacing w:val="-1"/>
          <w:sz w:val="24"/>
          <w:szCs w:val="24"/>
          <w:highlight w:val="none"/>
        </w:rPr>
        <w:t>投标人应按照以下依据编制投标报价：</w:t>
      </w:r>
    </w:p>
    <w:p w14:paraId="23909BF3">
      <w:pPr>
        <w:pageBreakBefore w:val="0"/>
        <w:kinsoku/>
        <w:wordWrap w:val="0"/>
        <w:overflowPunct/>
        <w:topLinePunct w:val="0"/>
        <w:bidi w:val="0"/>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（1）《建设工程工程量清单计价标准》（GB/T 50500-2024）</w:t>
      </w:r>
      <w:r>
        <w:rPr>
          <w:rFonts w:hint="eastAsia" w:ascii="宋体" w:hAnsi="宋体" w:eastAsia="宋体" w:cs="宋体"/>
          <w:color w:val="auto"/>
          <w:spacing w:val="4"/>
          <w:sz w:val="24"/>
          <w:szCs w:val="24"/>
          <w:highlight w:val="none"/>
        </w:rPr>
        <w:t>；</w:t>
      </w:r>
    </w:p>
    <w:p w14:paraId="637E8D36">
      <w:pPr>
        <w:pageBreakBefore w:val="0"/>
        <w:kinsoku/>
        <w:wordWrap w:val="0"/>
        <w:overflowPunct/>
        <w:topLinePunct w:val="0"/>
        <w:bidi w:val="0"/>
        <w:spacing w:before="153" w:line="309" w:lineRule="auto"/>
        <w:ind w:left="9" w:right="65"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（2）《房屋建筑与装饰工程工程量计算标准》(GB/T 50854-2024)、《市政工程工程量计算标准》(GB/T50857-2024）、《园林绿化工程工程量计算标准》(GB/T50858-2024）、2018年《广东省市政工程综合定额》、2018年《广东省园林绿化工程综合定额》及现行的建筑施工规范和省市有关文件、规定为编制依据进行编制</w:t>
      </w:r>
      <w:r>
        <w:rPr>
          <w:rFonts w:hint="eastAsia" w:ascii="宋体" w:hAnsi="宋体" w:eastAsia="宋体" w:cs="宋体"/>
          <w:color w:val="auto"/>
          <w:spacing w:val="-1"/>
          <w:sz w:val="24"/>
          <w:szCs w:val="24"/>
          <w:highlight w:val="none"/>
        </w:rPr>
        <w:t>；</w:t>
      </w:r>
    </w:p>
    <w:p w14:paraId="094744D0">
      <w:pPr>
        <w:pageBreakBefore w:val="0"/>
        <w:kinsoku/>
        <w:wordWrap w:val="0"/>
        <w:overflowPunct/>
        <w:topLinePunct w:val="0"/>
        <w:bidi w:val="0"/>
        <w:spacing w:before="78" w:line="220" w:lineRule="auto"/>
        <w:ind w:left="501"/>
        <w:rPr>
          <w:rFonts w:hint="eastAsia" w:ascii="宋体" w:hAnsi="宋体" w:eastAsia="宋体" w:cs="宋体"/>
          <w:color w:val="auto"/>
          <w:sz w:val="24"/>
          <w:szCs w:val="24"/>
          <w:highlight w:val="none"/>
        </w:rPr>
      </w:pPr>
      <w:bookmarkStart w:id="41" w:name="bookmark120"/>
      <w:bookmarkEnd w:id="41"/>
      <w:r>
        <w:rPr>
          <w:rFonts w:hint="eastAsia" w:ascii="宋体" w:hAnsi="宋体" w:eastAsia="宋体" w:cs="宋体"/>
          <w:color w:val="auto"/>
          <w:spacing w:val="-3"/>
          <w:sz w:val="24"/>
          <w:szCs w:val="24"/>
          <w:highlight w:val="none"/>
        </w:rPr>
        <w:t>（3）企业定额；</w:t>
      </w:r>
    </w:p>
    <w:p w14:paraId="7217D9D3">
      <w:pPr>
        <w:pageBreakBefore w:val="0"/>
        <w:kinsoku/>
        <w:wordWrap w:val="0"/>
        <w:overflowPunct/>
        <w:topLinePunct w:val="0"/>
        <w:bidi w:val="0"/>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（4）招标文件及其答疑（或修改）公告、招标工程量清单；</w:t>
      </w:r>
    </w:p>
    <w:p w14:paraId="20138A69">
      <w:pPr>
        <w:pageBreakBefore w:val="0"/>
        <w:kinsoku/>
        <w:wordWrap w:val="0"/>
        <w:overflowPunct/>
        <w:topLinePunct w:val="0"/>
        <w:bidi w:val="0"/>
        <w:spacing w:before="154"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（5）施工图及相关资料；</w:t>
      </w:r>
    </w:p>
    <w:p w14:paraId="563DD3EC">
      <w:pPr>
        <w:pageBreakBefore w:val="0"/>
        <w:kinsoku/>
        <w:wordWrap w:val="0"/>
        <w:overflowPunct/>
        <w:topLinePunct w:val="0"/>
        <w:bidi w:val="0"/>
        <w:spacing w:before="152"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（6）施工现场情况、工程特点及投标时拟定的施工组织设计或施工方案；</w:t>
      </w:r>
    </w:p>
    <w:p w14:paraId="03088ADA">
      <w:pPr>
        <w:pageBreakBefore w:val="0"/>
        <w:kinsoku/>
        <w:wordWrap w:val="0"/>
        <w:overflowPunct/>
        <w:topLinePunct w:val="0"/>
        <w:bidi w:val="0"/>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（7）市场价格信息或项目所在地工程造价管理机构发布的工程造价信息；</w:t>
      </w:r>
    </w:p>
    <w:p w14:paraId="177F8FD6">
      <w:pPr>
        <w:pageBreakBefore w:val="0"/>
        <w:kinsoku/>
        <w:wordWrap w:val="0"/>
        <w:overflowPunct/>
        <w:topLinePunct w:val="0"/>
        <w:bidi w:val="0"/>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（8）与建设项目相关的标准、规范、技术资料。</w:t>
      </w:r>
    </w:p>
    <w:p w14:paraId="5572B660">
      <w:pPr>
        <w:pageBreakBefore w:val="0"/>
        <w:kinsoku/>
        <w:wordWrap w:val="0"/>
        <w:overflowPunct/>
        <w:topLinePunct w:val="0"/>
        <w:bidi w:val="0"/>
        <w:spacing w:before="153" w:line="309" w:lineRule="auto"/>
        <w:ind w:left="8" w:right="15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9.2  </w:t>
      </w:r>
      <w:r>
        <w:rPr>
          <w:rFonts w:hint="eastAsia" w:ascii="宋体" w:hAnsi="宋体" w:eastAsia="宋体" w:cs="宋体"/>
          <w:color w:val="auto"/>
          <w:spacing w:val="-2"/>
          <w:sz w:val="24"/>
          <w:szCs w:val="24"/>
          <w:highlight w:val="none"/>
        </w:rPr>
        <w:t>投标人应根据招标工程量清单、工程量清单计价规范中的工作内容、设计文</w:t>
      </w:r>
      <w:r>
        <w:rPr>
          <w:rFonts w:hint="eastAsia" w:ascii="宋体" w:hAnsi="宋体" w:eastAsia="宋体" w:cs="宋体"/>
          <w:color w:val="auto"/>
          <w:spacing w:val="-1"/>
          <w:sz w:val="24"/>
          <w:szCs w:val="24"/>
          <w:highlight w:val="none"/>
        </w:rPr>
        <w:t>件和有关要求、施工现场实际情况、投标人拟定的施工组织设计</w:t>
      </w:r>
      <w:r>
        <w:rPr>
          <w:rFonts w:hint="eastAsia" w:ascii="宋体" w:hAnsi="宋体" w:eastAsia="宋体" w:cs="宋体"/>
          <w:color w:val="auto"/>
          <w:spacing w:val="-2"/>
          <w:sz w:val="24"/>
          <w:szCs w:val="24"/>
          <w:highlight w:val="none"/>
        </w:rPr>
        <w:t>、本单位的企业定额</w:t>
      </w:r>
      <w:r>
        <w:rPr>
          <w:rFonts w:hint="eastAsia" w:ascii="宋体" w:hAnsi="宋体" w:eastAsia="宋体" w:cs="宋体"/>
          <w:color w:val="auto"/>
          <w:spacing w:val="-1"/>
          <w:sz w:val="24"/>
          <w:szCs w:val="24"/>
          <w:highlight w:val="none"/>
        </w:rPr>
        <w:t>和市场价格进行编制，自行报价，并承担一定范围内的风险费用</w:t>
      </w:r>
      <w:r>
        <w:rPr>
          <w:rFonts w:hint="eastAsia" w:ascii="宋体" w:hAnsi="宋体" w:eastAsia="宋体" w:cs="宋体"/>
          <w:color w:val="auto"/>
          <w:spacing w:val="-2"/>
          <w:sz w:val="24"/>
          <w:szCs w:val="24"/>
          <w:highlight w:val="none"/>
        </w:rPr>
        <w:t>。所谓“一定范围内</w:t>
      </w:r>
      <w:r>
        <w:rPr>
          <w:rFonts w:hint="eastAsia" w:ascii="宋体" w:hAnsi="宋体" w:eastAsia="宋体" w:cs="宋体"/>
          <w:color w:val="auto"/>
          <w:spacing w:val="-3"/>
          <w:sz w:val="24"/>
          <w:szCs w:val="24"/>
          <w:highlight w:val="none"/>
        </w:rPr>
        <w:t>的风险</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”是指合同约定的风险。</w:t>
      </w:r>
    </w:p>
    <w:p w14:paraId="2A4D7491">
      <w:pPr>
        <w:pageBreakBefore w:val="0"/>
        <w:kinsoku/>
        <w:wordWrap w:val="0"/>
        <w:overflowPunct/>
        <w:topLinePunct w:val="0"/>
        <w:bidi w:val="0"/>
        <w:spacing w:before="152" w:line="309"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9.3  </w:t>
      </w:r>
      <w:r>
        <w:rPr>
          <w:rFonts w:hint="eastAsia" w:ascii="宋体" w:hAnsi="宋体" w:eastAsia="宋体" w:cs="宋体"/>
          <w:color w:val="auto"/>
          <w:spacing w:val="-2"/>
          <w:sz w:val="24"/>
          <w:szCs w:val="24"/>
          <w:highlight w:val="none"/>
        </w:rPr>
        <w:t>招标人及招标代理机构不集中组织现场踏勘，投标人需要了解现场情况的，</w:t>
      </w:r>
      <w:r>
        <w:rPr>
          <w:rFonts w:hint="eastAsia" w:ascii="宋体" w:hAnsi="宋体" w:eastAsia="宋体" w:cs="宋体"/>
          <w:color w:val="auto"/>
          <w:spacing w:val="-1"/>
          <w:sz w:val="24"/>
          <w:szCs w:val="24"/>
          <w:highlight w:val="none"/>
        </w:rPr>
        <w:t>可自行进行现场踏勘。各投标人应勘察施工现场及周围环</w:t>
      </w:r>
      <w:r>
        <w:rPr>
          <w:rFonts w:hint="eastAsia" w:ascii="宋体" w:hAnsi="宋体" w:eastAsia="宋体" w:cs="宋体"/>
          <w:color w:val="auto"/>
          <w:spacing w:val="-2"/>
          <w:sz w:val="24"/>
          <w:szCs w:val="24"/>
          <w:highlight w:val="none"/>
        </w:rPr>
        <w:t>境、地形、地貌、水文、交</w:t>
      </w:r>
      <w:r>
        <w:rPr>
          <w:rFonts w:hint="eastAsia" w:ascii="宋体" w:hAnsi="宋体" w:eastAsia="宋体" w:cs="宋体"/>
          <w:color w:val="auto"/>
          <w:spacing w:val="-1"/>
          <w:sz w:val="24"/>
          <w:szCs w:val="24"/>
          <w:highlight w:val="none"/>
        </w:rPr>
        <w:t>通等情况，以获得一切可能影响到投标的直接资料。投标人应</w:t>
      </w:r>
      <w:r>
        <w:rPr>
          <w:rFonts w:hint="eastAsia" w:ascii="宋体" w:hAnsi="宋体" w:eastAsia="宋体" w:cs="宋体"/>
          <w:color w:val="auto"/>
          <w:spacing w:val="-2"/>
          <w:sz w:val="24"/>
          <w:szCs w:val="24"/>
          <w:highlight w:val="none"/>
        </w:rPr>
        <w:t>针对现场情况编制施工</w:t>
      </w:r>
      <w:r>
        <w:rPr>
          <w:rFonts w:hint="eastAsia" w:ascii="宋体" w:hAnsi="宋体" w:eastAsia="宋体" w:cs="宋体"/>
          <w:color w:val="auto"/>
          <w:spacing w:val="-1"/>
          <w:sz w:val="24"/>
          <w:szCs w:val="24"/>
          <w:highlight w:val="none"/>
        </w:rPr>
        <w:t>组织设计，并在编制投标报价时考虑现场情况的影响。</w:t>
      </w:r>
    </w:p>
    <w:p w14:paraId="3CC853E1">
      <w:pPr>
        <w:pageBreakBefore w:val="0"/>
        <w:kinsoku/>
        <w:wordWrap w:val="0"/>
        <w:overflowPunct/>
        <w:topLinePunct w:val="0"/>
        <w:bidi w:val="0"/>
        <w:spacing w:before="155" w:line="279" w:lineRule="auto"/>
        <w:ind w:left="10" w:right="150"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9.4  </w:t>
      </w:r>
      <w:r>
        <w:rPr>
          <w:rFonts w:hint="eastAsia" w:ascii="宋体" w:hAnsi="宋体" w:eastAsia="宋体" w:cs="宋体"/>
          <w:color w:val="auto"/>
          <w:spacing w:val="-2"/>
          <w:sz w:val="24"/>
          <w:szCs w:val="24"/>
          <w:highlight w:val="none"/>
        </w:rPr>
        <w:t>招标人向投标人提供的有关现场的数据和资料，是招标人现有的能被投标人</w:t>
      </w:r>
      <w:r>
        <w:rPr>
          <w:rFonts w:hint="eastAsia" w:ascii="宋体" w:hAnsi="宋体" w:eastAsia="宋体" w:cs="宋体"/>
          <w:color w:val="auto"/>
          <w:sz w:val="24"/>
          <w:szCs w:val="24"/>
          <w:highlight w:val="none"/>
        </w:rPr>
        <w:t>利用的资料，招标人对投标人做出的任何推论</w:t>
      </w:r>
      <w:r>
        <w:rPr>
          <w:rFonts w:hint="eastAsia" w:ascii="宋体" w:hAnsi="宋体" w:eastAsia="宋体" w:cs="宋体"/>
          <w:color w:val="auto"/>
          <w:spacing w:val="-1"/>
          <w:sz w:val="24"/>
          <w:szCs w:val="24"/>
          <w:highlight w:val="none"/>
        </w:rPr>
        <w:t>、理解和结论均不负责任。</w:t>
      </w:r>
    </w:p>
    <w:p w14:paraId="428C97DB">
      <w:pPr>
        <w:pageBreakBefore w:val="0"/>
        <w:kinsoku/>
        <w:wordWrap w:val="0"/>
        <w:overflowPunct/>
        <w:topLinePunct w:val="0"/>
        <w:bidi w:val="0"/>
        <w:spacing w:before="154" w:line="299" w:lineRule="auto"/>
        <w:ind w:left="12" w:firstLine="55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9.5  </w:t>
      </w:r>
      <w:r>
        <w:rPr>
          <w:rFonts w:hint="eastAsia" w:ascii="宋体" w:hAnsi="宋体" w:eastAsia="宋体" w:cs="宋体"/>
          <w:color w:val="auto"/>
          <w:spacing w:val="-2"/>
          <w:sz w:val="24"/>
          <w:szCs w:val="24"/>
          <w:highlight w:val="none"/>
        </w:rPr>
        <w:t>投标人必须按照招标工程量清单及表格填报价格。项目编码、项目名称、项</w:t>
      </w:r>
      <w:r>
        <w:rPr>
          <w:rFonts w:hint="eastAsia" w:ascii="宋体" w:hAnsi="宋体" w:eastAsia="宋体" w:cs="宋体"/>
          <w:color w:val="auto"/>
          <w:spacing w:val="2"/>
          <w:sz w:val="24"/>
          <w:szCs w:val="24"/>
          <w:highlight w:val="none"/>
        </w:rPr>
        <w:t>目特征、计量单位、工程量必须与招标工程量清单一致。所有报价均以人</w:t>
      </w:r>
      <w:r>
        <w:rPr>
          <w:rFonts w:hint="eastAsia" w:ascii="宋体" w:hAnsi="宋体" w:eastAsia="宋体" w:cs="宋体"/>
          <w:color w:val="auto"/>
          <w:spacing w:val="1"/>
          <w:sz w:val="24"/>
          <w:szCs w:val="24"/>
          <w:highlight w:val="none"/>
        </w:rPr>
        <w:t>民币“元</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为单位，并保留小数点后两位。</w:t>
      </w:r>
    </w:p>
    <w:p w14:paraId="2BD5CB95">
      <w:pPr>
        <w:pageBreakBefore w:val="0"/>
        <w:kinsoku/>
        <w:wordWrap w:val="0"/>
        <w:overflowPunct/>
        <w:topLinePunct w:val="0"/>
        <w:bidi w:val="0"/>
        <w:spacing w:before="158" w:line="314"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9.6  </w:t>
      </w:r>
      <w:r>
        <w:rPr>
          <w:rFonts w:hint="eastAsia" w:ascii="宋体" w:hAnsi="宋体" w:eastAsia="宋体" w:cs="宋体"/>
          <w:color w:val="auto"/>
          <w:spacing w:val="-2"/>
          <w:sz w:val="24"/>
          <w:szCs w:val="24"/>
          <w:highlight w:val="none"/>
        </w:rPr>
        <w:t>投标人只允许有一个投标总价。投标总价必须同时用大、小写表示，大、小</w:t>
      </w:r>
      <w:r>
        <w:rPr>
          <w:rFonts w:hint="eastAsia" w:ascii="宋体" w:hAnsi="宋体" w:eastAsia="宋体" w:cs="宋体"/>
          <w:color w:val="auto"/>
          <w:spacing w:val="-1"/>
          <w:sz w:val="24"/>
          <w:szCs w:val="24"/>
          <w:highlight w:val="none"/>
        </w:rPr>
        <w:t>写报价应保持一致，若不一致，以大写报价为准。招标工程量</w:t>
      </w:r>
      <w:r>
        <w:rPr>
          <w:rFonts w:hint="eastAsia" w:ascii="宋体" w:hAnsi="宋体" w:eastAsia="宋体" w:cs="宋体"/>
          <w:color w:val="auto"/>
          <w:spacing w:val="-2"/>
          <w:sz w:val="24"/>
          <w:szCs w:val="24"/>
          <w:highlight w:val="none"/>
        </w:rPr>
        <w:t>清单与计价表中列明的</w:t>
      </w:r>
      <w:r>
        <w:rPr>
          <w:rFonts w:hint="eastAsia" w:ascii="宋体" w:hAnsi="宋体" w:eastAsia="宋体" w:cs="宋体"/>
          <w:color w:val="auto"/>
          <w:spacing w:val="-1"/>
          <w:sz w:val="24"/>
          <w:szCs w:val="24"/>
          <w:highlight w:val="none"/>
        </w:rPr>
        <w:t>所有需要填写单价和合价的项目，投标人均应填写且只允许有</w:t>
      </w:r>
      <w:r>
        <w:rPr>
          <w:rFonts w:hint="eastAsia" w:ascii="宋体" w:hAnsi="宋体" w:eastAsia="宋体" w:cs="宋体"/>
          <w:color w:val="auto"/>
          <w:spacing w:val="-2"/>
          <w:sz w:val="24"/>
          <w:szCs w:val="24"/>
          <w:highlight w:val="none"/>
        </w:rPr>
        <w:t>一个报价。未填写单价</w:t>
      </w:r>
      <w:r>
        <w:rPr>
          <w:rFonts w:hint="eastAsia" w:ascii="宋体" w:hAnsi="宋体" w:eastAsia="宋体" w:cs="宋体"/>
          <w:color w:val="auto"/>
          <w:spacing w:val="-1"/>
          <w:sz w:val="24"/>
          <w:szCs w:val="24"/>
          <w:highlight w:val="none"/>
        </w:rPr>
        <w:t>和合价的项目，视为此项费用已包含在已标价工程量清单其他</w:t>
      </w:r>
      <w:r>
        <w:rPr>
          <w:rFonts w:hint="eastAsia" w:ascii="宋体" w:hAnsi="宋体" w:eastAsia="宋体" w:cs="宋体"/>
          <w:color w:val="auto"/>
          <w:spacing w:val="-2"/>
          <w:sz w:val="24"/>
          <w:szCs w:val="24"/>
          <w:highlight w:val="none"/>
        </w:rPr>
        <w:t>项目的单价和合价中，</w:t>
      </w:r>
      <w:r>
        <w:rPr>
          <w:rFonts w:hint="eastAsia" w:ascii="宋体" w:hAnsi="宋体" w:eastAsia="宋体" w:cs="宋体"/>
          <w:color w:val="auto"/>
          <w:spacing w:val="-1"/>
          <w:sz w:val="24"/>
          <w:szCs w:val="24"/>
          <w:highlight w:val="none"/>
        </w:rPr>
        <w:t>竣工结算时不得重新组价和调整。</w:t>
      </w:r>
    </w:p>
    <w:p w14:paraId="029B3C3E">
      <w:pPr>
        <w:pageBreakBefore w:val="0"/>
        <w:kinsoku/>
        <w:wordWrap w:val="0"/>
        <w:overflowPunct/>
        <w:topLinePunct w:val="0"/>
        <w:bidi w:val="0"/>
        <w:spacing w:before="152" w:line="309" w:lineRule="auto"/>
        <w:ind w:left="7" w:right="120" w:firstLine="480"/>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z w:val="24"/>
          <w:szCs w:val="24"/>
          <w:highlight w:val="none"/>
        </w:rPr>
        <w:t xml:space="preserve">9.7  </w:t>
      </w:r>
      <w:r>
        <w:rPr>
          <w:rFonts w:hint="eastAsia" w:ascii="宋体" w:hAnsi="宋体" w:eastAsia="宋体" w:cs="宋体"/>
          <w:color w:val="auto"/>
          <w:sz w:val="24"/>
          <w:szCs w:val="24"/>
          <w:highlight w:val="none"/>
        </w:rPr>
        <w:t>投标人的投标总价不得高于</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color w:val="auto"/>
          <w:sz w:val="24"/>
          <w:szCs w:val="24"/>
          <w:highlight w:val="none"/>
        </w:rPr>
        <w:t>，也不得低于工程成本。投标人对</w:t>
      </w:r>
      <w:r>
        <w:rPr>
          <w:rFonts w:hint="eastAsia" w:ascii="宋体" w:hAnsi="宋体" w:eastAsia="宋体" w:cs="宋体"/>
          <w:color w:val="auto"/>
          <w:spacing w:val="-1"/>
          <w:sz w:val="24"/>
          <w:szCs w:val="24"/>
          <w:highlight w:val="none"/>
        </w:rPr>
        <w:t>投标总价的所有优惠（降价、让利等</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
          <w:sz w:val="24"/>
          <w:szCs w:val="24"/>
          <w:highlight w:val="none"/>
        </w:rPr>
        <w:t>均应当反映在具体清单项目或其综合</w:t>
      </w:r>
      <w:r>
        <w:rPr>
          <w:rFonts w:hint="eastAsia" w:ascii="宋体" w:hAnsi="宋体" w:eastAsia="宋体" w:cs="宋体"/>
          <w:color w:val="auto"/>
          <w:spacing w:val="-2"/>
          <w:sz w:val="24"/>
          <w:szCs w:val="24"/>
          <w:highlight w:val="none"/>
        </w:rPr>
        <w:t>单价的</w:t>
      </w:r>
      <w:r>
        <w:rPr>
          <w:rFonts w:hint="eastAsia" w:ascii="宋体" w:hAnsi="宋体" w:eastAsia="宋体" w:cs="宋体"/>
          <w:color w:val="auto"/>
          <w:spacing w:val="1"/>
          <w:sz w:val="24"/>
          <w:szCs w:val="24"/>
          <w:highlight w:val="none"/>
        </w:rPr>
        <w:t>报价上。</w:t>
      </w:r>
      <w:r>
        <w:rPr>
          <w:rFonts w:hint="eastAsia" w:ascii="宋体" w:hAnsi="宋体" w:eastAsia="宋体" w:cs="宋体"/>
          <w:b/>
          <w:bCs/>
          <w:color w:val="auto"/>
          <w:spacing w:val="1"/>
          <w:sz w:val="24"/>
          <w:szCs w:val="24"/>
          <w:highlight w:val="none"/>
        </w:rPr>
        <w:t>如果投标人的投标总价下浮率高于</w:t>
      </w:r>
      <w:r>
        <w:rPr>
          <w:rFonts w:hint="eastAsia" w:ascii="宋体" w:hAnsi="宋体" w:eastAsia="宋体" w:cs="宋体"/>
          <w:color w:val="auto"/>
          <w:spacing w:val="-40"/>
          <w:sz w:val="24"/>
          <w:szCs w:val="24"/>
          <w:highlight w:val="none"/>
        </w:rPr>
        <w:t xml:space="preserve"> </w:t>
      </w:r>
      <w:r>
        <w:rPr>
          <w:rFonts w:hint="eastAsia" w:ascii="宋体" w:hAnsi="宋体" w:eastAsia="宋体" w:cs="宋体"/>
          <w:b/>
          <w:bCs/>
          <w:color w:val="auto"/>
          <w:spacing w:val="1"/>
          <w:sz w:val="24"/>
          <w:szCs w:val="24"/>
          <w:highlight w:val="none"/>
        </w:rPr>
        <w:t>15%时，投标人必须在投标文件中专项</w:t>
      </w:r>
      <w:r>
        <w:rPr>
          <w:rFonts w:hint="eastAsia" w:ascii="宋体" w:hAnsi="宋体" w:eastAsia="宋体" w:cs="宋体"/>
          <w:b/>
          <w:bCs/>
          <w:color w:val="auto"/>
          <w:spacing w:val="-3"/>
          <w:sz w:val="24"/>
          <w:szCs w:val="24"/>
          <w:highlight w:val="none"/>
        </w:rPr>
        <w:t>作出详细合理的书面说明并提供以往类似工程详细成本分析报告供评标委员会审查。</w:t>
      </w:r>
    </w:p>
    <w:p w14:paraId="0A95A81C">
      <w:pPr>
        <w:pageBreakBefore w:val="0"/>
        <w:kinsoku/>
        <w:wordWrap w:val="0"/>
        <w:overflowPunct/>
        <w:topLinePunct w:val="0"/>
        <w:bidi w:val="0"/>
        <w:ind w:firstLine="1645" w:firstLineChars="700"/>
        <w:outlineLvl w:val="9"/>
        <w:rPr>
          <w:rFonts w:hint="eastAsia" w:ascii="宋体" w:hAnsi="宋体" w:eastAsia="宋体" w:cs="宋体"/>
          <w:color w:val="auto"/>
          <w:highlight w:val="none"/>
          <w:lang w:eastAsia="zh-CN"/>
        </w:rPr>
      </w:pPr>
      <w:r>
        <w:rPr>
          <w:rFonts w:hint="eastAsia" w:ascii="宋体" w:hAnsi="宋体" w:eastAsia="宋体" w:cs="宋体"/>
          <w:b/>
          <w:bCs/>
          <w:color w:val="auto"/>
          <w:spacing w:val="-3"/>
          <w:sz w:val="24"/>
          <w:szCs w:val="24"/>
          <w:highlight w:val="none"/>
          <w:lang w:eastAsia="zh-CN"/>
        </w:rPr>
        <w:t>投标总价下浮率=（1-投标总价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100%</w:t>
      </w:r>
    </w:p>
    <w:p w14:paraId="5E9F36E8">
      <w:pPr>
        <w:pageBreakBefore w:val="0"/>
        <w:kinsoku/>
        <w:wordWrap w:val="0"/>
        <w:overflowPunct/>
        <w:topLinePunct w:val="0"/>
        <w:bidi w:val="0"/>
        <w:spacing w:before="146" w:line="325" w:lineRule="auto"/>
        <w:ind w:left="29" w:right="153" w:firstLine="458"/>
        <w:rPr>
          <w:rFonts w:hint="eastAsia" w:ascii="宋体" w:hAnsi="宋体" w:eastAsia="宋体" w:cs="宋体"/>
          <w:b/>
          <w:bCs/>
          <w:color w:val="auto"/>
          <w:highlight w:val="none"/>
        </w:rPr>
      </w:pPr>
      <w:r>
        <w:rPr>
          <w:rFonts w:hint="eastAsia" w:ascii="宋体" w:hAnsi="宋体" w:eastAsia="宋体" w:cs="宋体"/>
          <w:b/>
          <w:bCs/>
          <w:color w:val="auto"/>
          <w:sz w:val="24"/>
          <w:szCs w:val="24"/>
          <w:highlight w:val="none"/>
        </w:rPr>
        <w:t>9.8  投标人的安全生产措施费报价必须达到或超过</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b/>
          <w:bCs/>
          <w:color w:val="auto"/>
          <w:sz w:val="24"/>
          <w:szCs w:val="24"/>
          <w:highlight w:val="none"/>
        </w:rPr>
        <w:t>中</w:t>
      </w:r>
      <w:r>
        <w:rPr>
          <w:rFonts w:hint="eastAsia" w:ascii="宋体" w:hAnsi="宋体" w:eastAsia="宋体" w:cs="宋体"/>
          <w:b/>
          <w:bCs/>
          <w:color w:val="auto"/>
          <w:spacing w:val="-1"/>
          <w:sz w:val="24"/>
          <w:szCs w:val="24"/>
          <w:highlight w:val="none"/>
        </w:rPr>
        <w:t>提供</w:t>
      </w:r>
      <w:r>
        <w:rPr>
          <w:rFonts w:hint="eastAsia" w:ascii="宋体" w:hAnsi="宋体" w:eastAsia="宋体" w:cs="宋体"/>
          <w:b/>
          <w:bCs/>
          <w:color w:val="auto"/>
          <w:spacing w:val="-3"/>
          <w:sz w:val="24"/>
          <w:szCs w:val="24"/>
          <w:highlight w:val="none"/>
        </w:rPr>
        <w:t>的安全生产措施费。</w:t>
      </w:r>
    </w:p>
    <w:p w14:paraId="5C6ABF7B">
      <w:pPr>
        <w:pageBreakBefore w:val="0"/>
        <w:kinsoku/>
        <w:wordWrap w:val="0"/>
        <w:overflowPunct/>
        <w:topLinePunct w:val="0"/>
        <w:bidi w:val="0"/>
        <w:spacing w:before="123" w:line="290" w:lineRule="auto"/>
        <w:ind w:left="8" w:firstLine="566"/>
        <w:rPr>
          <w:rFonts w:hint="eastAsia" w:ascii="宋体" w:hAnsi="宋体" w:eastAsia="宋体" w:cs="宋体"/>
          <w:color w:val="auto"/>
          <w:spacing w:val="-3"/>
          <w:sz w:val="24"/>
          <w:szCs w:val="24"/>
          <w:highlight w:val="none"/>
        </w:rPr>
      </w:pPr>
      <w:r>
        <w:rPr>
          <w:rFonts w:hint="eastAsia" w:ascii="宋体" w:hAnsi="宋体" w:eastAsia="宋体" w:cs="宋体"/>
          <w:b/>
          <w:bCs/>
          <w:color w:val="auto"/>
          <w:sz w:val="24"/>
          <w:szCs w:val="24"/>
          <w:highlight w:val="none"/>
        </w:rPr>
        <w:t xml:space="preserve">9.9  </w:t>
      </w:r>
      <w:r>
        <w:rPr>
          <w:rFonts w:hint="eastAsia" w:ascii="宋体" w:hAnsi="宋体" w:eastAsia="宋体" w:cs="宋体"/>
          <w:color w:val="auto"/>
          <w:sz w:val="24"/>
          <w:szCs w:val="24"/>
          <w:highlight w:val="none"/>
        </w:rPr>
        <w:t>投标人必须按照招标工程量清单中提供的暂列金额和暂估价统一报价。投标</w:t>
      </w:r>
      <w:r>
        <w:rPr>
          <w:rFonts w:hint="eastAsia" w:ascii="宋体" w:hAnsi="宋体" w:eastAsia="宋体" w:cs="宋体"/>
          <w:color w:val="auto"/>
          <w:spacing w:val="-1"/>
          <w:sz w:val="24"/>
          <w:szCs w:val="24"/>
          <w:highlight w:val="none"/>
        </w:rPr>
        <w:t>人应充分考虑暂估价项目（或暂列金额项目）的管理和协调所发</w:t>
      </w:r>
      <w:r>
        <w:rPr>
          <w:rFonts w:hint="eastAsia" w:ascii="宋体" w:hAnsi="宋体" w:eastAsia="宋体" w:cs="宋体"/>
          <w:color w:val="auto"/>
          <w:spacing w:val="-2"/>
          <w:sz w:val="24"/>
          <w:szCs w:val="24"/>
          <w:highlight w:val="none"/>
        </w:rPr>
        <w:t>生的费用，并将其纳</w:t>
      </w:r>
      <w:r>
        <w:rPr>
          <w:rFonts w:hint="eastAsia" w:ascii="宋体" w:hAnsi="宋体" w:eastAsia="宋体" w:cs="宋体"/>
          <w:color w:val="auto"/>
          <w:spacing w:val="-1"/>
          <w:sz w:val="24"/>
          <w:szCs w:val="24"/>
          <w:highlight w:val="none"/>
        </w:rPr>
        <w:t>入已标价工程量清单中的适当项目。招标人视该项管理和协调所</w:t>
      </w:r>
      <w:r>
        <w:rPr>
          <w:rFonts w:hint="eastAsia" w:ascii="宋体" w:hAnsi="宋体" w:eastAsia="宋体" w:cs="宋体"/>
          <w:color w:val="auto"/>
          <w:spacing w:val="-2"/>
          <w:sz w:val="24"/>
          <w:szCs w:val="24"/>
          <w:highlight w:val="none"/>
        </w:rPr>
        <w:t>发生的费用已包含在</w:t>
      </w:r>
      <w:r>
        <w:rPr>
          <w:rFonts w:hint="eastAsia" w:ascii="宋体" w:hAnsi="宋体" w:eastAsia="宋体" w:cs="宋体"/>
          <w:color w:val="auto"/>
          <w:spacing w:val="-1"/>
          <w:sz w:val="24"/>
          <w:szCs w:val="24"/>
          <w:highlight w:val="none"/>
        </w:rPr>
        <w:t>其它有价款的竞争性报价</w:t>
      </w:r>
      <w:r>
        <w:rPr>
          <w:rFonts w:hint="eastAsia" w:ascii="宋体" w:hAnsi="宋体" w:eastAsia="宋体" w:cs="宋体"/>
          <w:color w:val="auto"/>
          <w:spacing w:val="-3"/>
          <w:sz w:val="24"/>
          <w:szCs w:val="24"/>
          <w:highlight w:val="none"/>
        </w:rPr>
        <w:t>内，不再另行支付。</w:t>
      </w:r>
    </w:p>
    <w:p w14:paraId="4574DACF">
      <w:pPr>
        <w:pageBreakBefore w:val="0"/>
        <w:kinsoku/>
        <w:wordWrap w:val="0"/>
        <w:overflowPunct/>
        <w:topLinePunct w:val="0"/>
        <w:bidi w:val="0"/>
        <w:spacing w:before="123" w:line="290" w:lineRule="auto"/>
        <w:ind w:left="8" w:firstLine="566"/>
        <w:rPr>
          <w:rFonts w:hint="eastAsia" w:ascii="宋体" w:hAnsi="宋体" w:eastAsia="宋体" w:cs="宋体"/>
          <w:color w:val="auto"/>
          <w:spacing w:val="-3"/>
          <w:sz w:val="24"/>
          <w:szCs w:val="24"/>
          <w:highlight w:val="none"/>
          <w:u w:val="single"/>
          <w:lang w:val="en-US" w:eastAsia="en-US"/>
        </w:rPr>
      </w:pPr>
      <w:r>
        <w:rPr>
          <w:rFonts w:hint="eastAsia" w:ascii="宋体" w:hAnsi="宋体" w:eastAsia="宋体" w:cs="宋体"/>
          <w:color w:val="auto"/>
          <w:spacing w:val="-3"/>
          <w:sz w:val="24"/>
          <w:szCs w:val="24"/>
          <w:highlight w:val="none"/>
        </w:rPr>
        <w:t xml:space="preserve">9.10 </w:t>
      </w:r>
      <w:r>
        <w:rPr>
          <w:rFonts w:hint="eastAsia" w:ascii="宋体" w:hAnsi="宋体" w:eastAsia="宋体" w:cs="宋体"/>
          <w:color w:val="auto"/>
          <w:spacing w:val="-3"/>
          <w:sz w:val="24"/>
          <w:szCs w:val="24"/>
          <w:highlight w:val="none"/>
          <w:lang w:val="en-US" w:eastAsia="en-US"/>
        </w:rPr>
        <w:t>预算包干费：</w:t>
      </w:r>
      <w:r>
        <w:rPr>
          <w:rFonts w:hint="eastAsia" w:ascii="宋体" w:hAnsi="宋体" w:eastAsia="宋体" w:cs="宋体"/>
          <w:color w:val="auto"/>
          <w:spacing w:val="-3"/>
          <w:sz w:val="24"/>
          <w:szCs w:val="24"/>
          <w:highlight w:val="none"/>
          <w:u w:val="single"/>
          <w:lang w:val="en-US" w:eastAsia="en-US"/>
        </w:rPr>
        <w:t>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w:t>
      </w:r>
      <w:r>
        <w:rPr>
          <w:rFonts w:hint="eastAsia" w:ascii="宋体" w:hAnsi="宋体" w:eastAsia="宋体" w:cs="宋体"/>
          <w:color w:val="auto"/>
          <w:spacing w:val="-3"/>
          <w:sz w:val="24"/>
          <w:szCs w:val="24"/>
          <w:highlight w:val="none"/>
          <w:u w:val="single"/>
          <w:lang w:val="en-US" w:eastAsia="zh-CN"/>
        </w:rPr>
        <w:t>18</w:t>
      </w:r>
      <w:r>
        <w:rPr>
          <w:rFonts w:hint="eastAsia" w:ascii="宋体" w:hAnsi="宋体" w:eastAsia="宋体" w:cs="宋体"/>
          <w:color w:val="auto"/>
          <w:spacing w:val="-3"/>
          <w:sz w:val="24"/>
          <w:szCs w:val="24"/>
          <w:highlight w:val="none"/>
          <w:u w:val="single"/>
          <w:lang w:val="en-US" w:eastAsia="en-US"/>
        </w:rPr>
        <w:t>）》相关规定。若发生工程签证变更，应按合同约定计取预算包干费。</w:t>
      </w:r>
    </w:p>
    <w:p w14:paraId="20F7818E">
      <w:pPr>
        <w:pageBreakBefore w:val="0"/>
        <w:kinsoku/>
        <w:wordWrap w:val="0"/>
        <w:overflowPunct/>
        <w:topLinePunct w:val="0"/>
        <w:bidi w:val="0"/>
        <w:spacing w:before="79" w:line="219" w:lineRule="auto"/>
        <w:ind w:left="487"/>
        <w:outlineLvl w:val="2"/>
        <w:rPr>
          <w:rFonts w:hint="eastAsia" w:ascii="宋体" w:hAnsi="宋体" w:eastAsia="宋体" w:cs="宋体"/>
          <w:b/>
          <w:bCs/>
          <w:color w:val="auto"/>
          <w:spacing w:val="-8"/>
          <w:sz w:val="24"/>
          <w:szCs w:val="24"/>
          <w:highlight w:val="none"/>
        </w:rPr>
      </w:pPr>
      <w:bookmarkStart w:id="42" w:name="_Toc8919"/>
      <w:bookmarkStart w:id="43" w:name="_Toc16322"/>
      <w:r>
        <w:rPr>
          <w:rFonts w:hint="eastAsia" w:ascii="宋体" w:hAnsi="宋体" w:eastAsia="宋体" w:cs="宋体"/>
          <w:b/>
          <w:bCs/>
          <w:color w:val="auto"/>
          <w:spacing w:val="-8"/>
          <w:sz w:val="24"/>
          <w:szCs w:val="24"/>
          <w:highlight w:val="none"/>
        </w:rPr>
        <w:t>10 ．投标文件的编制要求</w:t>
      </w:r>
      <w:bookmarkEnd w:id="42"/>
      <w:bookmarkEnd w:id="43"/>
    </w:p>
    <w:p w14:paraId="4C719819">
      <w:pPr>
        <w:pageBreakBefore w:val="0"/>
        <w:kinsoku/>
        <w:wordWrap w:val="0"/>
        <w:overflowPunct/>
        <w:topLinePunct w:val="0"/>
        <w:bidi w:val="0"/>
        <w:spacing w:before="152" w:line="222" w:lineRule="auto"/>
        <w:ind w:left="496"/>
        <w:outlineLvl w:val="3"/>
        <w:rPr>
          <w:rFonts w:hint="eastAsia" w:ascii="宋体" w:hAnsi="宋体" w:eastAsia="宋体" w:cs="宋体"/>
          <w:color w:val="auto"/>
          <w:sz w:val="24"/>
          <w:szCs w:val="24"/>
          <w:highlight w:val="none"/>
        </w:rPr>
      </w:pPr>
      <w:bookmarkStart w:id="44" w:name="_Toc22937"/>
      <w:bookmarkStart w:id="45" w:name="_Toc20590"/>
      <w:r>
        <w:rPr>
          <w:rFonts w:hint="eastAsia" w:ascii="宋体" w:hAnsi="宋体" w:eastAsia="宋体" w:cs="宋体"/>
          <w:b/>
          <w:bCs/>
          <w:color w:val="auto"/>
          <w:spacing w:val="-4"/>
          <w:sz w:val="24"/>
          <w:szCs w:val="24"/>
          <w:highlight w:val="none"/>
        </w:rPr>
        <w:t>10.1</w:t>
      </w:r>
      <w:r>
        <w:rPr>
          <w:rFonts w:hint="eastAsia" w:ascii="宋体" w:hAnsi="宋体" w:eastAsia="宋体" w:cs="宋体"/>
          <w:b/>
          <w:bCs/>
          <w:color w:val="auto"/>
          <w:spacing w:val="7"/>
          <w:sz w:val="24"/>
          <w:szCs w:val="24"/>
          <w:highlight w:val="none"/>
        </w:rPr>
        <w:t xml:space="preserve">  </w:t>
      </w:r>
      <w:r>
        <w:rPr>
          <w:rFonts w:hint="eastAsia" w:ascii="宋体" w:hAnsi="宋体" w:eastAsia="宋体" w:cs="宋体"/>
          <w:color w:val="auto"/>
          <w:spacing w:val="-4"/>
          <w:sz w:val="24"/>
          <w:szCs w:val="24"/>
          <w:highlight w:val="none"/>
        </w:rPr>
        <w:t>一般要求</w:t>
      </w:r>
      <w:bookmarkEnd w:id="44"/>
      <w:bookmarkEnd w:id="45"/>
    </w:p>
    <w:p w14:paraId="27321D71">
      <w:pPr>
        <w:pageBreakBefore w:val="0"/>
        <w:kinsoku/>
        <w:wordWrap w:val="0"/>
        <w:overflowPunct/>
        <w:topLinePunct w:val="0"/>
        <w:bidi w:val="0"/>
        <w:spacing w:before="118" w:line="295" w:lineRule="auto"/>
        <w:ind w:left="11" w:right="99"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投标文件应按第六章投标文件格式规定的内容，投标人提交的投标文件应当使</w:t>
      </w:r>
      <w:r>
        <w:rPr>
          <w:rFonts w:hint="eastAsia" w:ascii="宋体" w:hAnsi="宋体" w:eastAsia="宋体" w:cs="宋体"/>
          <w:color w:val="auto"/>
          <w:spacing w:val="-1"/>
          <w:sz w:val="24"/>
          <w:szCs w:val="24"/>
          <w:highlight w:val="none"/>
        </w:rPr>
        <w:t>用招标文件所提供的投标文件全部格式。</w:t>
      </w:r>
    </w:p>
    <w:p w14:paraId="3DD2CA9E">
      <w:pPr>
        <w:pageBreakBefore w:val="0"/>
        <w:kinsoku/>
        <w:wordWrap w:val="0"/>
        <w:overflowPunct/>
        <w:topLinePunct w:val="0"/>
        <w:bidi w:val="0"/>
        <w:spacing w:before="68" w:line="299" w:lineRule="auto"/>
        <w:ind w:left="11" w:right="99" w:firstLine="56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10.1.1  </w:t>
      </w:r>
      <w:r>
        <w:rPr>
          <w:rFonts w:hint="eastAsia" w:ascii="宋体" w:hAnsi="宋体" w:eastAsia="宋体" w:cs="宋体"/>
          <w:color w:val="auto"/>
          <w:spacing w:val="-3"/>
          <w:sz w:val="24"/>
          <w:szCs w:val="24"/>
          <w:highlight w:val="none"/>
        </w:rPr>
        <w:t>投标人必须响应招标文件，并在充分理解招</w:t>
      </w:r>
      <w:r>
        <w:rPr>
          <w:rFonts w:hint="eastAsia" w:ascii="宋体" w:hAnsi="宋体" w:eastAsia="宋体" w:cs="宋体"/>
          <w:color w:val="auto"/>
          <w:spacing w:val="-4"/>
          <w:sz w:val="24"/>
          <w:szCs w:val="24"/>
          <w:highlight w:val="none"/>
        </w:rPr>
        <w:t>标人提供的全部文件、设计图</w:t>
      </w:r>
      <w:r>
        <w:rPr>
          <w:rFonts w:hint="eastAsia" w:ascii="宋体" w:hAnsi="宋体" w:eastAsia="宋体" w:cs="宋体"/>
          <w:color w:val="auto"/>
          <w:spacing w:val="-1"/>
          <w:sz w:val="24"/>
          <w:szCs w:val="24"/>
          <w:highlight w:val="none"/>
        </w:rPr>
        <w:t>纸、资料及现场条件的基础上编制投标文件。因投标文件</w:t>
      </w:r>
      <w:r>
        <w:rPr>
          <w:rFonts w:hint="eastAsia" w:ascii="宋体" w:hAnsi="宋体" w:eastAsia="宋体" w:cs="宋体"/>
          <w:color w:val="auto"/>
          <w:spacing w:val="-2"/>
          <w:sz w:val="24"/>
          <w:szCs w:val="24"/>
          <w:highlight w:val="none"/>
        </w:rPr>
        <w:t>不符合招标文件的要求而造</w:t>
      </w:r>
      <w:r>
        <w:rPr>
          <w:rFonts w:hint="eastAsia" w:ascii="宋体" w:hAnsi="宋体" w:eastAsia="宋体" w:cs="宋体"/>
          <w:color w:val="auto"/>
          <w:spacing w:val="-1"/>
          <w:sz w:val="24"/>
          <w:szCs w:val="24"/>
          <w:highlight w:val="none"/>
        </w:rPr>
        <w:t>成的损失和后果，由投标人自行承担。</w:t>
      </w:r>
    </w:p>
    <w:p w14:paraId="057155C1">
      <w:pPr>
        <w:pageBreakBefore w:val="0"/>
        <w:kinsoku/>
        <w:wordWrap w:val="0"/>
        <w:overflowPunct/>
        <w:topLinePunct w:val="0"/>
        <w:bidi w:val="0"/>
        <w:spacing w:before="123" w:line="290" w:lineRule="auto"/>
        <w:ind w:left="8" w:firstLine="566"/>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10.1.2  投标文件包括商务标书、经济标书、施工组织设计和定标文件四个分册，</w:t>
      </w:r>
      <w:r>
        <w:rPr>
          <w:rFonts w:hint="eastAsia" w:ascii="宋体" w:hAnsi="宋体" w:eastAsia="宋体" w:cs="宋体"/>
          <w:color w:val="auto"/>
          <w:spacing w:val="-3"/>
          <w:sz w:val="24"/>
          <w:szCs w:val="24"/>
          <w:highlight w:val="none"/>
        </w:rPr>
        <w:t>投标文件全部采用电子文档，投标文件所附</w:t>
      </w:r>
      <w:r>
        <w:rPr>
          <w:rFonts w:hint="eastAsia" w:ascii="宋体" w:hAnsi="宋体" w:eastAsia="宋体" w:cs="宋体"/>
          <w:color w:val="auto"/>
          <w:spacing w:val="-4"/>
          <w:sz w:val="24"/>
          <w:szCs w:val="24"/>
          <w:highlight w:val="none"/>
        </w:rPr>
        <w:t>证书证件均为原件扫描件，并</w:t>
      </w:r>
      <w:r>
        <w:rPr>
          <w:rFonts w:hint="eastAsia" w:ascii="宋体" w:hAnsi="宋体" w:eastAsia="宋体" w:cs="宋体"/>
          <w:color w:val="auto"/>
          <w:spacing w:val="-1"/>
          <w:sz w:val="24"/>
          <w:szCs w:val="24"/>
          <w:highlight w:val="none"/>
        </w:rPr>
        <w:t>采用单位数字证书，按招标文件要求在相应位置加盖电子印章。</w:t>
      </w:r>
      <w:r>
        <w:rPr>
          <w:rFonts w:hint="eastAsia" w:ascii="宋体" w:hAnsi="宋体" w:eastAsia="宋体" w:cs="宋体"/>
          <w:color w:val="auto"/>
          <w:spacing w:val="-2"/>
          <w:sz w:val="24"/>
          <w:szCs w:val="24"/>
          <w:highlight w:val="none"/>
        </w:rPr>
        <w:t>投标文件中需个人签</w:t>
      </w:r>
      <w:r>
        <w:rPr>
          <w:rFonts w:hint="eastAsia" w:ascii="宋体" w:hAnsi="宋体" w:eastAsia="宋体" w:cs="宋体"/>
          <w:color w:val="auto"/>
          <w:spacing w:val="-1"/>
          <w:sz w:val="24"/>
          <w:szCs w:val="24"/>
          <w:highlight w:val="none"/>
        </w:rPr>
        <w:t>字或盖章的，应加盖个人电子印章或在线下完成后扫描上传。按</w:t>
      </w:r>
      <w:r>
        <w:rPr>
          <w:rFonts w:hint="eastAsia" w:ascii="宋体" w:hAnsi="宋体" w:eastAsia="宋体" w:cs="宋体"/>
          <w:color w:val="auto"/>
          <w:spacing w:val="-2"/>
          <w:sz w:val="24"/>
          <w:szCs w:val="24"/>
          <w:highlight w:val="none"/>
        </w:rPr>
        <w:t>照交易平台关于全流</w:t>
      </w:r>
      <w:r>
        <w:rPr>
          <w:rFonts w:hint="eastAsia" w:ascii="宋体" w:hAnsi="宋体" w:eastAsia="宋体" w:cs="宋体"/>
          <w:color w:val="auto"/>
          <w:spacing w:val="-7"/>
          <w:sz w:val="24"/>
          <w:szCs w:val="24"/>
          <w:highlight w:val="none"/>
        </w:rPr>
        <w:t>程电子化项目的相关指南进行操作。详见：全国公共资源</w:t>
      </w:r>
      <w:r>
        <w:rPr>
          <w:rFonts w:hint="eastAsia" w:ascii="宋体" w:hAnsi="宋体" w:eastAsia="宋体" w:cs="宋体"/>
          <w:color w:val="auto"/>
          <w:spacing w:val="-8"/>
          <w:sz w:val="24"/>
          <w:szCs w:val="24"/>
          <w:highlight w:val="none"/>
        </w:rPr>
        <w:t>交易平台（广东省·韶关市）</w:t>
      </w:r>
      <w:r>
        <w:rPr>
          <w:rFonts w:hint="eastAsia" w:ascii="宋体" w:hAnsi="宋体" w:eastAsia="宋体" w:cs="宋体"/>
          <w:color w:val="auto"/>
          <w:spacing w:val="-2"/>
          <w:sz w:val="24"/>
          <w:szCs w:val="24"/>
          <w:highlight w:val="none"/>
        </w:rPr>
        <w:t>交易指引。</w:t>
      </w:r>
    </w:p>
    <w:p w14:paraId="13A74F35">
      <w:pPr>
        <w:pageBreakBefore w:val="0"/>
        <w:kinsoku/>
        <w:wordWrap w:val="0"/>
        <w:overflowPunct/>
        <w:topLinePunct w:val="0"/>
        <w:bidi w:val="0"/>
        <w:spacing w:before="1" w:line="219" w:lineRule="auto"/>
        <w:ind w:left="57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10.1.3  </w:t>
      </w:r>
      <w:r>
        <w:rPr>
          <w:rFonts w:hint="eastAsia" w:ascii="宋体" w:hAnsi="宋体" w:eastAsia="宋体" w:cs="宋体"/>
          <w:color w:val="auto"/>
          <w:spacing w:val="-1"/>
          <w:sz w:val="24"/>
          <w:szCs w:val="24"/>
          <w:highlight w:val="none"/>
        </w:rPr>
        <w:t>投标文件需按以下要求签字、盖章：电子投标文件：</w:t>
      </w:r>
    </w:p>
    <w:p w14:paraId="2DBC6B6B">
      <w:pPr>
        <w:pageBreakBefore w:val="0"/>
        <w:kinsoku/>
        <w:wordWrap w:val="0"/>
        <w:overflowPunct/>
        <w:topLinePunct w:val="0"/>
        <w:bidi w:val="0"/>
        <w:spacing w:before="111" w:line="279" w:lineRule="auto"/>
        <w:ind w:right="133" w:firstLine="579"/>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w:t>
      </w:r>
      <w:r>
        <w:rPr>
          <w:rFonts w:hint="eastAsia" w:ascii="宋体" w:hAnsi="宋体" w:eastAsia="宋体" w:cs="宋体"/>
          <w:color w:val="auto"/>
          <w:spacing w:val="-3"/>
          <w:sz w:val="24"/>
          <w:szCs w:val="24"/>
          <w:highlight w:val="none"/>
        </w:rPr>
        <w:t>内容中凡注明“签字</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3"/>
          <w:sz w:val="24"/>
          <w:szCs w:val="24"/>
          <w:highlight w:val="none"/>
        </w:rPr>
        <w:t>”处由要求的人员签字或电子</w:t>
      </w:r>
      <w:r>
        <w:rPr>
          <w:rFonts w:hint="eastAsia" w:ascii="宋体" w:hAnsi="宋体" w:eastAsia="宋体" w:cs="宋体"/>
          <w:color w:val="auto"/>
          <w:spacing w:val="-2"/>
          <w:sz w:val="24"/>
          <w:szCs w:val="24"/>
          <w:highlight w:val="none"/>
        </w:rPr>
        <w:t>签章；凡注明“签字或盖章</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2"/>
          <w:sz w:val="24"/>
          <w:szCs w:val="24"/>
          <w:highlight w:val="none"/>
        </w:rPr>
        <w:t>”处由要求的人员签字或盖其私章（</w:t>
      </w:r>
      <w:r>
        <w:rPr>
          <w:rFonts w:hint="eastAsia" w:ascii="宋体" w:hAnsi="宋体" w:eastAsia="宋体" w:cs="宋体"/>
          <w:color w:val="auto"/>
          <w:spacing w:val="-2"/>
          <w:sz w:val="24"/>
          <w:szCs w:val="24"/>
          <w:highlight w:val="none"/>
          <w:lang w:val="en-US" w:eastAsia="zh-CN"/>
        </w:rPr>
        <w:t>含</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rPr>
        <w:t>凡注明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“签字并盖执业印章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”处由要求的人员签字并盖其执业印</w:t>
      </w:r>
      <w:r>
        <w:rPr>
          <w:rFonts w:hint="eastAsia" w:ascii="宋体" w:hAnsi="宋体" w:eastAsia="宋体" w:cs="宋体"/>
          <w:color w:val="auto"/>
          <w:spacing w:val="-2"/>
          <w:sz w:val="24"/>
          <w:szCs w:val="24"/>
          <w:highlight w:val="none"/>
        </w:rPr>
        <w:t>章。</w:t>
      </w:r>
    </w:p>
    <w:p w14:paraId="2324B4CD">
      <w:pPr>
        <w:pageBreakBefore w:val="0"/>
        <w:kinsoku/>
        <w:wordWrap w:val="0"/>
        <w:overflowPunct/>
        <w:topLinePunct w:val="0"/>
        <w:bidi w:val="0"/>
        <w:spacing w:before="112" w:line="264" w:lineRule="auto"/>
        <w:ind w:left="13" w:right="133" w:firstLine="565"/>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10.1.3.2</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投标文件封面、组成内容中凡要求录入投标人名称且注明“盖单</w:t>
      </w:r>
      <w:r>
        <w:rPr>
          <w:rFonts w:hint="eastAsia" w:ascii="宋体" w:hAnsi="宋体" w:eastAsia="宋体" w:cs="宋体"/>
          <w:color w:val="auto"/>
          <w:spacing w:val="-3"/>
          <w:sz w:val="24"/>
          <w:szCs w:val="24"/>
          <w:highlight w:val="none"/>
        </w:rPr>
        <w:t>位章</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3"/>
          <w:sz w:val="24"/>
          <w:szCs w:val="24"/>
          <w:highlight w:val="none"/>
        </w:rPr>
        <w:t>”处盖单位法人公章（</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3"/>
          <w:sz w:val="24"/>
          <w:szCs w:val="24"/>
          <w:highlight w:val="none"/>
        </w:rPr>
        <w:t>电子印章）。</w:t>
      </w:r>
    </w:p>
    <w:p w14:paraId="05343DCE">
      <w:pPr>
        <w:pageBreakBefore w:val="0"/>
        <w:kinsoku/>
        <w:wordWrap w:val="0"/>
        <w:overflowPunct/>
        <w:topLinePunct w:val="0"/>
        <w:bidi w:val="0"/>
        <w:spacing w:before="146" w:line="279" w:lineRule="auto"/>
        <w:ind w:left="16" w:right="135" w:firstLine="562"/>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10.1.3.3</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投标文件的签字均为签字人本人亲笔署名或签章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2"/>
          <w:sz w:val="24"/>
          <w:szCs w:val="24"/>
          <w:highlight w:val="none"/>
        </w:rPr>
        <w:t>其余部</w:t>
      </w:r>
      <w:r>
        <w:rPr>
          <w:rFonts w:hint="eastAsia" w:ascii="宋体" w:hAnsi="宋体" w:eastAsia="宋体" w:cs="宋体"/>
          <w:color w:val="auto"/>
          <w:spacing w:val="-1"/>
          <w:sz w:val="24"/>
          <w:szCs w:val="24"/>
          <w:highlight w:val="none"/>
        </w:rPr>
        <w:t>分的复印件无须另行签字、盖章。</w:t>
      </w:r>
    </w:p>
    <w:p w14:paraId="0328EA8C">
      <w:pPr>
        <w:pageBreakBefore w:val="0"/>
        <w:kinsoku/>
        <w:wordWrap w:val="0"/>
        <w:overflowPunct/>
        <w:topLinePunct w:val="0"/>
        <w:bidi w:val="0"/>
        <w:spacing w:before="146" w:line="279" w:lineRule="auto"/>
        <w:ind w:left="16" w:right="135" w:firstLine="562"/>
        <w:rPr>
          <w:rFonts w:hint="eastAsia" w:ascii="宋体" w:hAnsi="宋体" w:eastAsia="宋体" w:cs="宋体"/>
          <w:color w:val="auto"/>
          <w:spacing w:val="-1"/>
          <w:sz w:val="24"/>
          <w:szCs w:val="24"/>
          <w:highlight w:val="none"/>
        </w:rPr>
      </w:pPr>
      <w:bookmarkStart w:id="46" w:name="_Toc20223"/>
      <w:bookmarkStart w:id="47" w:name="_Toc21271"/>
      <w:r>
        <w:rPr>
          <w:rFonts w:hint="eastAsia" w:ascii="宋体" w:hAnsi="宋体" w:eastAsia="宋体" w:cs="宋体"/>
          <w:b/>
          <w:bCs/>
          <w:color w:val="auto"/>
          <w:spacing w:val="-1"/>
          <w:sz w:val="24"/>
          <w:szCs w:val="24"/>
          <w:highlight w:val="none"/>
        </w:rPr>
        <w:t>10.1.3.4</w:t>
      </w:r>
      <w:r>
        <w:rPr>
          <w:rFonts w:hint="eastAsia" w:ascii="宋体" w:hAnsi="宋体" w:eastAsia="宋体" w:cs="宋体"/>
          <w:color w:val="auto"/>
          <w:spacing w:val="-1"/>
          <w:sz w:val="24"/>
          <w:szCs w:val="24"/>
          <w:highlight w:val="none"/>
        </w:rPr>
        <w:t xml:space="preserve"> 联合体投标的，除《联合体协议书》外，由联合体牵头人按以上要求签亲笔署名或签章（</w:t>
      </w:r>
      <w:r>
        <w:rPr>
          <w:rFonts w:hint="eastAsia" w:ascii="宋体" w:hAnsi="宋体" w:eastAsia="宋体" w:cs="宋体"/>
          <w:color w:val="auto"/>
          <w:spacing w:val="-1"/>
          <w:sz w:val="24"/>
          <w:szCs w:val="24"/>
          <w:highlight w:val="none"/>
          <w:lang w:val="en-US" w:eastAsia="zh-CN"/>
        </w:rPr>
        <w:t>含</w:t>
      </w:r>
      <w:r>
        <w:rPr>
          <w:rFonts w:hint="eastAsia" w:ascii="宋体" w:hAnsi="宋体" w:eastAsia="宋体" w:cs="宋体"/>
          <w:color w:val="auto"/>
          <w:spacing w:val="-1"/>
          <w:sz w:val="24"/>
          <w:szCs w:val="24"/>
          <w:highlight w:val="none"/>
        </w:rPr>
        <w:t>电子印章）即可。</w:t>
      </w:r>
    </w:p>
    <w:p w14:paraId="77217396">
      <w:pPr>
        <w:pageBreakBefore w:val="0"/>
        <w:kinsoku/>
        <w:wordWrap w:val="0"/>
        <w:overflowPunct/>
        <w:topLinePunct w:val="0"/>
        <w:bidi w:val="0"/>
        <w:spacing w:before="155" w:line="219" w:lineRule="auto"/>
        <w:ind w:left="500"/>
        <w:outlineLvl w:val="3"/>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10.2  商务标书的编制要求</w:t>
      </w:r>
      <w:bookmarkEnd w:id="46"/>
      <w:bookmarkEnd w:id="47"/>
    </w:p>
    <w:p w14:paraId="3F39F9CA">
      <w:pPr>
        <w:pageBreakBefore w:val="0"/>
        <w:kinsoku/>
        <w:wordWrap w:val="0"/>
        <w:overflowPunct/>
        <w:topLinePunct w:val="0"/>
        <w:bidi w:val="0"/>
        <w:spacing w:before="157" w:line="219" w:lineRule="auto"/>
        <w:ind w:left="581"/>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10.2.1 </w:t>
      </w:r>
      <w:r>
        <w:rPr>
          <w:rFonts w:hint="eastAsia" w:ascii="宋体" w:hAnsi="宋体" w:eastAsia="宋体" w:cs="宋体"/>
          <w:color w:val="auto"/>
          <w:spacing w:val="-1"/>
          <w:sz w:val="24"/>
          <w:szCs w:val="24"/>
          <w:highlight w:val="none"/>
        </w:rPr>
        <w:t>商务标书包括但不限于以下内容：</w:t>
      </w:r>
    </w:p>
    <w:p w14:paraId="5C1D7577">
      <w:pPr>
        <w:pageBreakBefore w:val="0"/>
        <w:kinsoku/>
        <w:wordWrap w:val="0"/>
        <w:overflowPunct/>
        <w:topLinePunct w:val="0"/>
        <w:bidi w:val="0"/>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2F006AC4">
      <w:pPr>
        <w:pageBreakBefore w:val="0"/>
        <w:kinsoku/>
        <w:wordWrap w:val="0"/>
        <w:overflowPunct/>
        <w:topLinePunct w:val="0"/>
        <w:bidi w:val="0"/>
        <w:spacing w:before="153" w:line="222"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05BF4253">
      <w:pPr>
        <w:pageBreakBefore w:val="0"/>
        <w:kinsoku/>
        <w:wordWrap w:val="0"/>
        <w:overflowPunct/>
        <w:topLinePunct w:val="0"/>
        <w:bidi w:val="0"/>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（3）《投标函》（格式二</w:t>
      </w:r>
      <w:r>
        <w:rPr>
          <w:rFonts w:hint="eastAsia" w:ascii="宋体" w:hAnsi="宋体" w:eastAsia="宋体" w:cs="宋体"/>
          <w:color w:val="auto"/>
          <w:spacing w:val="1"/>
          <w:sz w:val="24"/>
          <w:szCs w:val="24"/>
          <w:highlight w:val="none"/>
        </w:rPr>
        <w:t>）；</w:t>
      </w:r>
    </w:p>
    <w:p w14:paraId="008F2B70">
      <w:pPr>
        <w:pageBreakBefore w:val="0"/>
        <w:kinsoku/>
        <w:wordWrap w:val="0"/>
        <w:overflowPunct/>
        <w:topLinePunct w:val="0"/>
        <w:bidi w:val="0"/>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（4）《各项承诺一览表》（格式三</w:t>
      </w:r>
      <w:r>
        <w:rPr>
          <w:rFonts w:hint="eastAsia" w:ascii="宋体" w:hAnsi="宋体" w:eastAsia="宋体" w:cs="宋体"/>
          <w:color w:val="auto"/>
          <w:spacing w:val="5"/>
          <w:sz w:val="24"/>
          <w:szCs w:val="24"/>
          <w:highlight w:val="none"/>
        </w:rPr>
        <w:t>）；</w:t>
      </w:r>
    </w:p>
    <w:p w14:paraId="4C11F4DE">
      <w:pPr>
        <w:pageBreakBefore w:val="0"/>
        <w:kinsoku/>
        <w:wordWrap w:val="0"/>
        <w:overflowPunct/>
        <w:topLinePunct w:val="0"/>
        <w:bidi w:val="0"/>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（5）《授权委托书》（格式四</w:t>
      </w:r>
      <w:r>
        <w:rPr>
          <w:rFonts w:hint="eastAsia" w:ascii="宋体" w:hAnsi="宋体" w:eastAsia="宋体" w:cs="宋体"/>
          <w:color w:val="auto"/>
          <w:spacing w:val="3"/>
          <w:sz w:val="24"/>
          <w:szCs w:val="24"/>
          <w:highlight w:val="none"/>
        </w:rPr>
        <w:t>）；</w:t>
      </w:r>
    </w:p>
    <w:p w14:paraId="3AA824F5">
      <w:pPr>
        <w:pageBreakBefore w:val="0"/>
        <w:kinsoku/>
        <w:wordWrap w:val="0"/>
        <w:overflowPunct/>
        <w:topLinePunct w:val="0"/>
        <w:bidi w:val="0"/>
        <w:spacing w:before="156"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（6）《法定代表人身份证明》（格式五</w:t>
      </w:r>
      <w:r>
        <w:rPr>
          <w:rFonts w:hint="eastAsia" w:ascii="宋体" w:hAnsi="宋体" w:eastAsia="宋体" w:cs="宋体"/>
          <w:color w:val="auto"/>
          <w:spacing w:val="7"/>
          <w:sz w:val="24"/>
          <w:szCs w:val="24"/>
          <w:highlight w:val="none"/>
        </w:rPr>
        <w:t>）；</w:t>
      </w:r>
    </w:p>
    <w:p w14:paraId="1349ECBD">
      <w:pPr>
        <w:pageBreakBefore w:val="0"/>
        <w:kinsoku/>
        <w:wordWrap w:val="0"/>
        <w:overflowPunct/>
        <w:topLinePunct w:val="0"/>
        <w:bidi w:val="0"/>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（7）《联合体协议书》（格式六）及所附资料；</w:t>
      </w:r>
    </w:p>
    <w:p w14:paraId="21D31AE5">
      <w:pPr>
        <w:pageBreakBefore w:val="0"/>
        <w:kinsoku/>
        <w:wordWrap w:val="0"/>
        <w:overflowPunct/>
        <w:topLinePunct w:val="0"/>
        <w:bidi w:val="0"/>
        <w:spacing w:before="153" w:line="309" w:lineRule="auto"/>
        <w:ind w:left="13" w:right="133"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（8）投标保证缴纳证明（投标人采用投标保证金的，附建</w:t>
      </w:r>
      <w:r>
        <w:rPr>
          <w:rFonts w:hint="eastAsia" w:ascii="宋体" w:hAnsi="宋体" w:eastAsia="宋体" w:cs="宋体"/>
          <w:color w:val="auto"/>
          <w:spacing w:val="1"/>
          <w:sz w:val="24"/>
          <w:szCs w:val="24"/>
          <w:highlight w:val="none"/>
        </w:rPr>
        <w:t>设工程交易系统《缴</w:t>
      </w:r>
      <w:r>
        <w:rPr>
          <w:rFonts w:hint="eastAsia" w:ascii="宋体" w:hAnsi="宋体" w:eastAsia="宋体" w:cs="宋体"/>
          <w:color w:val="auto"/>
          <w:spacing w:val="-1"/>
          <w:sz w:val="24"/>
          <w:szCs w:val="24"/>
          <w:highlight w:val="none"/>
        </w:rPr>
        <w:t>纳投标保证金通知书》页面截图和银行转账单彩色扫描件；采</w:t>
      </w:r>
      <w:r>
        <w:rPr>
          <w:rFonts w:hint="eastAsia" w:ascii="宋体" w:hAnsi="宋体" w:eastAsia="宋体" w:cs="宋体"/>
          <w:color w:val="auto"/>
          <w:spacing w:val="-2"/>
          <w:sz w:val="24"/>
          <w:szCs w:val="24"/>
          <w:highlight w:val="none"/>
        </w:rPr>
        <w:t>用投标保证担保的，附银行保函彩色扫描件；采用投标保证保险的，附电子保单和</w:t>
      </w:r>
      <w:r>
        <w:rPr>
          <w:rFonts w:hint="eastAsia" w:ascii="宋体" w:hAnsi="宋体" w:eastAsia="宋体" w:cs="宋体"/>
          <w:b/>
          <w:bCs/>
          <w:color w:val="auto"/>
          <w:spacing w:val="-2"/>
          <w:sz w:val="24"/>
          <w:szCs w:val="24"/>
          <w:highlight w:val="none"/>
        </w:rPr>
        <w:t>《韶关市公共资源交易一</w:t>
      </w:r>
      <w:r>
        <w:rPr>
          <w:rFonts w:hint="eastAsia" w:ascii="宋体" w:hAnsi="宋体" w:eastAsia="宋体" w:cs="宋体"/>
          <w:b/>
          <w:bCs/>
          <w:color w:val="auto"/>
          <w:spacing w:val="-3"/>
          <w:sz w:val="24"/>
          <w:szCs w:val="24"/>
          <w:highlight w:val="none"/>
        </w:rPr>
        <w:t>体化平台保证金缴纳信息》页面截图</w:t>
      </w:r>
      <w:r>
        <w:rPr>
          <w:rFonts w:hint="eastAsia" w:ascii="宋体" w:hAnsi="宋体" w:eastAsia="宋体" w:cs="宋体"/>
          <w:color w:val="auto"/>
          <w:spacing w:val="4"/>
          <w:sz w:val="24"/>
          <w:szCs w:val="24"/>
          <w:highlight w:val="none"/>
        </w:rPr>
        <w:t>）；</w:t>
      </w:r>
    </w:p>
    <w:p w14:paraId="1F2864F5">
      <w:pPr>
        <w:pageBreakBefore w:val="0"/>
        <w:kinsoku/>
        <w:wordWrap w:val="0"/>
        <w:overflowPunct/>
        <w:topLinePunct w:val="0"/>
        <w:bidi w:val="0"/>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（9）《投标人基本情况表》（格式七）及所附资料；</w:t>
      </w:r>
    </w:p>
    <w:p w14:paraId="64BC752D">
      <w:pPr>
        <w:pageBreakBefore w:val="0"/>
        <w:kinsoku/>
        <w:wordWrap w:val="0"/>
        <w:overflowPunct/>
        <w:topLinePunct w:val="0"/>
        <w:bidi w:val="0"/>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（10）《项目经理简历表》（格式八）及所附资料；</w:t>
      </w:r>
    </w:p>
    <w:p w14:paraId="10819BE7">
      <w:pPr>
        <w:pageBreakBefore w:val="0"/>
        <w:kinsoku/>
        <w:wordWrap w:val="0"/>
        <w:overflowPunct/>
        <w:topLinePunct w:val="0"/>
        <w:bidi w:val="0"/>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（11）《项目经理任职声明》（格式九</w:t>
      </w:r>
      <w:r>
        <w:rPr>
          <w:rFonts w:hint="eastAsia" w:ascii="宋体" w:hAnsi="宋体" w:eastAsia="宋体" w:cs="宋体"/>
          <w:color w:val="auto"/>
          <w:spacing w:val="7"/>
          <w:sz w:val="24"/>
          <w:szCs w:val="24"/>
          <w:highlight w:val="none"/>
        </w:rPr>
        <w:t>）；</w:t>
      </w:r>
    </w:p>
    <w:p w14:paraId="0891306A">
      <w:pPr>
        <w:pageBreakBefore w:val="0"/>
        <w:kinsoku/>
        <w:wordWrap w:val="0"/>
        <w:overflowPunct/>
        <w:topLinePunct w:val="0"/>
        <w:bidi w:val="0"/>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（12）《项目技术负责人简历表》（格式十）及所附资料；</w:t>
      </w:r>
    </w:p>
    <w:p w14:paraId="60800BB4">
      <w:pPr>
        <w:pageBreakBefore w:val="0"/>
        <w:kinsoku/>
        <w:wordWrap w:val="0"/>
        <w:overflowPunct/>
        <w:topLinePunct w:val="0"/>
        <w:bidi w:val="0"/>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（13）《项</w:t>
      </w:r>
      <w:bookmarkStart w:id="48" w:name="OLE_LINK7"/>
      <w:r>
        <w:rPr>
          <w:rFonts w:hint="eastAsia" w:ascii="宋体" w:hAnsi="宋体" w:eastAsia="宋体" w:cs="宋体"/>
          <w:color w:val="auto"/>
          <w:spacing w:val="-1"/>
          <w:sz w:val="24"/>
          <w:szCs w:val="24"/>
          <w:highlight w:val="none"/>
        </w:rPr>
        <w:t>目管理机构组成表》（格式十一）及</w:t>
      </w:r>
      <w:bookmarkEnd w:id="48"/>
      <w:r>
        <w:rPr>
          <w:rFonts w:hint="eastAsia" w:ascii="宋体" w:hAnsi="宋体" w:eastAsia="宋体" w:cs="宋体"/>
          <w:color w:val="auto"/>
          <w:spacing w:val="-1"/>
          <w:sz w:val="24"/>
          <w:szCs w:val="24"/>
          <w:highlight w:val="none"/>
        </w:rPr>
        <w:t>所附资料；</w:t>
      </w:r>
    </w:p>
    <w:p w14:paraId="7B74DB0B">
      <w:pPr>
        <w:pageBreakBefore w:val="0"/>
        <w:kinsoku/>
        <w:wordWrap w:val="0"/>
        <w:overflowPunct/>
        <w:topLinePunct w:val="0"/>
        <w:bidi w:val="0"/>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（14）本节第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4"/>
          <w:sz w:val="24"/>
          <w:szCs w:val="24"/>
          <w:highlight w:val="none"/>
        </w:rPr>
        <w:t>15.5.1</w:t>
      </w:r>
      <w:r>
        <w:rPr>
          <w:rFonts w:hint="eastAsia" w:ascii="宋体" w:hAnsi="宋体" w:eastAsia="宋体" w:cs="宋体"/>
          <w:color w:val="auto"/>
          <w:spacing w:val="-4"/>
          <w:sz w:val="24"/>
          <w:szCs w:val="24"/>
          <w:highlight w:val="none"/>
        </w:rPr>
        <w:t>目“评标方法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”要求提供的</w:t>
      </w:r>
      <w:r>
        <w:rPr>
          <w:rFonts w:hint="eastAsia" w:ascii="宋体" w:hAnsi="宋体" w:eastAsia="宋体" w:cs="宋体"/>
          <w:color w:val="auto"/>
          <w:spacing w:val="-5"/>
          <w:sz w:val="24"/>
          <w:szCs w:val="24"/>
          <w:highlight w:val="none"/>
        </w:rPr>
        <w:t>评审资料；</w:t>
      </w:r>
    </w:p>
    <w:p w14:paraId="4D717B1B">
      <w:pPr>
        <w:pageBreakBefore w:val="0"/>
        <w:kinsoku/>
        <w:wordWrap w:val="0"/>
        <w:overflowPunct/>
        <w:topLinePunct w:val="0"/>
        <w:bidi w:val="0"/>
        <w:spacing w:before="78" w:line="299" w:lineRule="auto"/>
        <w:ind w:left="8" w:right="61" w:firstLine="4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（15）投标人认为有必要补充的其他资料。（例如投标人已经工商变更，但其企</w:t>
      </w:r>
      <w:r>
        <w:rPr>
          <w:rFonts w:hint="eastAsia" w:ascii="宋体" w:hAnsi="宋体" w:eastAsia="宋体" w:cs="宋体"/>
          <w:color w:val="auto"/>
          <w:spacing w:val="-1"/>
          <w:sz w:val="24"/>
          <w:szCs w:val="24"/>
          <w:highlight w:val="none"/>
        </w:rPr>
        <w:t>业资质证书、安全生产许可证或其员工执业资格注册证书上的企</w:t>
      </w:r>
      <w:r>
        <w:rPr>
          <w:rFonts w:hint="eastAsia" w:ascii="宋体" w:hAnsi="宋体" w:eastAsia="宋体" w:cs="宋体"/>
          <w:color w:val="auto"/>
          <w:spacing w:val="-2"/>
          <w:sz w:val="24"/>
          <w:szCs w:val="24"/>
          <w:highlight w:val="none"/>
        </w:rPr>
        <w:t>业名称未能在投标期</w:t>
      </w:r>
      <w:r>
        <w:rPr>
          <w:rFonts w:hint="eastAsia" w:ascii="宋体" w:hAnsi="宋体" w:eastAsia="宋体" w:cs="宋体"/>
          <w:color w:val="auto"/>
          <w:spacing w:val="-1"/>
          <w:sz w:val="24"/>
          <w:szCs w:val="24"/>
          <w:highlight w:val="none"/>
        </w:rPr>
        <w:t>间完成变更的书面说明和佐证材料等）</w:t>
      </w:r>
    </w:p>
    <w:p w14:paraId="535D0001">
      <w:pPr>
        <w:pageBreakBefore w:val="0"/>
        <w:kinsoku/>
        <w:wordWrap w:val="0"/>
        <w:overflowPunct/>
        <w:topLinePunct w:val="0"/>
        <w:bidi w:val="0"/>
        <w:spacing w:before="155" w:line="262" w:lineRule="auto"/>
        <w:ind w:left="9" w:right="61" w:firstLine="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10.2.2  </w:t>
      </w:r>
      <w:r>
        <w:rPr>
          <w:rFonts w:hint="eastAsia" w:ascii="宋体" w:hAnsi="宋体" w:eastAsia="宋体" w:cs="宋体"/>
          <w:color w:val="auto"/>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z w:val="24"/>
          <w:szCs w:val="24"/>
          <w:highlight w:val="none"/>
        </w:rPr>
        <w:t>10.2.1</w:t>
      </w:r>
      <w:r>
        <w:rPr>
          <w:rFonts w:hint="eastAsia" w:ascii="宋体" w:hAnsi="宋体" w:eastAsia="宋体" w:cs="宋体"/>
          <w:color w:val="auto"/>
          <w:sz w:val="24"/>
          <w:szCs w:val="24"/>
          <w:highlight w:val="none"/>
        </w:rPr>
        <w:t>目中所列出的商务标书组成内容中，第（</w:t>
      </w:r>
      <w:r>
        <w:rPr>
          <w:rFonts w:hint="eastAsia" w:ascii="宋体" w:hAnsi="宋体" w:eastAsia="宋体" w:cs="宋体"/>
          <w:color w:val="auto"/>
          <w:spacing w:val="-1"/>
          <w:sz w:val="24"/>
          <w:szCs w:val="24"/>
          <w:highlight w:val="none"/>
        </w:rPr>
        <w:t>1）至第（13）项</w:t>
      </w:r>
      <w:r>
        <w:rPr>
          <w:rFonts w:hint="eastAsia" w:ascii="宋体" w:hAnsi="宋体" w:eastAsia="宋体" w:cs="宋体"/>
          <w:color w:val="auto"/>
          <w:sz w:val="24"/>
          <w:szCs w:val="24"/>
          <w:highlight w:val="none"/>
        </w:rPr>
        <w:t>所有投标人均应提供，</w:t>
      </w:r>
      <w:r>
        <w:rPr>
          <w:rFonts w:hint="eastAsia" w:ascii="宋体" w:hAnsi="宋体" w:eastAsia="宋体" w:cs="宋体"/>
          <w:b/>
          <w:bCs/>
          <w:color w:val="auto"/>
          <w:sz w:val="24"/>
          <w:szCs w:val="24"/>
          <w:highlight w:val="none"/>
        </w:rPr>
        <w:t>但非联合体投标的，</w:t>
      </w:r>
      <w:r>
        <w:rPr>
          <w:rFonts w:hint="eastAsia" w:ascii="宋体" w:hAnsi="宋体" w:eastAsia="宋体" w:cs="宋体"/>
          <w:b/>
          <w:bCs/>
          <w:color w:val="auto"/>
          <w:spacing w:val="-1"/>
          <w:sz w:val="24"/>
          <w:szCs w:val="24"/>
          <w:highlight w:val="none"/>
        </w:rPr>
        <w:t>无需提供第（7）项内容。</w:t>
      </w:r>
    </w:p>
    <w:p w14:paraId="2E952296">
      <w:pPr>
        <w:pageBreakBefore w:val="0"/>
        <w:kinsoku/>
        <w:wordWrap w:val="0"/>
        <w:overflowPunct/>
        <w:topLinePunct w:val="0"/>
        <w:bidi w:val="0"/>
        <w:spacing w:before="199" w:line="279" w:lineRule="auto"/>
        <w:ind w:right="61"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10.2.3 </w:t>
      </w:r>
      <w:r>
        <w:rPr>
          <w:rFonts w:hint="eastAsia" w:ascii="宋体" w:hAnsi="宋体" w:eastAsia="宋体" w:cs="宋体"/>
          <w:color w:val="auto"/>
          <w:spacing w:val="-8"/>
          <w:sz w:val="24"/>
          <w:szCs w:val="24"/>
          <w:highlight w:val="none"/>
        </w:rPr>
        <w:t>商务标书的组成内容按本节第 10.2.1 目规定的顺序整理、编排后，逐页（页</w:t>
      </w:r>
      <w:r>
        <w:rPr>
          <w:rFonts w:hint="eastAsia" w:ascii="宋体" w:hAnsi="宋体" w:eastAsia="宋体" w:cs="宋体"/>
          <w:color w:val="auto"/>
          <w:spacing w:val="-1"/>
          <w:sz w:val="24"/>
          <w:szCs w:val="24"/>
          <w:highlight w:val="none"/>
        </w:rPr>
        <w:t>码起始从封面开始）连续标记页码。</w:t>
      </w:r>
    </w:p>
    <w:p w14:paraId="217F5B26">
      <w:pPr>
        <w:pStyle w:val="3"/>
        <w:pageBreakBefore w:val="0"/>
        <w:kinsoku/>
        <w:wordWrap w:val="0"/>
        <w:overflowPunct/>
        <w:topLinePunct w:val="0"/>
        <w:bidi w:val="0"/>
        <w:spacing w:line="257" w:lineRule="auto"/>
        <w:rPr>
          <w:rFonts w:hint="eastAsia" w:ascii="宋体" w:hAnsi="宋体" w:eastAsia="宋体" w:cs="宋体"/>
          <w:color w:val="auto"/>
          <w:highlight w:val="none"/>
        </w:rPr>
      </w:pPr>
    </w:p>
    <w:p w14:paraId="69818CE4">
      <w:pPr>
        <w:pageBreakBefore w:val="0"/>
        <w:kinsoku/>
        <w:wordWrap w:val="0"/>
        <w:overflowPunct/>
        <w:topLinePunct w:val="0"/>
        <w:bidi w:val="0"/>
        <w:spacing w:before="78" w:line="219" w:lineRule="auto"/>
        <w:ind w:left="496"/>
        <w:outlineLvl w:val="3"/>
        <w:rPr>
          <w:rFonts w:hint="eastAsia" w:ascii="宋体" w:hAnsi="宋体" w:eastAsia="宋体" w:cs="宋体"/>
          <w:b/>
          <w:bCs/>
          <w:color w:val="auto"/>
          <w:sz w:val="24"/>
          <w:szCs w:val="24"/>
          <w:highlight w:val="none"/>
        </w:rPr>
      </w:pPr>
      <w:bookmarkStart w:id="49" w:name="_Toc10602"/>
      <w:bookmarkStart w:id="50" w:name="_Toc29370"/>
      <w:r>
        <w:rPr>
          <w:rFonts w:hint="eastAsia" w:ascii="宋体" w:hAnsi="宋体" w:eastAsia="宋体" w:cs="宋体"/>
          <w:b/>
          <w:bCs/>
          <w:color w:val="auto"/>
          <w:spacing w:val="-2"/>
          <w:sz w:val="24"/>
          <w:szCs w:val="24"/>
          <w:highlight w:val="none"/>
        </w:rPr>
        <w:t>10.3  经济标书的编制要求</w:t>
      </w:r>
      <w:bookmarkEnd w:id="49"/>
      <w:bookmarkEnd w:id="50"/>
    </w:p>
    <w:p w14:paraId="60C387BC">
      <w:pPr>
        <w:pageBreakBefore w:val="0"/>
        <w:kinsoku/>
        <w:wordWrap w:val="0"/>
        <w:overflowPunct/>
        <w:topLinePunct w:val="0"/>
        <w:bidi w:val="0"/>
        <w:spacing w:before="154"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10.3.1  </w:t>
      </w:r>
      <w:r>
        <w:rPr>
          <w:rFonts w:hint="eastAsia" w:ascii="宋体" w:hAnsi="宋体" w:eastAsia="宋体" w:cs="宋体"/>
          <w:color w:val="auto"/>
          <w:spacing w:val="-1"/>
          <w:sz w:val="24"/>
          <w:szCs w:val="24"/>
          <w:highlight w:val="none"/>
        </w:rPr>
        <w:t>经济标书包括以下内容：</w:t>
      </w:r>
    </w:p>
    <w:p w14:paraId="268DB103">
      <w:pPr>
        <w:pageBreakBefore w:val="0"/>
        <w:kinsoku/>
        <w:wordWrap w:val="0"/>
        <w:overflowPunct/>
        <w:topLinePunct w:val="0"/>
        <w:bidi w:val="0"/>
        <w:spacing w:before="156"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00F8FF75">
      <w:pPr>
        <w:pageBreakBefore w:val="0"/>
        <w:kinsoku/>
        <w:wordWrap w:val="0"/>
        <w:overflowPunct/>
        <w:topLinePunct w:val="0"/>
        <w:bidi w:val="0"/>
        <w:spacing w:before="153"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4A81E499">
      <w:pPr>
        <w:pageBreakBefore w:val="0"/>
        <w:kinsoku/>
        <w:wordWrap w:val="0"/>
        <w:overflowPunct/>
        <w:topLinePunct w:val="0"/>
        <w:bidi w:val="0"/>
        <w:spacing w:before="150"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（3）《投标总价》；</w:t>
      </w:r>
    </w:p>
    <w:p w14:paraId="00EB23A8">
      <w:pPr>
        <w:pageBreakBefore w:val="0"/>
        <w:kinsoku/>
        <w:wordWrap w:val="0"/>
        <w:overflowPunct/>
        <w:topLinePunct w:val="0"/>
        <w:bidi w:val="0"/>
        <w:spacing w:before="150" w:line="309" w:lineRule="auto"/>
        <w:ind w:left="8" w:firstLine="482"/>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说明：《投标总价》的格式按照《建设工程工程量清单计价</w:t>
      </w:r>
      <w:r>
        <w:rPr>
          <w:rFonts w:hint="eastAsia" w:ascii="宋体" w:hAnsi="宋体" w:eastAsia="宋体" w:cs="宋体"/>
          <w:color w:val="auto"/>
          <w:spacing w:val="-2"/>
          <w:sz w:val="24"/>
          <w:szCs w:val="24"/>
          <w:highlight w:val="none"/>
          <w:lang w:val="en-US" w:eastAsia="zh-CN"/>
        </w:rPr>
        <w:t>标准</w:t>
      </w:r>
      <w:r>
        <w:rPr>
          <w:rFonts w:hint="eastAsia" w:ascii="宋体" w:hAnsi="宋体" w:eastAsia="宋体" w:cs="宋体"/>
          <w:color w:val="auto"/>
          <w:spacing w:val="-2"/>
          <w:sz w:val="24"/>
          <w:szCs w:val="24"/>
          <w:highlight w:val="none"/>
        </w:rPr>
        <w:t>》（GB50500—20</w:t>
      </w:r>
      <w:r>
        <w:rPr>
          <w:rFonts w:hint="eastAsia" w:ascii="宋体" w:hAnsi="宋体" w:eastAsia="宋体" w:cs="宋体"/>
          <w:color w:val="auto"/>
          <w:spacing w:val="-2"/>
          <w:sz w:val="24"/>
          <w:szCs w:val="24"/>
          <w:highlight w:val="none"/>
          <w:lang w:val="en-US" w:eastAsia="zh-CN"/>
        </w:rPr>
        <w:t>24</w:t>
      </w:r>
      <w:r>
        <w:rPr>
          <w:rFonts w:hint="eastAsia" w:ascii="宋体" w:hAnsi="宋体" w:eastAsia="宋体" w:cs="宋体"/>
          <w:color w:val="auto"/>
          <w:spacing w:val="-2"/>
          <w:sz w:val="24"/>
          <w:szCs w:val="24"/>
          <w:highlight w:val="none"/>
        </w:rPr>
        <w:t>）执行，并应满足以下要求：</w:t>
      </w:r>
    </w:p>
    <w:p w14:paraId="606CB525">
      <w:pPr>
        <w:pageBreakBefore w:val="0"/>
        <w:kinsoku/>
        <w:wordWrap w:val="0"/>
        <w:overflowPunct/>
        <w:topLinePunct w:val="0"/>
        <w:bidi w:val="0"/>
        <w:spacing w:before="150" w:line="309" w:lineRule="auto"/>
        <w:ind w:left="8"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a</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color w:val="auto"/>
          <w:spacing w:val="-2"/>
          <w:sz w:val="24"/>
          <w:szCs w:val="24"/>
          <w:highlight w:val="none"/>
        </w:rPr>
        <w:t>．《投标总价扉页》后应附编制人的造价工程师注册证书彩色扫描件（须扫描至变更注册栏，</w:t>
      </w:r>
      <w:r>
        <w:rPr>
          <w:rFonts w:hint="eastAsia" w:ascii="宋体" w:hAnsi="宋体" w:eastAsia="宋体" w:cs="宋体"/>
          <w:b/>
          <w:bCs/>
          <w:color w:val="auto"/>
          <w:spacing w:val="-2"/>
          <w:sz w:val="24"/>
          <w:szCs w:val="24"/>
          <w:highlight w:val="none"/>
        </w:rPr>
        <w:t>一级造价师或二级造价师均可提供电子证书</w:t>
      </w:r>
      <w:r>
        <w:rPr>
          <w:rFonts w:hint="eastAsia" w:ascii="宋体" w:hAnsi="宋体" w:eastAsia="宋体" w:cs="宋体"/>
          <w:color w:val="auto"/>
          <w:spacing w:val="-2"/>
          <w:sz w:val="24"/>
          <w:szCs w:val="24"/>
          <w:highlight w:val="none"/>
        </w:rPr>
        <w:t>）；投标人委托造价咨询单位编制《投标总价》的，在该扉页“投标人 ”栏目加盖造价</w:t>
      </w:r>
      <w:r>
        <w:rPr>
          <w:rFonts w:hint="eastAsia" w:ascii="宋体" w:hAnsi="宋体" w:eastAsia="宋体" w:cs="宋体"/>
          <w:color w:val="auto"/>
          <w:spacing w:val="-7"/>
          <w:sz w:val="24"/>
          <w:szCs w:val="24"/>
          <w:highlight w:val="none"/>
        </w:rPr>
        <w:t>咨询人公章，</w:t>
      </w:r>
      <w:r>
        <w:rPr>
          <w:rFonts w:hint="eastAsia" w:ascii="宋体" w:hAnsi="宋体" w:eastAsia="宋体" w:cs="宋体"/>
          <w:color w:val="auto"/>
          <w:spacing w:val="-1"/>
          <w:sz w:val="24"/>
          <w:szCs w:val="24"/>
          <w:highlight w:val="none"/>
        </w:rPr>
        <w:t>并在该扉页后附造价咨询人的营业执照副本彩色扫描件。</w:t>
      </w:r>
    </w:p>
    <w:p w14:paraId="196E6AD7">
      <w:pPr>
        <w:pageBreakBefore w:val="0"/>
        <w:kinsoku/>
        <w:wordWrap w:val="0"/>
        <w:overflowPunct/>
        <w:topLinePunct w:val="0"/>
        <w:bidi w:val="0"/>
        <w:spacing w:before="119" w:line="314" w:lineRule="auto"/>
        <w:ind w:left="10" w:right="6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b.  </w:t>
      </w:r>
      <w:r>
        <w:rPr>
          <w:rFonts w:hint="eastAsia" w:ascii="宋体" w:hAnsi="宋体" w:eastAsia="宋体" w:cs="宋体"/>
          <w:color w:val="auto"/>
          <w:spacing w:val="2"/>
          <w:sz w:val="24"/>
          <w:szCs w:val="24"/>
          <w:highlight w:val="none"/>
        </w:rPr>
        <w:t>投标人认为有必要补充的其他资料（例如关于投标总价下浮率超过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
          <w:sz w:val="24"/>
          <w:szCs w:val="24"/>
          <w:highlight w:val="none"/>
        </w:rPr>
        <w:t>15%的书</w:t>
      </w:r>
      <w:r>
        <w:rPr>
          <w:rFonts w:hint="eastAsia" w:ascii="宋体" w:hAnsi="宋体" w:eastAsia="宋体" w:cs="宋体"/>
          <w:color w:val="auto"/>
          <w:spacing w:val="-2"/>
          <w:sz w:val="24"/>
          <w:szCs w:val="24"/>
          <w:highlight w:val="none"/>
        </w:rPr>
        <w:t>面说明和佐证材料）。</w:t>
      </w:r>
    </w:p>
    <w:p w14:paraId="4401C419">
      <w:pPr>
        <w:pageBreakBefore w:val="0"/>
        <w:kinsoku/>
        <w:wordWrap w:val="0"/>
        <w:overflowPunct/>
        <w:topLinePunct w:val="0"/>
        <w:bidi w:val="0"/>
        <w:spacing w:before="99" w:line="280" w:lineRule="auto"/>
        <w:ind w:left="10" w:right="63"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10.3.2  </w:t>
      </w:r>
      <w:r>
        <w:rPr>
          <w:rFonts w:hint="eastAsia" w:ascii="宋体" w:hAnsi="宋体" w:eastAsia="宋体" w:cs="宋体"/>
          <w:color w:val="auto"/>
          <w:spacing w:val="-3"/>
          <w:sz w:val="24"/>
          <w:szCs w:val="24"/>
          <w:highlight w:val="none"/>
        </w:rPr>
        <w:t>本节第</w:t>
      </w:r>
      <w:r>
        <w:rPr>
          <w:rFonts w:hint="eastAsia" w:ascii="宋体" w:hAnsi="宋体" w:eastAsia="宋体" w:cs="宋体"/>
          <w:color w:val="auto"/>
          <w:spacing w:val="-38"/>
          <w:sz w:val="24"/>
          <w:szCs w:val="24"/>
          <w:highlight w:val="none"/>
        </w:rPr>
        <w:t xml:space="preserve"> </w:t>
      </w:r>
      <w:r>
        <w:rPr>
          <w:rFonts w:hint="eastAsia" w:ascii="宋体" w:hAnsi="宋体" w:eastAsia="宋体" w:cs="宋体"/>
          <w:b/>
          <w:bCs/>
          <w:color w:val="auto"/>
          <w:spacing w:val="-3"/>
          <w:sz w:val="24"/>
          <w:szCs w:val="24"/>
          <w:highlight w:val="none"/>
        </w:rPr>
        <w:t>10.3.1</w:t>
      </w:r>
      <w:r>
        <w:rPr>
          <w:rFonts w:hint="eastAsia" w:ascii="宋体" w:hAnsi="宋体" w:eastAsia="宋体" w:cs="宋体"/>
          <w:color w:val="auto"/>
          <w:spacing w:val="-3"/>
          <w:sz w:val="24"/>
          <w:szCs w:val="24"/>
          <w:highlight w:val="none"/>
        </w:rPr>
        <w:t>目中所列出的经济标书组成内容中，第（1）至第（3）项所</w:t>
      </w:r>
      <w:r>
        <w:rPr>
          <w:rFonts w:hint="eastAsia" w:ascii="宋体" w:hAnsi="宋体" w:eastAsia="宋体" w:cs="宋体"/>
          <w:color w:val="auto"/>
          <w:spacing w:val="-2"/>
          <w:sz w:val="24"/>
          <w:szCs w:val="24"/>
          <w:highlight w:val="none"/>
        </w:rPr>
        <w:t>有投标人均应提供。</w:t>
      </w:r>
    </w:p>
    <w:p w14:paraId="1CC63C36">
      <w:pPr>
        <w:pageBreakBefore w:val="0"/>
        <w:kinsoku/>
        <w:wordWrap w:val="0"/>
        <w:overflowPunct/>
        <w:topLinePunct w:val="0"/>
        <w:bidi w:val="0"/>
        <w:spacing w:before="155" w:line="279" w:lineRule="auto"/>
        <w:ind w:left="8" w:right="61"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10.3.3</w:t>
      </w:r>
      <w:r>
        <w:rPr>
          <w:rFonts w:hint="eastAsia" w:ascii="宋体" w:hAnsi="宋体" w:eastAsia="宋体" w:cs="宋体"/>
          <w:b/>
          <w:bCs/>
          <w:color w:val="auto"/>
          <w:spacing w:val="12"/>
          <w:sz w:val="24"/>
          <w:szCs w:val="24"/>
          <w:highlight w:val="none"/>
        </w:rPr>
        <w:t xml:space="preserve"> </w:t>
      </w:r>
      <w:r>
        <w:rPr>
          <w:rFonts w:hint="eastAsia" w:ascii="宋体" w:hAnsi="宋体" w:eastAsia="宋体" w:cs="宋体"/>
          <w:color w:val="auto"/>
          <w:spacing w:val="-10"/>
          <w:sz w:val="24"/>
          <w:szCs w:val="24"/>
          <w:highlight w:val="none"/>
        </w:rPr>
        <w:t>经济标书的组成内容按本节第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w:t>
      </w:r>
      <w:r>
        <w:rPr>
          <w:rFonts w:hint="eastAsia" w:ascii="宋体" w:hAnsi="宋体" w:eastAsia="宋体" w:cs="宋体"/>
          <w:color w:val="auto"/>
          <w:spacing w:val="-11"/>
          <w:sz w:val="24"/>
          <w:szCs w:val="24"/>
          <w:highlight w:val="none"/>
        </w:rPr>
        <w:t>.3.1 目规定的顺序整理、编排后，逐页（页</w:t>
      </w:r>
      <w:r>
        <w:rPr>
          <w:rFonts w:hint="eastAsia" w:ascii="宋体" w:hAnsi="宋体" w:eastAsia="宋体" w:cs="宋体"/>
          <w:color w:val="auto"/>
          <w:spacing w:val="-1"/>
          <w:sz w:val="24"/>
          <w:szCs w:val="24"/>
          <w:highlight w:val="none"/>
        </w:rPr>
        <w:t>码起始从封面开始）连续标记页码。</w:t>
      </w:r>
    </w:p>
    <w:p w14:paraId="0B1B2F50">
      <w:pPr>
        <w:pageBreakBefore w:val="0"/>
        <w:kinsoku/>
        <w:wordWrap w:val="0"/>
        <w:overflowPunct/>
        <w:topLinePunct w:val="0"/>
        <w:bidi w:val="0"/>
        <w:spacing w:before="82" w:line="213" w:lineRule="auto"/>
        <w:ind w:left="496"/>
        <w:outlineLvl w:val="3"/>
        <w:rPr>
          <w:rFonts w:hint="eastAsia" w:ascii="宋体" w:hAnsi="宋体" w:eastAsia="宋体" w:cs="宋体"/>
          <w:b/>
          <w:bCs/>
          <w:color w:val="auto"/>
          <w:sz w:val="25"/>
          <w:szCs w:val="25"/>
          <w:highlight w:val="none"/>
        </w:rPr>
      </w:pPr>
      <w:r>
        <w:rPr>
          <w:rFonts w:hint="eastAsia" w:ascii="宋体" w:hAnsi="宋体" w:eastAsia="宋体" w:cs="宋体"/>
          <w:b/>
          <w:bCs/>
          <w:color w:val="auto"/>
          <w:spacing w:val="-3"/>
          <w:sz w:val="24"/>
          <w:szCs w:val="24"/>
          <w:highlight w:val="none"/>
        </w:rPr>
        <w:t>10.4  施工组织设计的编制要求</w:t>
      </w:r>
    </w:p>
    <w:p w14:paraId="17BD1E03">
      <w:pPr>
        <w:pageBreakBefore w:val="0"/>
        <w:kinsoku/>
        <w:wordWrap w:val="0"/>
        <w:overflowPunct/>
        <w:topLinePunct w:val="0"/>
        <w:bidi w:val="0"/>
        <w:spacing w:before="151"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10.4.1 </w:t>
      </w:r>
      <w:r>
        <w:rPr>
          <w:rFonts w:hint="eastAsia" w:ascii="宋体" w:hAnsi="宋体" w:eastAsia="宋体" w:cs="宋体"/>
          <w:color w:val="auto"/>
          <w:spacing w:val="-1"/>
          <w:sz w:val="24"/>
          <w:szCs w:val="24"/>
          <w:highlight w:val="none"/>
        </w:rPr>
        <w:t>施工组织设计的编制依据包括且不限于：</w:t>
      </w:r>
    </w:p>
    <w:p w14:paraId="689C3E79">
      <w:pPr>
        <w:pageBreakBefore w:val="0"/>
        <w:kinsoku/>
        <w:wordWrap w:val="0"/>
        <w:overflowPunct/>
        <w:topLinePunct w:val="0"/>
        <w:bidi w:val="0"/>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（1）招标文件及其答疑（或修改）公告；</w:t>
      </w:r>
    </w:p>
    <w:p w14:paraId="2DC47AC1">
      <w:pPr>
        <w:pageBreakBefore w:val="0"/>
        <w:kinsoku/>
        <w:wordWrap w:val="0"/>
        <w:overflowPunct/>
        <w:topLinePunct w:val="0"/>
        <w:bidi w:val="0"/>
        <w:spacing w:before="156" w:line="219" w:lineRule="auto"/>
        <w:ind w:left="501"/>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（2）施工图及相关资料；</w:t>
      </w:r>
    </w:p>
    <w:p w14:paraId="3D59EE93">
      <w:pPr>
        <w:pageBreakBefore w:val="0"/>
        <w:kinsoku/>
        <w:wordWrap w:val="0"/>
        <w:overflowPunct/>
        <w:topLinePunct w:val="0"/>
        <w:bidi w:val="0"/>
        <w:spacing w:before="156" w:line="219" w:lineRule="auto"/>
        <w:ind w:left="501"/>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（3）施工现场情况、工程特点；</w:t>
      </w:r>
    </w:p>
    <w:p w14:paraId="1648F126">
      <w:pPr>
        <w:pageBreakBefore w:val="0"/>
        <w:kinsoku/>
        <w:wordWrap w:val="0"/>
        <w:overflowPunct/>
        <w:topLinePunct w:val="0"/>
        <w:bidi w:val="0"/>
        <w:spacing w:before="156" w:line="219" w:lineRule="auto"/>
        <w:ind w:left="501"/>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（4）相关法律、法规、规定；</w:t>
      </w:r>
    </w:p>
    <w:p w14:paraId="2A7FD145">
      <w:pPr>
        <w:pageBreakBefore w:val="0"/>
        <w:kinsoku/>
        <w:wordWrap w:val="0"/>
        <w:overflowPunct/>
        <w:topLinePunct w:val="0"/>
        <w:bidi w:val="0"/>
        <w:spacing w:before="153" w:line="299" w:lineRule="auto"/>
        <w:ind w:left="10" w:right="21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（5）国家、广东省、韶关市关于施工现场管理、施工工艺</w:t>
      </w:r>
      <w:r>
        <w:rPr>
          <w:rFonts w:hint="eastAsia" w:ascii="宋体" w:hAnsi="宋体" w:eastAsia="宋体" w:cs="宋体"/>
          <w:color w:val="auto"/>
          <w:spacing w:val="1"/>
          <w:sz w:val="24"/>
          <w:szCs w:val="24"/>
          <w:highlight w:val="none"/>
        </w:rPr>
        <w:t>、绿色施工、安全防</w:t>
      </w:r>
      <w:r>
        <w:rPr>
          <w:rFonts w:hint="eastAsia" w:ascii="宋体" w:hAnsi="宋体" w:eastAsia="宋体" w:cs="宋体"/>
          <w:color w:val="auto"/>
          <w:spacing w:val="-1"/>
          <w:sz w:val="24"/>
          <w:szCs w:val="24"/>
          <w:highlight w:val="none"/>
        </w:rPr>
        <w:t>护、文明施工、环境保护等方面的标准、规范、技术资料。</w:t>
      </w:r>
      <w:r>
        <w:rPr>
          <w:rFonts w:hint="eastAsia" w:ascii="宋体" w:hAnsi="宋体" w:eastAsia="宋体" w:cs="宋体"/>
          <w:color w:val="auto"/>
          <w:spacing w:val="-2"/>
          <w:sz w:val="24"/>
          <w:szCs w:val="24"/>
          <w:highlight w:val="none"/>
        </w:rPr>
        <w:t>如《广东省住房和城乡建</w:t>
      </w:r>
      <w:r>
        <w:rPr>
          <w:rFonts w:hint="eastAsia" w:ascii="宋体" w:hAnsi="宋体" w:eastAsia="宋体" w:cs="宋体"/>
          <w:color w:val="auto"/>
          <w:sz w:val="24"/>
          <w:szCs w:val="24"/>
          <w:highlight w:val="none"/>
        </w:rPr>
        <w:t>设厅绿色施工导则》《广东省建设工程施工扬尘污染防</w:t>
      </w:r>
      <w:r>
        <w:rPr>
          <w:rFonts w:hint="eastAsia" w:ascii="宋体" w:hAnsi="宋体" w:eastAsia="宋体" w:cs="宋体"/>
          <w:color w:val="auto"/>
          <w:spacing w:val="-1"/>
          <w:sz w:val="24"/>
          <w:szCs w:val="24"/>
          <w:highlight w:val="none"/>
        </w:rPr>
        <w:t>治管理办法（试行）》等；</w:t>
      </w:r>
    </w:p>
    <w:p w14:paraId="0414405A">
      <w:pPr>
        <w:pageBreakBefore w:val="0"/>
        <w:kinsoku/>
        <w:wordWrap w:val="0"/>
        <w:overflowPunct/>
        <w:topLinePunct w:val="0"/>
        <w:bidi w:val="0"/>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（6）企业内部标准、工法。</w:t>
      </w:r>
    </w:p>
    <w:p w14:paraId="04BCFA9F">
      <w:pPr>
        <w:pageBreakBefore w:val="0"/>
        <w:kinsoku/>
        <w:wordWrap w:val="0"/>
        <w:overflowPunct/>
        <w:topLinePunct w:val="0"/>
        <w:bidi w:val="0"/>
        <w:spacing w:before="15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10.4.2 </w:t>
      </w:r>
      <w:r>
        <w:rPr>
          <w:rFonts w:hint="eastAsia" w:ascii="宋体" w:hAnsi="宋体" w:eastAsia="宋体" w:cs="宋体"/>
          <w:color w:val="auto"/>
          <w:spacing w:val="-1"/>
          <w:sz w:val="24"/>
          <w:szCs w:val="24"/>
          <w:highlight w:val="none"/>
        </w:rPr>
        <w:t>施工组织设计包括但不限于以下内容：</w:t>
      </w:r>
    </w:p>
    <w:p w14:paraId="76C10851">
      <w:pPr>
        <w:pageBreakBefore w:val="0"/>
        <w:kinsoku/>
        <w:wordWrap w:val="0"/>
        <w:overflowPunct/>
        <w:topLinePunct w:val="0"/>
        <w:bidi w:val="0"/>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0A01C952">
      <w:pPr>
        <w:pageBreakBefore w:val="0"/>
        <w:kinsoku/>
        <w:wordWrap w:val="0"/>
        <w:overflowPunct/>
        <w:topLinePunct w:val="0"/>
        <w:bidi w:val="0"/>
        <w:spacing w:before="156"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1106CEB1">
      <w:pPr>
        <w:pageBreakBefore w:val="0"/>
        <w:kinsoku/>
        <w:wordWrap w:val="0"/>
        <w:overflowPunct/>
        <w:topLinePunct w:val="0"/>
        <w:bidi w:val="0"/>
        <w:spacing w:before="150"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（3）总体概述（包括施工程序总体设想及施工段划分等内容</w:t>
      </w:r>
      <w:r>
        <w:rPr>
          <w:rFonts w:hint="eastAsia" w:ascii="宋体" w:hAnsi="宋体" w:eastAsia="宋体" w:cs="宋体"/>
          <w:color w:val="auto"/>
          <w:spacing w:val="2"/>
          <w:sz w:val="24"/>
          <w:szCs w:val="24"/>
          <w:highlight w:val="none"/>
        </w:rPr>
        <w:t>）；</w:t>
      </w:r>
    </w:p>
    <w:p w14:paraId="6F074A0D">
      <w:pPr>
        <w:pageBreakBefore w:val="0"/>
        <w:kinsoku/>
        <w:wordWrap w:val="0"/>
        <w:overflowPunct/>
        <w:topLinePunct w:val="0"/>
        <w:bidi w:val="0"/>
        <w:spacing w:before="154" w:line="299" w:lineRule="auto"/>
        <w:ind w:left="9" w:right="21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（4）施工总进度计划及保证措施（包括进度管理目标；以</w:t>
      </w:r>
      <w:r>
        <w:rPr>
          <w:rFonts w:hint="eastAsia" w:ascii="宋体" w:hAnsi="宋体" w:eastAsia="宋体" w:cs="宋体"/>
          <w:color w:val="auto"/>
          <w:spacing w:val="1"/>
          <w:sz w:val="24"/>
          <w:szCs w:val="24"/>
          <w:highlight w:val="none"/>
        </w:rPr>
        <w:t>横道图或标明关键线</w:t>
      </w:r>
      <w:r>
        <w:rPr>
          <w:rFonts w:hint="eastAsia" w:ascii="宋体" w:hAnsi="宋体" w:eastAsia="宋体" w:cs="宋体"/>
          <w:color w:val="auto"/>
          <w:spacing w:val="-1"/>
          <w:sz w:val="24"/>
          <w:szCs w:val="24"/>
          <w:highlight w:val="none"/>
        </w:rPr>
        <w:t>路的网络进度计划；保障进度计划需要的人、材、机需求计划</w:t>
      </w:r>
      <w:r>
        <w:rPr>
          <w:rFonts w:hint="eastAsia" w:ascii="宋体" w:hAnsi="宋体" w:eastAsia="宋体" w:cs="宋体"/>
          <w:color w:val="auto"/>
          <w:spacing w:val="-2"/>
          <w:sz w:val="24"/>
          <w:szCs w:val="24"/>
          <w:highlight w:val="none"/>
        </w:rPr>
        <w:t>及保证措施；违约责任承诺等内容</w:t>
      </w:r>
      <w:r>
        <w:rPr>
          <w:rFonts w:hint="eastAsia" w:ascii="宋体" w:hAnsi="宋体" w:eastAsia="宋体" w:cs="宋体"/>
          <w:color w:val="auto"/>
          <w:sz w:val="24"/>
          <w:szCs w:val="24"/>
          <w:highlight w:val="none"/>
        </w:rPr>
        <w:t>）；</w:t>
      </w:r>
    </w:p>
    <w:p w14:paraId="41E9AB7A">
      <w:pPr>
        <w:pageBreakBefore w:val="0"/>
        <w:kinsoku/>
        <w:wordWrap w:val="0"/>
        <w:overflowPunct/>
        <w:topLinePunct w:val="0"/>
        <w:bidi w:val="0"/>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（5）质量保证措施（包括质量管理目标；相应保证措施；违约责任承诺</w:t>
      </w:r>
      <w:r>
        <w:rPr>
          <w:rFonts w:hint="eastAsia" w:ascii="宋体" w:hAnsi="宋体" w:eastAsia="宋体" w:cs="宋体"/>
          <w:color w:val="auto"/>
          <w:spacing w:val="-6"/>
          <w:sz w:val="24"/>
          <w:szCs w:val="24"/>
          <w:highlight w:val="none"/>
        </w:rPr>
        <w:t>等内容</w:t>
      </w:r>
      <w:r>
        <w:rPr>
          <w:rFonts w:hint="eastAsia" w:ascii="宋体" w:hAnsi="宋体" w:eastAsia="宋体" w:cs="宋体"/>
          <w:color w:val="auto"/>
          <w:spacing w:val="-62"/>
          <w:w w:val="97"/>
          <w:sz w:val="24"/>
          <w:szCs w:val="24"/>
          <w:highlight w:val="none"/>
        </w:rPr>
        <w:t>）；</w:t>
      </w:r>
    </w:p>
    <w:p w14:paraId="2F149866">
      <w:pPr>
        <w:pageBreakBefore w:val="0"/>
        <w:kinsoku/>
        <w:wordWrap w:val="0"/>
        <w:overflowPunct/>
        <w:topLinePunct w:val="0"/>
        <w:bidi w:val="0"/>
        <w:spacing w:before="156" w:line="279" w:lineRule="auto"/>
        <w:ind w:left="11" w:right="21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（6）施工技术措施（包括关键施工技术、工艺及工程项目</w:t>
      </w:r>
      <w:r>
        <w:rPr>
          <w:rFonts w:hint="eastAsia" w:ascii="宋体" w:hAnsi="宋体" w:eastAsia="宋体" w:cs="宋体"/>
          <w:color w:val="auto"/>
          <w:spacing w:val="1"/>
          <w:sz w:val="24"/>
          <w:szCs w:val="24"/>
          <w:highlight w:val="none"/>
        </w:rPr>
        <w:t>实施的重点、难点分</w:t>
      </w:r>
      <w:r>
        <w:rPr>
          <w:rFonts w:hint="eastAsia" w:ascii="宋体" w:hAnsi="宋体" w:eastAsia="宋体" w:cs="宋体"/>
          <w:color w:val="auto"/>
          <w:spacing w:val="-1"/>
          <w:sz w:val="24"/>
          <w:szCs w:val="24"/>
          <w:highlight w:val="none"/>
        </w:rPr>
        <w:t>析和解决方案；新技术应用与承诺等内容</w:t>
      </w:r>
      <w:r>
        <w:rPr>
          <w:rFonts w:hint="eastAsia" w:ascii="宋体" w:hAnsi="宋体" w:eastAsia="宋体" w:cs="宋体"/>
          <w:color w:val="auto"/>
          <w:spacing w:val="2"/>
          <w:sz w:val="24"/>
          <w:szCs w:val="24"/>
          <w:highlight w:val="none"/>
        </w:rPr>
        <w:t>）；</w:t>
      </w:r>
    </w:p>
    <w:p w14:paraId="63CBA42D">
      <w:pPr>
        <w:pageBreakBefore w:val="0"/>
        <w:kinsoku/>
        <w:wordWrap w:val="0"/>
        <w:overflowPunct/>
        <w:topLinePunct w:val="0"/>
        <w:bidi w:val="0"/>
        <w:spacing w:before="118" w:line="297" w:lineRule="auto"/>
        <w:ind w:left="11" w:right="31" w:firstLine="489"/>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（7）绿色施工、安全防护、文明施工措施计划</w:t>
      </w:r>
      <w:r>
        <w:rPr>
          <w:rFonts w:hint="eastAsia" w:ascii="宋体" w:hAnsi="宋体" w:eastAsia="宋体" w:cs="宋体"/>
          <w:color w:val="auto"/>
          <w:spacing w:val="-3"/>
          <w:sz w:val="24"/>
          <w:szCs w:val="24"/>
          <w:highlight w:val="none"/>
        </w:rPr>
        <w:t>；</w:t>
      </w:r>
    </w:p>
    <w:p w14:paraId="5A9ADDC5">
      <w:pPr>
        <w:pageBreakBefore w:val="0"/>
        <w:kinsoku/>
        <w:wordWrap w:val="0"/>
        <w:overflowPunct/>
        <w:topLinePunct w:val="0"/>
        <w:bidi w:val="0"/>
        <w:spacing w:before="118" w:line="297" w:lineRule="auto"/>
        <w:ind w:left="11" w:right="3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（8）施工现场总平面布置（</w:t>
      </w:r>
      <w:bookmarkStart w:id="51" w:name="OLE_LINK8"/>
      <w:r>
        <w:rPr>
          <w:rFonts w:hint="eastAsia" w:ascii="宋体" w:hAnsi="宋体" w:eastAsia="宋体" w:cs="宋体"/>
          <w:color w:val="auto"/>
          <w:spacing w:val="2"/>
          <w:sz w:val="24"/>
          <w:szCs w:val="24"/>
          <w:highlight w:val="none"/>
        </w:rPr>
        <w:t>投标人应递交一份施工现场总</w:t>
      </w:r>
      <w:r>
        <w:rPr>
          <w:rFonts w:hint="eastAsia" w:ascii="宋体" w:hAnsi="宋体" w:eastAsia="宋体" w:cs="宋体"/>
          <w:color w:val="auto"/>
          <w:spacing w:val="1"/>
          <w:sz w:val="24"/>
          <w:szCs w:val="24"/>
          <w:highlight w:val="none"/>
        </w:rPr>
        <w:t>平面布置图，绘出现</w:t>
      </w:r>
      <w:r>
        <w:rPr>
          <w:rFonts w:hint="eastAsia" w:ascii="宋体" w:hAnsi="宋体" w:eastAsia="宋体" w:cs="宋体"/>
          <w:color w:val="auto"/>
          <w:spacing w:val="-1"/>
          <w:sz w:val="24"/>
          <w:szCs w:val="24"/>
          <w:highlight w:val="none"/>
        </w:rPr>
        <w:t>场临时设施布置图表并附文字说明，说明临时设施、加工车间、</w:t>
      </w:r>
      <w:r>
        <w:rPr>
          <w:rFonts w:hint="eastAsia" w:ascii="宋体" w:hAnsi="宋体" w:eastAsia="宋体" w:cs="宋体"/>
          <w:color w:val="auto"/>
          <w:spacing w:val="-2"/>
          <w:sz w:val="24"/>
          <w:szCs w:val="24"/>
          <w:highlight w:val="none"/>
        </w:rPr>
        <w:t>现场办公、设备及仓</w:t>
      </w:r>
      <w:r>
        <w:rPr>
          <w:rFonts w:hint="eastAsia" w:ascii="宋体" w:hAnsi="宋体" w:eastAsia="宋体" w:cs="宋体"/>
          <w:color w:val="auto"/>
          <w:spacing w:val="-1"/>
          <w:sz w:val="24"/>
          <w:szCs w:val="24"/>
          <w:highlight w:val="none"/>
        </w:rPr>
        <w:t>储、供电、供水、卫生、生活、道路、消防等设施的情况和布置</w:t>
      </w:r>
      <w:bookmarkEnd w:id="51"/>
      <w:r>
        <w:rPr>
          <w:rFonts w:hint="eastAsia" w:ascii="宋体" w:hAnsi="宋体" w:eastAsia="宋体" w:cs="宋体"/>
          <w:color w:val="auto"/>
          <w:spacing w:val="9"/>
          <w:sz w:val="24"/>
          <w:szCs w:val="24"/>
          <w:highlight w:val="none"/>
        </w:rPr>
        <w:t>）；</w:t>
      </w:r>
    </w:p>
    <w:p w14:paraId="78B5436D">
      <w:pPr>
        <w:pageBreakBefore w:val="0"/>
        <w:kinsoku/>
        <w:wordWrap w:val="0"/>
        <w:overflowPunct/>
        <w:topLinePunct w:val="0"/>
        <w:bidi w:val="0"/>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（9）项目管理机构。</w:t>
      </w:r>
    </w:p>
    <w:p w14:paraId="00699F00">
      <w:pPr>
        <w:pageBreakBefore w:val="0"/>
        <w:kinsoku/>
        <w:wordWrap w:val="0"/>
        <w:overflowPunct/>
        <w:topLinePunct w:val="0"/>
        <w:bidi w:val="0"/>
        <w:spacing w:before="154" w:line="280" w:lineRule="auto"/>
        <w:ind w:right="211"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（10）投标人认为有必要补充的其他内容（例如对总包管理的认识以及对专业分</w:t>
      </w:r>
      <w:r>
        <w:rPr>
          <w:rFonts w:hint="eastAsia" w:ascii="宋体" w:hAnsi="宋体" w:eastAsia="宋体" w:cs="宋体"/>
          <w:color w:val="auto"/>
          <w:spacing w:val="-1"/>
          <w:sz w:val="24"/>
          <w:szCs w:val="24"/>
          <w:highlight w:val="none"/>
        </w:rPr>
        <w:t>包工程的管理、协调、配合、服务方案）。</w:t>
      </w:r>
    </w:p>
    <w:p w14:paraId="62A7E1B8">
      <w:pPr>
        <w:pageBreakBefore w:val="0"/>
        <w:kinsoku/>
        <w:wordWrap w:val="0"/>
        <w:overflowPunct/>
        <w:topLinePunct w:val="0"/>
        <w:bidi w:val="0"/>
        <w:spacing w:before="152" w:line="279" w:lineRule="auto"/>
        <w:ind w:right="196"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10.4.3  </w:t>
      </w:r>
      <w:r>
        <w:rPr>
          <w:rFonts w:hint="eastAsia" w:ascii="宋体" w:hAnsi="宋体" w:eastAsia="宋体" w:cs="宋体"/>
          <w:color w:val="auto"/>
          <w:spacing w:val="-2"/>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2"/>
          <w:sz w:val="24"/>
          <w:szCs w:val="24"/>
          <w:highlight w:val="none"/>
        </w:rPr>
        <w:t>10.4.2</w:t>
      </w:r>
      <w:r>
        <w:rPr>
          <w:rFonts w:hint="eastAsia" w:ascii="宋体" w:hAnsi="宋体" w:eastAsia="宋体" w:cs="宋体"/>
          <w:color w:val="auto"/>
          <w:spacing w:val="-2"/>
          <w:sz w:val="24"/>
          <w:szCs w:val="24"/>
          <w:highlight w:val="none"/>
        </w:rPr>
        <w:t>目中所列出</w:t>
      </w:r>
      <w:r>
        <w:rPr>
          <w:rFonts w:hint="eastAsia" w:ascii="宋体" w:hAnsi="宋体" w:eastAsia="宋体" w:cs="宋体"/>
          <w:color w:val="auto"/>
          <w:spacing w:val="-3"/>
          <w:sz w:val="24"/>
          <w:szCs w:val="24"/>
          <w:highlight w:val="none"/>
        </w:rPr>
        <w:t>的施工组织设计组成内容中，第（1）至第（9）</w:t>
      </w:r>
      <w:r>
        <w:rPr>
          <w:rFonts w:hint="eastAsia" w:ascii="宋体" w:hAnsi="宋体" w:eastAsia="宋体" w:cs="宋体"/>
          <w:color w:val="auto"/>
          <w:spacing w:val="-2"/>
          <w:sz w:val="24"/>
          <w:szCs w:val="24"/>
          <w:highlight w:val="none"/>
        </w:rPr>
        <w:t>项所有投标人均应提供。</w:t>
      </w:r>
    </w:p>
    <w:p w14:paraId="75D954DF">
      <w:pPr>
        <w:pageBreakBefore w:val="0"/>
        <w:kinsoku/>
        <w:wordWrap w:val="0"/>
        <w:overflowPunct/>
        <w:topLinePunct w:val="0"/>
        <w:bidi w:val="0"/>
        <w:spacing w:before="157" w:line="279" w:lineRule="auto"/>
        <w:ind w:right="211" w:firstLine="462" w:firstLineChars="200"/>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5"/>
          <w:sz w:val="24"/>
          <w:szCs w:val="24"/>
          <w:highlight w:val="none"/>
        </w:rPr>
        <w:t xml:space="preserve">10.4.4 </w:t>
      </w:r>
      <w:r>
        <w:rPr>
          <w:rFonts w:hint="eastAsia" w:ascii="宋体" w:hAnsi="宋体" w:eastAsia="宋体" w:cs="宋体"/>
          <w:color w:val="auto"/>
          <w:spacing w:val="-5"/>
          <w:sz w:val="24"/>
          <w:szCs w:val="24"/>
          <w:highlight w:val="none"/>
        </w:rPr>
        <w:t>施工组织设计的组成内容按本节第</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5"/>
          <w:sz w:val="24"/>
          <w:szCs w:val="24"/>
          <w:highlight w:val="none"/>
        </w:rPr>
        <w:t>10.4.2 目规定的顺序整理、编排后，逐</w:t>
      </w:r>
      <w:r>
        <w:rPr>
          <w:rFonts w:hint="eastAsia" w:ascii="宋体" w:hAnsi="宋体" w:eastAsia="宋体" w:cs="宋体"/>
          <w:color w:val="auto"/>
          <w:spacing w:val="-1"/>
          <w:sz w:val="24"/>
          <w:szCs w:val="24"/>
          <w:highlight w:val="none"/>
        </w:rPr>
        <w:t>页（页码起始从封面开始）连续标记页码。</w:t>
      </w:r>
    </w:p>
    <w:p w14:paraId="006B850B">
      <w:pPr>
        <w:pageBreakBefore w:val="0"/>
        <w:kinsoku/>
        <w:wordWrap w:val="0"/>
        <w:overflowPunct/>
        <w:topLinePunct w:val="0"/>
        <w:bidi w:val="0"/>
        <w:ind w:firstLine="472"/>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rPr>
        <w:t>10.4.5</w:t>
      </w:r>
      <w:bookmarkStart w:id="52" w:name="OLE_LINK9"/>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施工组织设计的正文不得超过</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u w:val="single"/>
          <w:lang w:val="en-US" w:eastAsia="zh-CN"/>
        </w:rPr>
        <w:t>150</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页</w:t>
      </w:r>
      <w:r>
        <w:rPr>
          <w:rFonts w:hint="eastAsia" w:ascii="宋体" w:hAnsi="宋体" w:eastAsia="宋体" w:cs="宋体"/>
          <w:color w:val="auto"/>
          <w:spacing w:val="-1"/>
          <w:sz w:val="24"/>
          <w:szCs w:val="24"/>
          <w:highlight w:val="none"/>
          <w:lang w:eastAsia="zh-CN"/>
        </w:rPr>
        <w:t>。</w:t>
      </w:r>
      <w:bookmarkEnd w:id="52"/>
      <w:bookmarkStart w:id="53" w:name="bookmark121"/>
      <w:bookmarkEnd w:id="53"/>
    </w:p>
    <w:p w14:paraId="24AF6BAC">
      <w:pPr>
        <w:keepNext w:val="0"/>
        <w:keepLines w:val="0"/>
        <w:pageBreakBefore w:val="0"/>
        <w:widowControl w:val="0"/>
        <w:kinsoku/>
        <w:wordWrap w:val="0"/>
        <w:overflowPunct/>
        <w:topLinePunct w:val="0"/>
        <w:autoSpaceDE/>
        <w:autoSpaceDN/>
        <w:bidi w:val="0"/>
        <w:adjustRightInd/>
        <w:snapToGrid/>
        <w:spacing w:line="400" w:lineRule="exact"/>
        <w:ind w:firstLine="482" w:firstLineChars="200"/>
        <w:textAlignment w:val="baseline"/>
        <w:rPr>
          <w:rFonts w:hint="eastAsia" w:ascii="宋体" w:hAnsi="宋体" w:eastAsia="宋体" w:cs="宋体"/>
          <w:b/>
          <w:bCs/>
          <w:snapToGrid w:val="0"/>
          <w:color w:val="auto"/>
          <w:kern w:val="0"/>
          <w:sz w:val="24"/>
          <w:szCs w:val="24"/>
          <w:highlight w:val="none"/>
          <w:lang w:val="en-US" w:eastAsia="zh-CN"/>
        </w:rPr>
      </w:pPr>
      <w:bookmarkStart w:id="54" w:name="_Toc20579"/>
      <w:r>
        <w:rPr>
          <w:rFonts w:hint="eastAsia" w:ascii="宋体" w:hAnsi="宋体" w:eastAsia="宋体" w:cs="宋体"/>
          <w:b/>
          <w:bCs/>
          <w:snapToGrid w:val="0"/>
          <w:color w:val="auto"/>
          <w:kern w:val="0"/>
          <w:sz w:val="24"/>
          <w:szCs w:val="24"/>
          <w:highlight w:val="none"/>
          <w:lang w:val="en-US" w:eastAsia="zh-CN"/>
        </w:rPr>
        <w:t>10.5定标文件的编制要求：</w:t>
      </w:r>
    </w:p>
    <w:p w14:paraId="39D86431">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 xml:space="preserve">.1 </w:t>
      </w:r>
      <w:r>
        <w:rPr>
          <w:rFonts w:hint="eastAsia" w:ascii="宋体" w:hAnsi="宋体" w:eastAsia="宋体" w:cs="宋体"/>
          <w:snapToGrid w:val="0"/>
          <w:color w:val="auto"/>
          <w:kern w:val="0"/>
          <w:sz w:val="24"/>
          <w:szCs w:val="24"/>
          <w:highlight w:val="none"/>
          <w:lang w:val="en-US" w:eastAsia="zh-CN"/>
        </w:rPr>
        <w:t>定标文件</w:t>
      </w:r>
      <w:r>
        <w:rPr>
          <w:rFonts w:hint="eastAsia" w:ascii="宋体" w:hAnsi="宋体" w:eastAsia="宋体" w:cs="宋体"/>
          <w:snapToGrid w:val="0"/>
          <w:color w:val="auto"/>
          <w:kern w:val="0"/>
          <w:sz w:val="24"/>
          <w:szCs w:val="24"/>
          <w:highlight w:val="none"/>
        </w:rPr>
        <w:t>包括以下内容：</w:t>
      </w:r>
    </w:p>
    <w:p w14:paraId="588B0868">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default" w:ascii="宋体" w:hAnsi="宋体" w:eastAsia="宋体" w:cs="宋体"/>
          <w:snapToGrid w:val="0"/>
          <w:color w:val="auto"/>
          <w:kern w:val="0"/>
          <w:sz w:val="24"/>
          <w:szCs w:val="24"/>
          <w:highlight w:val="none"/>
          <w:lang w:val="en-US"/>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 封面（格式一）</w:t>
      </w:r>
    </w:p>
    <w:p w14:paraId="06AC0FE8">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 定标因素评审资料（格式十五）</w:t>
      </w:r>
    </w:p>
    <w:p w14:paraId="747B148E">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 xml:space="preserve"> 本节第1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目中所列出的组成内容中，第（1）项所有投标人均应提供。</w:t>
      </w:r>
    </w:p>
    <w:bookmarkEnd w:id="54"/>
    <w:p w14:paraId="38C8B072">
      <w:pPr>
        <w:pageBreakBefore w:val="0"/>
        <w:kinsoku/>
        <w:wordWrap w:val="0"/>
        <w:overflowPunct/>
        <w:topLinePunct w:val="0"/>
        <w:bidi w:val="0"/>
        <w:spacing w:before="78" w:line="221" w:lineRule="auto"/>
        <w:ind w:left="496"/>
        <w:outlineLvl w:val="2"/>
        <w:rPr>
          <w:rFonts w:hint="eastAsia" w:ascii="宋体" w:hAnsi="宋体" w:eastAsia="宋体" w:cs="宋体"/>
          <w:color w:val="auto"/>
          <w:sz w:val="24"/>
          <w:szCs w:val="24"/>
          <w:highlight w:val="none"/>
        </w:rPr>
      </w:pPr>
      <w:bookmarkStart w:id="55" w:name="_Toc20552"/>
      <w:bookmarkStart w:id="56" w:name="_Toc21936"/>
      <w:r>
        <w:rPr>
          <w:rFonts w:hint="eastAsia" w:ascii="宋体" w:hAnsi="宋体" w:eastAsia="宋体" w:cs="宋体"/>
          <w:b/>
          <w:bCs/>
          <w:color w:val="auto"/>
          <w:spacing w:val="-9"/>
          <w:sz w:val="24"/>
          <w:szCs w:val="24"/>
          <w:highlight w:val="none"/>
        </w:rPr>
        <w:t>11.</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bookmarkEnd w:id="55"/>
      <w:bookmarkEnd w:id="56"/>
    </w:p>
    <w:p w14:paraId="72CD6A5B">
      <w:pPr>
        <w:pageBreakBefore w:val="0"/>
        <w:kinsoku/>
        <w:wordWrap w:val="0"/>
        <w:overflowPunct/>
        <w:topLinePunct w:val="0"/>
        <w:bidi w:val="0"/>
        <w:spacing w:before="112" w:line="295" w:lineRule="auto"/>
        <w:ind w:left="10"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11.1  </w:t>
      </w:r>
      <w:r>
        <w:rPr>
          <w:rFonts w:hint="eastAsia" w:ascii="宋体" w:hAnsi="宋体" w:eastAsia="宋体" w:cs="宋体"/>
          <w:color w:val="auto"/>
          <w:spacing w:val="-3"/>
          <w:sz w:val="24"/>
          <w:szCs w:val="24"/>
          <w:highlight w:val="none"/>
        </w:rPr>
        <w:t>在建设工程交易系统上传加盖了电子印章的投标文件、录入相关信息及标书</w:t>
      </w:r>
      <w:r>
        <w:rPr>
          <w:rFonts w:hint="eastAsia" w:ascii="宋体" w:hAnsi="宋体" w:eastAsia="宋体" w:cs="宋体"/>
          <w:color w:val="auto"/>
          <w:spacing w:val="2"/>
          <w:sz w:val="24"/>
          <w:szCs w:val="24"/>
          <w:highlight w:val="none"/>
        </w:rPr>
        <w:t>页码信息</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
          <w:sz w:val="24"/>
          <w:szCs w:val="24"/>
          <w:highlight w:val="none"/>
        </w:rPr>
        <w:t>页码起始从封面开始）并提交投标标书。提交标书为已加密投标文件。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具体操作参照《韶关市公共资源建设工程交易系统-投标人操</w:t>
      </w:r>
      <w:r>
        <w:rPr>
          <w:rFonts w:hint="eastAsia" w:ascii="宋体" w:hAnsi="宋体" w:eastAsia="宋体" w:cs="宋体"/>
          <w:color w:val="auto"/>
          <w:spacing w:val="-3"/>
          <w:sz w:val="24"/>
          <w:szCs w:val="24"/>
          <w:highlight w:val="none"/>
        </w:rPr>
        <w:t>作指南（电子评标）》。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本项目评标采用全流程电子化进行招标投标（投标人应根据</w:t>
      </w:r>
      <w:r>
        <w:rPr>
          <w:rFonts w:hint="eastAsia" w:ascii="宋体" w:hAnsi="宋体" w:eastAsia="宋体" w:cs="宋体"/>
          <w:color w:val="auto"/>
          <w:spacing w:val="-2"/>
          <w:sz w:val="24"/>
          <w:szCs w:val="24"/>
          <w:highlight w:val="none"/>
        </w:rPr>
        <w:t>韶关市公共资源建设工程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交易系统进行编辑投标相关内容、按招标文件电子投标要求</w:t>
      </w:r>
      <w:r>
        <w:rPr>
          <w:rFonts w:hint="eastAsia" w:ascii="宋体" w:hAnsi="宋体" w:eastAsia="宋体" w:cs="宋体"/>
          <w:color w:val="auto"/>
          <w:spacing w:val="-2"/>
          <w:sz w:val="24"/>
          <w:szCs w:val="24"/>
          <w:highlight w:val="none"/>
        </w:rPr>
        <w:t>上传已加盖电子印章投标</w:t>
      </w:r>
      <w:r>
        <w:rPr>
          <w:rFonts w:hint="eastAsia" w:ascii="宋体" w:hAnsi="宋体" w:eastAsia="宋体" w:cs="宋体"/>
          <w:color w:val="auto"/>
          <w:spacing w:val="-1"/>
          <w:sz w:val="24"/>
          <w:szCs w:val="24"/>
          <w:highlight w:val="none"/>
        </w:rPr>
        <w:t>文件，否则将自行承担不利后果）。投标文件完成上传后，投标人应</w:t>
      </w:r>
      <w:r>
        <w:rPr>
          <w:rFonts w:hint="eastAsia" w:ascii="宋体" w:hAnsi="宋体" w:eastAsia="宋体" w:cs="宋体"/>
          <w:color w:val="auto"/>
          <w:spacing w:val="-2"/>
          <w:sz w:val="24"/>
          <w:szCs w:val="24"/>
          <w:highlight w:val="none"/>
        </w:rPr>
        <w:t>使用 CA 数字证</w:t>
      </w:r>
      <w:r>
        <w:rPr>
          <w:rFonts w:hint="eastAsia" w:ascii="宋体" w:hAnsi="宋体" w:eastAsia="宋体" w:cs="宋体"/>
          <w:color w:val="auto"/>
          <w:spacing w:val="-1"/>
          <w:sz w:val="24"/>
          <w:szCs w:val="24"/>
          <w:highlight w:val="none"/>
        </w:rPr>
        <w:t>书对投标文件进行文件加密，形成加密的投标文件并提交标书。</w:t>
      </w:r>
    </w:p>
    <w:p w14:paraId="77028D55">
      <w:pPr>
        <w:pageBreakBefore w:val="0"/>
        <w:kinsoku/>
        <w:wordWrap w:val="0"/>
        <w:overflowPunct/>
        <w:topLinePunct w:val="0"/>
        <w:bidi w:val="0"/>
        <w:spacing w:before="115" w:line="286" w:lineRule="auto"/>
        <w:ind w:left="10" w:right="81" w:firstLine="485"/>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11.2</w:t>
      </w:r>
      <w:r>
        <w:rPr>
          <w:rFonts w:hint="eastAsia" w:ascii="宋体" w:hAnsi="宋体" w:eastAsia="宋体" w:cs="宋体"/>
          <w:b/>
          <w:bCs/>
          <w:color w:val="auto"/>
          <w:spacing w:val="19"/>
          <w:sz w:val="24"/>
          <w:szCs w:val="24"/>
          <w:highlight w:val="none"/>
        </w:rPr>
        <w:t xml:space="preserve">  </w:t>
      </w:r>
      <w:r>
        <w:rPr>
          <w:rFonts w:hint="eastAsia" w:ascii="宋体" w:hAnsi="宋体" w:eastAsia="宋体" w:cs="宋体"/>
          <w:color w:val="auto"/>
          <w:spacing w:val="-4"/>
          <w:sz w:val="24"/>
          <w:szCs w:val="24"/>
          <w:highlight w:val="none"/>
        </w:rPr>
        <w:t>电子投标文件的修改、撤回：在提交投标文件截止时间前，投标人可</w:t>
      </w:r>
      <w:r>
        <w:rPr>
          <w:rFonts w:hint="eastAsia" w:ascii="宋体" w:hAnsi="宋体" w:eastAsia="宋体" w:cs="宋体"/>
          <w:color w:val="auto"/>
          <w:spacing w:val="-5"/>
          <w:sz w:val="24"/>
          <w:szCs w:val="24"/>
          <w:highlight w:val="none"/>
        </w:rPr>
        <w:t>以修改</w:t>
      </w:r>
      <w:r>
        <w:rPr>
          <w:rFonts w:hint="eastAsia" w:ascii="宋体" w:hAnsi="宋体" w:eastAsia="宋体" w:cs="宋体"/>
          <w:color w:val="auto"/>
          <w:spacing w:val="-1"/>
          <w:sz w:val="24"/>
          <w:szCs w:val="24"/>
          <w:highlight w:val="none"/>
        </w:rPr>
        <w:t>或撤回未解密的电子投标文件，并于提交投标文件截止时间</w:t>
      </w:r>
      <w:r>
        <w:rPr>
          <w:rFonts w:hint="eastAsia" w:ascii="宋体" w:hAnsi="宋体" w:eastAsia="宋体" w:cs="宋体"/>
          <w:color w:val="auto"/>
          <w:spacing w:val="-2"/>
          <w:sz w:val="24"/>
          <w:szCs w:val="24"/>
          <w:highlight w:val="none"/>
        </w:rPr>
        <w:t>前将重新上传修改后的电</w:t>
      </w:r>
      <w:r>
        <w:rPr>
          <w:rFonts w:hint="eastAsia" w:ascii="宋体" w:hAnsi="宋体" w:eastAsia="宋体" w:cs="宋体"/>
          <w:color w:val="auto"/>
          <w:spacing w:val="-1"/>
          <w:sz w:val="24"/>
          <w:szCs w:val="24"/>
          <w:highlight w:val="none"/>
        </w:rPr>
        <w:t>子投标文件至系统，到达投标文件提交截止时间后投标人不</w:t>
      </w:r>
      <w:r>
        <w:rPr>
          <w:rFonts w:hint="eastAsia" w:ascii="宋体" w:hAnsi="宋体" w:eastAsia="宋体" w:cs="宋体"/>
          <w:color w:val="auto"/>
          <w:spacing w:val="-2"/>
          <w:sz w:val="24"/>
          <w:szCs w:val="24"/>
          <w:highlight w:val="none"/>
        </w:rPr>
        <w:t>得撤回、补充、修改和更换投标文件。</w:t>
      </w:r>
    </w:p>
    <w:p w14:paraId="7B99AE63">
      <w:pPr>
        <w:pageBreakBefore w:val="0"/>
        <w:numPr>
          <w:ilvl w:val="0"/>
          <w:numId w:val="0"/>
        </w:numPr>
        <w:kinsoku/>
        <w:wordWrap w:val="0"/>
        <w:overflowPunct/>
        <w:topLinePunct w:val="0"/>
        <w:bidi w:val="0"/>
        <w:spacing w:before="78" w:line="220" w:lineRule="auto"/>
        <w:ind w:firstLine="446" w:firstLineChars="200"/>
        <w:outlineLvl w:val="2"/>
        <w:rPr>
          <w:rFonts w:hint="eastAsia" w:ascii="宋体" w:hAnsi="宋体" w:eastAsia="宋体" w:cs="宋体"/>
          <w:b/>
          <w:bCs/>
          <w:color w:val="auto"/>
          <w:spacing w:val="-4"/>
          <w:sz w:val="24"/>
          <w:szCs w:val="24"/>
          <w:highlight w:val="none"/>
        </w:rPr>
      </w:pPr>
      <w:bookmarkStart w:id="57" w:name="_Toc9188"/>
      <w:r>
        <w:rPr>
          <w:rFonts w:hint="eastAsia" w:ascii="宋体" w:hAnsi="宋体" w:eastAsia="宋体" w:cs="宋体"/>
          <w:b/>
          <w:bCs/>
          <w:color w:val="auto"/>
          <w:spacing w:val="-9"/>
          <w:sz w:val="24"/>
          <w:szCs w:val="24"/>
          <w:highlight w:val="none"/>
          <w:lang w:val="en-US" w:eastAsia="zh-CN"/>
        </w:rPr>
        <w:t>12.</w:t>
      </w:r>
      <w:r>
        <w:rPr>
          <w:rFonts w:hint="eastAsia" w:ascii="宋体" w:hAnsi="宋体" w:eastAsia="宋体" w:cs="宋体"/>
          <w:b/>
          <w:bCs/>
          <w:color w:val="auto"/>
          <w:spacing w:val="22"/>
          <w:w w:val="101"/>
          <w:sz w:val="24"/>
          <w:szCs w:val="24"/>
          <w:highlight w:val="none"/>
        </w:rPr>
        <w:t xml:space="preserve"> </w:t>
      </w:r>
      <w:bookmarkStart w:id="58" w:name="_Toc29834"/>
      <w:r>
        <w:rPr>
          <w:rFonts w:hint="eastAsia" w:ascii="宋体" w:hAnsi="宋体" w:eastAsia="宋体" w:cs="宋体"/>
          <w:b/>
          <w:bCs/>
          <w:color w:val="auto"/>
          <w:spacing w:val="-4"/>
          <w:sz w:val="24"/>
          <w:szCs w:val="24"/>
          <w:highlight w:val="none"/>
        </w:rPr>
        <w:t>电子投标及投标解密失败及突发情况的补救方案</w:t>
      </w:r>
      <w:bookmarkEnd w:id="57"/>
      <w:bookmarkEnd w:id="58"/>
    </w:p>
    <w:p w14:paraId="31E42F74">
      <w:pPr>
        <w:keepNext w:val="0"/>
        <w:keepLines w:val="0"/>
        <w:pageBreakBefore w:val="0"/>
        <w:widowControl/>
        <w:kinsoku/>
        <w:wordWrap w:val="0"/>
        <w:overflowPunct/>
        <w:topLinePunct w:val="0"/>
        <w:autoSpaceDE w:val="0"/>
        <w:autoSpaceDN w:val="0"/>
        <w:bidi w:val="0"/>
        <w:adjustRightInd w:val="0"/>
        <w:snapToGrid w:val="0"/>
        <w:spacing w:before="78" w:line="360" w:lineRule="auto"/>
        <w:ind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12.1 </w:t>
      </w:r>
      <w:r>
        <w:rPr>
          <w:rFonts w:hint="eastAsia" w:ascii="宋体" w:hAnsi="宋体" w:eastAsia="宋体" w:cs="宋体"/>
          <w:color w:val="auto"/>
          <w:spacing w:val="-1"/>
          <w:sz w:val="24"/>
          <w:szCs w:val="24"/>
          <w:highlight w:val="none"/>
        </w:rPr>
        <w:t>按照交易平台关于全流程电子化项目的相</w:t>
      </w:r>
      <w:r>
        <w:rPr>
          <w:rFonts w:hint="eastAsia" w:ascii="宋体" w:hAnsi="宋体" w:eastAsia="宋体" w:cs="宋体"/>
          <w:color w:val="auto"/>
          <w:spacing w:val="-2"/>
          <w:sz w:val="24"/>
          <w:szCs w:val="24"/>
          <w:highlight w:val="none"/>
        </w:rPr>
        <w:t>关指南进行操作。详见：全国公共</w:t>
      </w:r>
      <w:r>
        <w:rPr>
          <w:rFonts w:hint="eastAsia" w:ascii="宋体" w:hAnsi="宋体" w:eastAsia="宋体" w:cs="宋体"/>
          <w:color w:val="auto"/>
          <w:spacing w:val="-1"/>
          <w:sz w:val="24"/>
          <w:szCs w:val="24"/>
          <w:highlight w:val="none"/>
        </w:rPr>
        <w:t>资源交易平台（广东省·韶关市</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1"/>
          <w:sz w:val="24"/>
          <w:szCs w:val="24"/>
          <w:highlight w:val="none"/>
        </w:rPr>
        <w:t>https://y</w:t>
      </w:r>
      <w:r>
        <w:rPr>
          <w:rFonts w:hint="eastAsia" w:ascii="宋体" w:hAnsi="宋体" w:eastAsia="宋体" w:cs="宋体"/>
          <w:color w:val="auto"/>
          <w:spacing w:val="-2"/>
          <w:sz w:val="24"/>
          <w:szCs w:val="24"/>
          <w:highlight w:val="none"/>
        </w:rPr>
        <w:t>gp.gdzwfw.gov.cn/ggzy-portal/#/44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0200/index）服务指南栏目发布的最新版操作指引。</w:t>
      </w:r>
    </w:p>
    <w:p w14:paraId="1227283F">
      <w:pPr>
        <w:pageBreakBefore w:val="0"/>
        <w:kinsoku/>
        <w:wordWrap w:val="0"/>
        <w:overflowPunct/>
        <w:topLinePunct w:val="0"/>
        <w:bidi w:val="0"/>
        <w:spacing w:before="11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补救方案：</w:t>
      </w:r>
    </w:p>
    <w:p w14:paraId="3DE0A96F">
      <w:pPr>
        <w:pageBreakBefore w:val="0"/>
        <w:kinsoku/>
        <w:wordWrap w:val="0"/>
        <w:overflowPunct/>
        <w:topLinePunct w:val="0"/>
        <w:bidi w:val="0"/>
        <w:spacing w:before="115"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12.2.1  </w:t>
      </w:r>
      <w:r>
        <w:rPr>
          <w:rFonts w:hint="eastAsia" w:ascii="宋体" w:hAnsi="宋体" w:eastAsia="宋体" w:cs="宋体"/>
          <w:color w:val="auto"/>
          <w:spacing w:val="-1"/>
          <w:sz w:val="24"/>
          <w:szCs w:val="24"/>
          <w:highlight w:val="none"/>
        </w:rPr>
        <w:t>投标文件解密失败的补救方案：</w:t>
      </w:r>
    </w:p>
    <w:p w14:paraId="05D31897">
      <w:pPr>
        <w:pageBreakBefore w:val="0"/>
        <w:kinsoku/>
        <w:wordWrap w:val="0"/>
        <w:overflowPunct/>
        <w:topLinePunct w:val="0"/>
        <w:bidi w:val="0"/>
        <w:spacing w:before="115" w:line="298" w:lineRule="auto"/>
        <w:ind w:right="81"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auto"/>
          <w:spacing w:val="1"/>
          <w:sz w:val="24"/>
          <w:szCs w:val="24"/>
          <w:highlight w:val="none"/>
        </w:rPr>
        <w:t>解密失败投标人可在建设工程交易系统在规定时间（代理机构授权后</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30</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1"/>
          <w:sz w:val="24"/>
          <w:szCs w:val="24"/>
          <w:highlight w:val="none"/>
        </w:rPr>
        <w:t>分钟内）内</w:t>
      </w:r>
      <w:bookmarkStart w:id="59" w:name="bookmark122"/>
      <w:bookmarkEnd w:id="59"/>
      <w:r>
        <w:rPr>
          <w:rFonts w:hint="eastAsia" w:ascii="宋体" w:hAnsi="宋体" w:eastAsia="宋体" w:cs="宋体"/>
          <w:color w:val="auto"/>
          <w:spacing w:val="-1"/>
          <w:sz w:val="24"/>
          <w:szCs w:val="24"/>
          <w:highlight w:val="none"/>
        </w:rPr>
        <w:t>重新提交投标文件继续开标程序。</w:t>
      </w:r>
    </w:p>
    <w:p w14:paraId="688697B7">
      <w:pPr>
        <w:pageBreakBefore w:val="0"/>
        <w:kinsoku/>
        <w:wordWrap w:val="0"/>
        <w:overflowPunct/>
        <w:topLinePunct w:val="0"/>
        <w:bidi w:val="0"/>
        <w:spacing w:before="114"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12.2.2  </w:t>
      </w:r>
      <w:r>
        <w:rPr>
          <w:rFonts w:hint="eastAsia" w:ascii="宋体" w:hAnsi="宋体" w:eastAsia="宋体" w:cs="宋体"/>
          <w:color w:val="auto"/>
          <w:spacing w:val="-1"/>
          <w:sz w:val="24"/>
          <w:szCs w:val="24"/>
          <w:highlight w:val="none"/>
        </w:rPr>
        <w:t>评标时突发情况的补救方案</w:t>
      </w:r>
    </w:p>
    <w:p w14:paraId="67C0AA88">
      <w:pPr>
        <w:pageBreakBefore w:val="0"/>
        <w:kinsoku/>
        <w:wordWrap w:val="0"/>
        <w:overflowPunct/>
        <w:topLinePunct w:val="0"/>
        <w:bidi w:val="0"/>
        <w:spacing w:before="114" w:line="303" w:lineRule="auto"/>
        <w:ind w:right="81"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在评标过程中，因主场或副场网络故障、电子设备或者</w:t>
      </w:r>
      <w:r>
        <w:rPr>
          <w:rFonts w:hint="eastAsia" w:ascii="宋体" w:hAnsi="宋体" w:eastAsia="宋体" w:cs="宋体"/>
          <w:color w:val="auto"/>
          <w:spacing w:val="-2"/>
          <w:sz w:val="24"/>
          <w:szCs w:val="24"/>
          <w:highlight w:val="none"/>
        </w:rPr>
        <w:t>评标系统故障，以及其他</w:t>
      </w:r>
      <w:r>
        <w:rPr>
          <w:rFonts w:hint="eastAsia" w:ascii="宋体" w:hAnsi="宋体" w:eastAsia="宋体" w:cs="宋体"/>
          <w:color w:val="auto"/>
          <w:spacing w:val="-3"/>
          <w:sz w:val="24"/>
          <w:szCs w:val="24"/>
          <w:highlight w:val="none"/>
        </w:rPr>
        <w:t>原因导致无法继续进行评标时，在</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小时以内解除故障的可继续评标，超过</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小时无</w:t>
      </w:r>
      <w:r>
        <w:rPr>
          <w:rFonts w:hint="eastAsia" w:ascii="宋体" w:hAnsi="宋体" w:eastAsia="宋体" w:cs="宋体"/>
          <w:color w:val="auto"/>
          <w:spacing w:val="-1"/>
          <w:sz w:val="24"/>
          <w:szCs w:val="24"/>
          <w:highlight w:val="none"/>
        </w:rPr>
        <w:t>法解除故障的，由招标人确定是否进行评标。如延期评标，</w:t>
      </w:r>
      <w:r>
        <w:rPr>
          <w:rFonts w:hint="eastAsia" w:ascii="宋体" w:hAnsi="宋体" w:eastAsia="宋体" w:cs="宋体"/>
          <w:color w:val="auto"/>
          <w:spacing w:val="-2"/>
          <w:sz w:val="24"/>
          <w:szCs w:val="24"/>
          <w:highlight w:val="none"/>
        </w:rPr>
        <w:t>招标人及参与评标活动的</w:t>
      </w:r>
      <w:r>
        <w:rPr>
          <w:rFonts w:hint="eastAsia" w:ascii="宋体" w:hAnsi="宋体" w:eastAsia="宋体" w:cs="宋体"/>
          <w:color w:val="auto"/>
          <w:spacing w:val="-1"/>
          <w:sz w:val="24"/>
          <w:szCs w:val="24"/>
          <w:highlight w:val="none"/>
        </w:rPr>
        <w:t>各方主体及其有关工作人员应当配合主场、副场做好招投标</w:t>
      </w:r>
      <w:r>
        <w:rPr>
          <w:rFonts w:hint="eastAsia" w:ascii="宋体" w:hAnsi="宋体" w:eastAsia="宋体" w:cs="宋体"/>
          <w:color w:val="auto"/>
          <w:spacing w:val="-2"/>
          <w:sz w:val="24"/>
          <w:szCs w:val="24"/>
          <w:highlight w:val="none"/>
        </w:rPr>
        <w:t>资料的封存和保密工作，</w:t>
      </w:r>
      <w:r>
        <w:rPr>
          <w:rFonts w:hint="eastAsia" w:ascii="宋体" w:hAnsi="宋体" w:eastAsia="宋体" w:cs="宋体"/>
          <w:color w:val="auto"/>
          <w:spacing w:val="-1"/>
          <w:sz w:val="24"/>
          <w:szCs w:val="24"/>
          <w:highlight w:val="none"/>
        </w:rPr>
        <w:t>另行组建评标委员会重新评标。原评标委员会成员应当对评</w:t>
      </w:r>
      <w:r>
        <w:rPr>
          <w:rFonts w:hint="eastAsia" w:ascii="宋体" w:hAnsi="宋体" w:eastAsia="宋体" w:cs="宋体"/>
          <w:color w:val="auto"/>
          <w:spacing w:val="-2"/>
          <w:sz w:val="24"/>
          <w:szCs w:val="24"/>
          <w:highlight w:val="none"/>
        </w:rPr>
        <w:t>标情况保密，不得对外透</w:t>
      </w:r>
      <w:r>
        <w:rPr>
          <w:rFonts w:hint="eastAsia" w:ascii="宋体" w:hAnsi="宋体" w:eastAsia="宋体" w:cs="宋体"/>
          <w:color w:val="auto"/>
          <w:spacing w:val="-1"/>
          <w:sz w:val="24"/>
          <w:szCs w:val="24"/>
          <w:highlight w:val="none"/>
        </w:rPr>
        <w:t>露与评标有关的任何信息与情况。</w:t>
      </w:r>
    </w:p>
    <w:p w14:paraId="4CA581B7">
      <w:pPr>
        <w:pageBreakBefore w:val="0"/>
        <w:kinsoku/>
        <w:wordWrap w:val="0"/>
        <w:overflowPunct/>
        <w:topLinePunct w:val="0"/>
        <w:bidi w:val="0"/>
        <w:spacing w:before="69" w:line="324" w:lineRule="auto"/>
        <w:ind w:left="11" w:right="81" w:firstLine="484"/>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12.2.3  </w:t>
      </w:r>
      <w:r>
        <w:rPr>
          <w:rFonts w:hint="eastAsia" w:ascii="宋体" w:hAnsi="宋体" w:eastAsia="宋体" w:cs="宋体"/>
          <w:color w:val="auto"/>
          <w:spacing w:val="-1"/>
          <w:sz w:val="24"/>
          <w:szCs w:val="24"/>
          <w:highlight w:val="none"/>
        </w:rPr>
        <w:t>除发生上述情况外，开标评标均以投标人（联合体投标的，由联合体牵头人）通过交易平台网上递交的电子投标文件为准。</w:t>
      </w:r>
    </w:p>
    <w:p w14:paraId="0D4B1117">
      <w:pPr>
        <w:pageBreakBefore w:val="0"/>
        <w:kinsoku/>
        <w:wordWrap w:val="0"/>
        <w:overflowPunct/>
        <w:topLinePunct w:val="0"/>
        <w:bidi w:val="0"/>
        <w:spacing w:before="78" w:line="220" w:lineRule="auto"/>
        <w:ind w:left="496"/>
        <w:outlineLvl w:val="2"/>
        <w:rPr>
          <w:rFonts w:hint="eastAsia" w:ascii="宋体" w:hAnsi="宋体" w:eastAsia="宋体" w:cs="宋体"/>
          <w:color w:val="auto"/>
          <w:sz w:val="24"/>
          <w:szCs w:val="24"/>
          <w:highlight w:val="none"/>
        </w:rPr>
      </w:pPr>
      <w:bookmarkStart w:id="60" w:name="_Toc27195"/>
      <w:bookmarkStart w:id="61" w:name="_Toc32501"/>
      <w:r>
        <w:rPr>
          <w:rFonts w:hint="eastAsia" w:ascii="宋体" w:hAnsi="宋体" w:eastAsia="宋体" w:cs="宋体"/>
          <w:b/>
          <w:bCs/>
          <w:color w:val="auto"/>
          <w:spacing w:val="-7"/>
          <w:sz w:val="24"/>
          <w:szCs w:val="24"/>
          <w:highlight w:val="none"/>
        </w:rPr>
        <w:t>13</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7"/>
          <w:sz w:val="24"/>
          <w:szCs w:val="24"/>
          <w:highlight w:val="none"/>
        </w:rPr>
        <w:t>．投标文件的提交</w:t>
      </w:r>
      <w:bookmarkEnd w:id="60"/>
      <w:bookmarkEnd w:id="61"/>
    </w:p>
    <w:p w14:paraId="6AC9D5AE">
      <w:pPr>
        <w:pageBreakBefore w:val="0"/>
        <w:kinsoku/>
        <w:wordWrap w:val="0"/>
        <w:overflowPunct/>
        <w:topLinePunct w:val="0"/>
        <w:bidi w:val="0"/>
        <w:spacing w:before="123" w:line="278" w:lineRule="auto"/>
        <w:ind w:left="13" w:right="81"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 xml:space="preserve">13.1  </w:t>
      </w:r>
      <w:r>
        <w:rPr>
          <w:rFonts w:hint="eastAsia" w:ascii="宋体" w:hAnsi="宋体" w:eastAsia="宋体" w:cs="宋体"/>
          <w:color w:val="auto"/>
          <w:spacing w:val="-11"/>
          <w:sz w:val="24"/>
          <w:szCs w:val="24"/>
          <w:highlight w:val="none"/>
        </w:rPr>
        <w:t>在投标文件提交截止时间前，投标人通过全国公共资源交易平台（</w:t>
      </w:r>
      <w:r>
        <w:rPr>
          <w:rFonts w:hint="eastAsia" w:ascii="宋体" w:hAnsi="宋体" w:eastAsia="宋体" w:cs="宋体"/>
          <w:color w:val="auto"/>
          <w:spacing w:val="-12"/>
          <w:sz w:val="24"/>
          <w:szCs w:val="24"/>
          <w:highlight w:val="none"/>
        </w:rPr>
        <w:t>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2"/>
          <w:sz w:val="24"/>
          <w:szCs w:val="24"/>
          <w:highlight w:val="none"/>
        </w:rPr>
        <w:t>·韶</w:t>
      </w:r>
      <w:r>
        <w:rPr>
          <w:rFonts w:hint="eastAsia" w:ascii="宋体" w:hAnsi="宋体" w:eastAsia="宋体" w:cs="宋体"/>
          <w:color w:val="auto"/>
          <w:spacing w:val="-1"/>
          <w:sz w:val="24"/>
          <w:szCs w:val="24"/>
          <w:highlight w:val="none"/>
        </w:rPr>
        <w:t>关市）提交已加密投标文件。逾期提交的电子投标文</w:t>
      </w:r>
      <w:r>
        <w:rPr>
          <w:rFonts w:hint="eastAsia" w:ascii="宋体" w:hAnsi="宋体" w:eastAsia="宋体" w:cs="宋体"/>
          <w:color w:val="auto"/>
          <w:spacing w:val="-2"/>
          <w:sz w:val="24"/>
          <w:szCs w:val="24"/>
          <w:highlight w:val="none"/>
        </w:rPr>
        <w:t>件，全国公共资源交易平台（广</w:t>
      </w:r>
      <w:r>
        <w:rPr>
          <w:rFonts w:hint="eastAsia" w:ascii="宋体" w:hAnsi="宋体" w:eastAsia="宋体" w:cs="宋体"/>
          <w:color w:val="auto"/>
          <w:spacing w:val="-9"/>
          <w:sz w:val="24"/>
          <w:szCs w:val="24"/>
          <w:highlight w:val="none"/>
        </w:rPr>
        <w:t>东省</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9"/>
          <w:sz w:val="24"/>
          <w:szCs w:val="24"/>
          <w:highlight w:val="none"/>
        </w:rPr>
        <w:t>·韶关市）将予以拒收。</w:t>
      </w:r>
    </w:p>
    <w:p w14:paraId="77138C74">
      <w:pPr>
        <w:pageBreakBefore w:val="0"/>
        <w:kinsoku/>
        <w:wordWrap w:val="0"/>
        <w:overflowPunct/>
        <w:topLinePunct w:val="0"/>
        <w:bidi w:val="0"/>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13.2  </w:t>
      </w:r>
      <w:r>
        <w:rPr>
          <w:rFonts w:hint="eastAsia" w:ascii="宋体" w:hAnsi="宋体" w:eastAsia="宋体" w:cs="宋体"/>
          <w:color w:val="auto"/>
          <w:spacing w:val="2"/>
          <w:sz w:val="24"/>
          <w:szCs w:val="24"/>
          <w:highlight w:val="none"/>
        </w:rPr>
        <w:t>提交时间和地点：见本章第二节“重要事项时间地点一览表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p>
    <w:p w14:paraId="3DA66111">
      <w:pPr>
        <w:pageBreakBefore w:val="0"/>
        <w:kinsoku/>
        <w:wordWrap w:val="0"/>
        <w:overflowPunct/>
        <w:topLinePunct w:val="0"/>
        <w:bidi w:val="0"/>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13.3  </w:t>
      </w:r>
      <w:r>
        <w:rPr>
          <w:rFonts w:hint="eastAsia" w:ascii="宋体" w:hAnsi="宋体" w:eastAsia="宋体" w:cs="宋体"/>
          <w:color w:val="auto"/>
          <w:spacing w:val="-1"/>
          <w:sz w:val="24"/>
          <w:szCs w:val="24"/>
          <w:highlight w:val="none"/>
        </w:rPr>
        <w:t>递交时间和地点：投标人如有招标</w:t>
      </w:r>
      <w:r>
        <w:rPr>
          <w:rFonts w:hint="eastAsia" w:ascii="宋体" w:hAnsi="宋体" w:eastAsia="宋体" w:cs="宋体"/>
          <w:color w:val="auto"/>
          <w:spacing w:val="-2"/>
          <w:sz w:val="24"/>
          <w:szCs w:val="24"/>
          <w:highlight w:val="none"/>
        </w:rPr>
        <w:t>文件要求提交的用于评审的证书、证件、证明原件（附一式两份清单</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由投标人法定代表人或其委托代理人在指定的时间和</w:t>
      </w:r>
      <w:r>
        <w:rPr>
          <w:rFonts w:hint="eastAsia" w:ascii="宋体" w:hAnsi="宋体" w:eastAsia="宋体" w:cs="宋体"/>
          <w:color w:val="auto"/>
          <w:spacing w:val="-1"/>
          <w:sz w:val="24"/>
          <w:szCs w:val="24"/>
          <w:highlight w:val="none"/>
        </w:rPr>
        <w:t>地点递交（见“重要事项时间地点一览表</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w:t>
      </w:r>
    </w:p>
    <w:p w14:paraId="4E749B93">
      <w:pPr>
        <w:pageBreakBefore w:val="0"/>
        <w:kinsoku/>
        <w:wordWrap w:val="0"/>
        <w:overflowPunct/>
        <w:topLinePunct w:val="0"/>
        <w:bidi w:val="0"/>
        <w:spacing w:before="112" w:line="219" w:lineRule="auto"/>
        <w:ind w:firstLine="478"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13.4  </w:t>
      </w:r>
      <w:r>
        <w:rPr>
          <w:rFonts w:hint="eastAsia" w:ascii="宋体" w:hAnsi="宋体" w:eastAsia="宋体" w:cs="宋体"/>
          <w:color w:val="auto"/>
          <w:spacing w:val="-1"/>
          <w:sz w:val="24"/>
          <w:szCs w:val="24"/>
          <w:highlight w:val="none"/>
        </w:rPr>
        <w:t>代理机构对因不可抗力事件造成的投</w:t>
      </w:r>
      <w:r>
        <w:rPr>
          <w:rFonts w:hint="eastAsia" w:ascii="宋体" w:hAnsi="宋体" w:eastAsia="宋体" w:cs="宋体"/>
          <w:color w:val="auto"/>
          <w:spacing w:val="-2"/>
          <w:sz w:val="24"/>
          <w:szCs w:val="24"/>
          <w:highlight w:val="none"/>
        </w:rPr>
        <w:t>标文件的损坏、丢失的，不承担责任。</w:t>
      </w:r>
    </w:p>
    <w:p w14:paraId="0953908A">
      <w:pPr>
        <w:pageBreakBefore w:val="0"/>
        <w:kinsoku/>
        <w:wordWrap w:val="0"/>
        <w:overflowPunct/>
        <w:topLinePunct w:val="0"/>
        <w:bidi w:val="0"/>
        <w:spacing w:before="116"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13.5</w:t>
      </w:r>
      <w:r>
        <w:rPr>
          <w:rFonts w:hint="eastAsia" w:ascii="宋体" w:hAnsi="宋体" w:eastAsia="宋体" w:cs="宋体"/>
          <w:b/>
          <w:bCs/>
          <w:color w:val="auto"/>
          <w:spacing w:val="15"/>
          <w:sz w:val="24"/>
          <w:szCs w:val="24"/>
          <w:highlight w:val="none"/>
        </w:rPr>
        <w:t xml:space="preserve">  </w:t>
      </w:r>
      <w:r>
        <w:rPr>
          <w:rFonts w:hint="eastAsia" w:ascii="宋体" w:hAnsi="宋体" w:eastAsia="宋体" w:cs="宋体"/>
          <w:color w:val="auto"/>
          <w:spacing w:val="-1"/>
          <w:sz w:val="24"/>
          <w:szCs w:val="24"/>
          <w:highlight w:val="none"/>
        </w:rPr>
        <w:t>出现下述情形之一，属于未成功提</w:t>
      </w:r>
      <w:r>
        <w:rPr>
          <w:rFonts w:hint="eastAsia" w:ascii="宋体" w:hAnsi="宋体" w:eastAsia="宋体" w:cs="宋体"/>
          <w:color w:val="auto"/>
          <w:spacing w:val="-2"/>
          <w:sz w:val="24"/>
          <w:szCs w:val="24"/>
          <w:highlight w:val="none"/>
        </w:rPr>
        <w:t>交投标文件，按无效投标处理：</w:t>
      </w:r>
    </w:p>
    <w:p w14:paraId="4C1A04F2">
      <w:pPr>
        <w:pageBreakBefore w:val="0"/>
        <w:kinsoku/>
        <w:wordWrap w:val="0"/>
        <w:overflowPunct/>
        <w:topLinePunct w:val="0"/>
        <w:bidi w:val="0"/>
        <w:spacing w:before="115" w:line="219"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（1）至提交投标文件截止时，投标文件未完整上传及提交标书；</w:t>
      </w:r>
    </w:p>
    <w:p w14:paraId="136EA809">
      <w:pPr>
        <w:pageBreakBefore w:val="0"/>
        <w:kinsoku/>
        <w:wordWrap w:val="0"/>
        <w:overflowPunct/>
        <w:topLinePunct w:val="0"/>
        <w:bidi w:val="0"/>
        <w:spacing w:before="114"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（2）解密失败且在规定时间内未重新提交投标文件的；</w:t>
      </w:r>
    </w:p>
    <w:p w14:paraId="0AFE6670">
      <w:pPr>
        <w:pageBreakBefore w:val="0"/>
        <w:kinsoku/>
        <w:wordWrap w:val="0"/>
        <w:overflowPunct/>
        <w:topLinePunct w:val="0"/>
        <w:bidi w:val="0"/>
        <w:spacing w:before="115"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（3）投标文件损坏或格式不正确的；</w:t>
      </w:r>
    </w:p>
    <w:p w14:paraId="664AC496">
      <w:pPr>
        <w:pageBreakBefore w:val="0"/>
        <w:kinsoku/>
        <w:wordWrap w:val="0"/>
        <w:overflowPunct/>
        <w:topLinePunct w:val="0"/>
        <w:bidi w:val="0"/>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13.6  </w:t>
      </w:r>
      <w:r>
        <w:rPr>
          <w:rFonts w:hint="eastAsia" w:ascii="宋体" w:hAnsi="宋体" w:eastAsia="宋体" w:cs="宋体"/>
          <w:color w:val="auto"/>
          <w:spacing w:val="-1"/>
          <w:sz w:val="24"/>
          <w:szCs w:val="24"/>
          <w:highlight w:val="none"/>
        </w:rPr>
        <w:t>联合体投标的，由联合体牵头人按以上要求递交相关资料。</w:t>
      </w:r>
    </w:p>
    <w:p w14:paraId="1F03B17B">
      <w:pPr>
        <w:pageBreakBefore w:val="0"/>
        <w:kinsoku/>
        <w:wordWrap w:val="0"/>
        <w:overflowPunct/>
        <w:topLinePunct w:val="0"/>
        <w:bidi w:val="0"/>
        <w:spacing w:before="113" w:line="279" w:lineRule="auto"/>
        <w:ind w:left="9" w:right="24" w:firstLine="48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13.7  </w:t>
      </w:r>
      <w:r>
        <w:rPr>
          <w:rFonts w:hint="eastAsia" w:ascii="宋体" w:hAnsi="宋体" w:eastAsia="宋体" w:cs="宋体"/>
          <w:color w:val="auto"/>
          <w:spacing w:val="-2"/>
          <w:sz w:val="24"/>
          <w:szCs w:val="24"/>
          <w:highlight w:val="none"/>
        </w:rPr>
        <w:t>招标人或其授权的招标代理机构核对、接收投标人递交的投标相关资料后，</w:t>
      </w:r>
      <w:r>
        <w:rPr>
          <w:rFonts w:hint="eastAsia" w:ascii="宋体" w:hAnsi="宋体" w:eastAsia="宋体" w:cs="宋体"/>
          <w:color w:val="auto"/>
          <w:spacing w:val="-1"/>
          <w:sz w:val="24"/>
          <w:szCs w:val="24"/>
          <w:highlight w:val="none"/>
        </w:rPr>
        <w:t>应向投标人出具标明签收</w:t>
      </w:r>
      <w:r>
        <w:rPr>
          <w:rFonts w:hint="eastAsia" w:ascii="宋体" w:hAnsi="宋体" w:eastAsia="宋体" w:cs="宋体"/>
          <w:color w:val="auto"/>
          <w:spacing w:val="-2"/>
          <w:sz w:val="24"/>
          <w:szCs w:val="24"/>
          <w:highlight w:val="none"/>
        </w:rPr>
        <w:t>人和签收时间的凭证，并妥善保管。</w:t>
      </w:r>
    </w:p>
    <w:p w14:paraId="448545F1">
      <w:pPr>
        <w:pageBreakBefore w:val="0"/>
        <w:kinsoku/>
        <w:wordWrap w:val="0"/>
        <w:overflowPunct/>
        <w:topLinePunct w:val="0"/>
        <w:bidi w:val="0"/>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13.8 </w:t>
      </w:r>
      <w:r>
        <w:rPr>
          <w:rFonts w:hint="eastAsia" w:ascii="宋体" w:hAnsi="宋体" w:eastAsia="宋体" w:cs="宋体"/>
          <w:color w:val="auto"/>
          <w:spacing w:val="-2"/>
          <w:sz w:val="24"/>
          <w:szCs w:val="24"/>
          <w:highlight w:val="none"/>
        </w:rPr>
        <w:t xml:space="preserve"> 本次招标投标有效期为</w:t>
      </w:r>
      <w:r>
        <w:rPr>
          <w:rFonts w:hint="eastAsia" w:ascii="宋体" w:hAnsi="宋体" w:eastAsia="宋体" w:cs="宋体"/>
          <w:color w:val="auto"/>
          <w:spacing w:val="-2"/>
          <w:sz w:val="24"/>
          <w:szCs w:val="24"/>
          <w:highlight w:val="none"/>
          <w:u w:val="single"/>
          <w:lang w:eastAsia="zh-CN"/>
        </w:rPr>
        <w:t>90</w:t>
      </w:r>
      <w:r>
        <w:rPr>
          <w:rFonts w:hint="eastAsia" w:ascii="宋体" w:hAnsi="宋体" w:eastAsia="宋体" w:cs="宋体"/>
          <w:color w:val="auto"/>
          <w:spacing w:val="-2"/>
          <w:sz w:val="24"/>
          <w:szCs w:val="24"/>
          <w:highlight w:val="none"/>
        </w:rPr>
        <w:t>个日历天，投标有效期从提交投标文件的截止之日起计算。在此期间，投标人不得撤销或修改其</w:t>
      </w:r>
      <w:r>
        <w:rPr>
          <w:rFonts w:hint="eastAsia" w:ascii="宋体" w:hAnsi="宋体" w:eastAsia="宋体" w:cs="宋体"/>
          <w:color w:val="auto"/>
          <w:spacing w:val="-7"/>
          <w:sz w:val="24"/>
          <w:szCs w:val="24"/>
          <w:highlight w:val="none"/>
        </w:rPr>
        <w:t>投标文件，否则其投标保证不予退还。</w:t>
      </w:r>
    </w:p>
    <w:p w14:paraId="5EEAEF00">
      <w:pPr>
        <w:pageBreakBefore w:val="0"/>
        <w:kinsoku/>
        <w:wordWrap w:val="0"/>
        <w:overflowPunct/>
        <w:topLinePunct w:val="0"/>
        <w:bidi w:val="0"/>
        <w:spacing w:before="145" w:line="221" w:lineRule="auto"/>
        <w:ind w:left="496"/>
        <w:outlineLvl w:val="2"/>
        <w:rPr>
          <w:rFonts w:hint="eastAsia" w:ascii="宋体" w:hAnsi="宋体" w:eastAsia="宋体" w:cs="宋体"/>
          <w:color w:val="auto"/>
          <w:sz w:val="24"/>
          <w:szCs w:val="24"/>
          <w:highlight w:val="none"/>
        </w:rPr>
      </w:pPr>
      <w:bookmarkStart w:id="62" w:name="_Toc28423"/>
      <w:bookmarkStart w:id="63" w:name="_Toc22047"/>
      <w:r>
        <w:rPr>
          <w:rFonts w:hint="eastAsia" w:ascii="宋体" w:hAnsi="宋体" w:eastAsia="宋体" w:cs="宋体"/>
          <w:b/>
          <w:bCs/>
          <w:color w:val="auto"/>
          <w:spacing w:val="-11"/>
          <w:sz w:val="24"/>
          <w:szCs w:val="24"/>
          <w:highlight w:val="none"/>
        </w:rPr>
        <w:t>14</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．开标</w:t>
      </w:r>
      <w:bookmarkEnd w:id="62"/>
      <w:bookmarkEnd w:id="63"/>
    </w:p>
    <w:p w14:paraId="0B0B4CC1">
      <w:pPr>
        <w:pageBreakBefore w:val="0"/>
        <w:kinsoku/>
        <w:wordWrap w:val="0"/>
        <w:overflowPunct/>
        <w:topLinePunct w:val="0"/>
        <w:bidi w:val="0"/>
        <w:spacing w:before="155" w:line="329" w:lineRule="auto"/>
        <w:ind w:left="10" w:right="81" w:firstLine="48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14.1  </w:t>
      </w:r>
      <w:r>
        <w:rPr>
          <w:rFonts w:hint="eastAsia" w:ascii="宋体" w:hAnsi="宋体" w:eastAsia="宋体" w:cs="宋体"/>
          <w:color w:val="auto"/>
          <w:spacing w:val="-3"/>
          <w:sz w:val="24"/>
          <w:szCs w:val="24"/>
          <w:highlight w:val="none"/>
        </w:rPr>
        <w:t>招标人邀请所有正确获取招标文件、电子投标、缴纳投标保证的投标人参加</w:t>
      </w:r>
      <w:r>
        <w:rPr>
          <w:rFonts w:hint="eastAsia" w:ascii="宋体" w:hAnsi="宋体" w:eastAsia="宋体" w:cs="宋体"/>
          <w:color w:val="auto"/>
          <w:spacing w:val="-1"/>
          <w:sz w:val="24"/>
          <w:szCs w:val="24"/>
          <w:highlight w:val="none"/>
        </w:rPr>
        <w:t>开标，投标人可自主决定是否参加。投标人可登陆交易平台</w:t>
      </w:r>
      <w:r>
        <w:rPr>
          <w:rFonts w:hint="eastAsia" w:ascii="宋体" w:hAnsi="宋体" w:eastAsia="宋体" w:cs="宋体"/>
          <w:color w:val="auto"/>
          <w:spacing w:val="-2"/>
          <w:sz w:val="24"/>
          <w:szCs w:val="24"/>
          <w:highlight w:val="none"/>
        </w:rPr>
        <w:t>观看开标实况、提出异议</w:t>
      </w:r>
      <w:r>
        <w:rPr>
          <w:rFonts w:hint="eastAsia" w:ascii="宋体" w:hAnsi="宋体" w:eastAsia="宋体" w:cs="宋体"/>
          <w:color w:val="auto"/>
          <w:spacing w:val="-1"/>
          <w:sz w:val="24"/>
          <w:szCs w:val="24"/>
          <w:highlight w:val="none"/>
        </w:rPr>
        <w:t>或进行澄清、确认等操作（具体按招标文件和系统操作手册</w:t>
      </w:r>
      <w:r>
        <w:rPr>
          <w:rFonts w:hint="eastAsia" w:ascii="宋体" w:hAnsi="宋体" w:eastAsia="宋体" w:cs="宋体"/>
          <w:color w:val="auto"/>
          <w:spacing w:val="-2"/>
          <w:sz w:val="24"/>
          <w:szCs w:val="24"/>
          <w:highlight w:val="none"/>
        </w:rPr>
        <w:t>为准）。投标人不参加开</w:t>
      </w:r>
      <w:bookmarkStart w:id="64" w:name="bookmark123"/>
      <w:bookmarkEnd w:id="64"/>
      <w:r>
        <w:rPr>
          <w:rFonts w:hint="eastAsia" w:ascii="宋体" w:hAnsi="宋体" w:eastAsia="宋体" w:cs="宋体"/>
          <w:color w:val="auto"/>
          <w:sz w:val="24"/>
          <w:szCs w:val="24"/>
          <w:highlight w:val="none"/>
        </w:rPr>
        <w:t>标的，视其默认开标结果，以及放弃在开标期间见证、</w:t>
      </w:r>
      <w:r>
        <w:rPr>
          <w:rFonts w:hint="eastAsia" w:ascii="宋体" w:hAnsi="宋体" w:eastAsia="宋体" w:cs="宋体"/>
          <w:color w:val="auto"/>
          <w:spacing w:val="-1"/>
          <w:sz w:val="24"/>
          <w:szCs w:val="24"/>
          <w:highlight w:val="none"/>
        </w:rPr>
        <w:t>监督、投诉、申辩的权利。</w:t>
      </w:r>
    </w:p>
    <w:p w14:paraId="3406F8BE">
      <w:pPr>
        <w:pageBreakBefore w:val="0"/>
        <w:kinsoku/>
        <w:wordWrap w:val="0"/>
        <w:overflowPunct/>
        <w:topLinePunct w:val="0"/>
        <w:bidi w:val="0"/>
        <w:spacing w:before="156"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14.1.1  </w:t>
      </w:r>
      <w:r>
        <w:rPr>
          <w:rFonts w:hint="eastAsia" w:ascii="宋体" w:hAnsi="宋体" w:eastAsia="宋体" w:cs="宋体"/>
          <w:color w:val="auto"/>
          <w:sz w:val="24"/>
          <w:szCs w:val="24"/>
          <w:highlight w:val="none"/>
        </w:rPr>
        <w:t>开标时间和地点：见本章第</w:t>
      </w:r>
      <w:r>
        <w:rPr>
          <w:rFonts w:hint="eastAsia" w:ascii="宋体" w:hAnsi="宋体" w:eastAsia="宋体" w:cs="宋体"/>
          <w:color w:val="auto"/>
          <w:spacing w:val="-1"/>
          <w:sz w:val="24"/>
          <w:szCs w:val="24"/>
          <w:highlight w:val="none"/>
        </w:rPr>
        <w:t>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p>
    <w:p w14:paraId="350BB8FC">
      <w:pPr>
        <w:keepNext w:val="0"/>
        <w:keepLines w:val="0"/>
        <w:pageBreakBefore w:val="0"/>
        <w:widowControl/>
        <w:kinsoku/>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 xml:space="preserve">14.1.2 </w:t>
      </w:r>
      <w:r>
        <w:rPr>
          <w:rFonts w:hint="eastAsia" w:ascii="宋体" w:hAnsi="宋体" w:eastAsia="宋体" w:cs="宋体"/>
          <w:color w:val="auto"/>
          <w:spacing w:val="-7"/>
          <w:sz w:val="24"/>
          <w:szCs w:val="24"/>
          <w:highlight w:val="none"/>
        </w:rPr>
        <w:t>开标前</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7"/>
          <w:sz w:val="24"/>
          <w:szCs w:val="24"/>
          <w:highlight w:val="none"/>
        </w:rPr>
        <w:t>小时，若建设工程交易系统显示缴</w:t>
      </w:r>
      <w:r>
        <w:rPr>
          <w:rFonts w:hint="eastAsia" w:ascii="宋体" w:hAnsi="宋体" w:eastAsia="宋体" w:cs="宋体"/>
          <w:color w:val="auto"/>
          <w:spacing w:val="-8"/>
          <w:sz w:val="24"/>
          <w:szCs w:val="24"/>
          <w:highlight w:val="none"/>
        </w:rPr>
        <w:t>纳投标保证（包括投标保证金、</w:t>
      </w:r>
      <w:r>
        <w:rPr>
          <w:rFonts w:hint="eastAsia" w:ascii="宋体" w:hAnsi="宋体" w:eastAsia="宋体" w:cs="宋体"/>
          <w:color w:val="auto"/>
          <w:spacing w:val="-2"/>
          <w:sz w:val="24"/>
          <w:szCs w:val="24"/>
          <w:highlight w:val="none"/>
        </w:rPr>
        <w:t>投标保证担保、投标保证保险）的投标人数量不足</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个时，招标人将取消原定于次日</w:t>
      </w:r>
      <w:r>
        <w:rPr>
          <w:rFonts w:hint="eastAsia" w:ascii="宋体" w:hAnsi="宋体" w:eastAsia="宋体" w:cs="宋体"/>
          <w:color w:val="auto"/>
          <w:spacing w:val="-1"/>
          <w:sz w:val="24"/>
          <w:szCs w:val="24"/>
          <w:highlight w:val="none"/>
        </w:rPr>
        <w:t>召开的开标活动。投标人可在投标保证缴纳截止时间（见本章</w:t>
      </w:r>
      <w:r>
        <w:rPr>
          <w:rFonts w:hint="eastAsia" w:ascii="宋体" w:hAnsi="宋体" w:eastAsia="宋体" w:cs="宋体"/>
          <w:color w:val="auto"/>
          <w:spacing w:val="-2"/>
          <w:sz w:val="24"/>
          <w:szCs w:val="24"/>
          <w:highlight w:val="none"/>
        </w:rPr>
        <w:t>第二节“重要事项时间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”）至电子投标截止时间（见本章第二节“重要事项时间地点一览</w:t>
      </w:r>
      <w:r>
        <w:rPr>
          <w:rFonts w:hint="eastAsia" w:ascii="宋体" w:hAnsi="宋体" w:eastAsia="宋体" w:cs="宋体"/>
          <w:color w:val="auto"/>
          <w:spacing w:val="-2"/>
          <w:sz w:val="24"/>
          <w:szCs w:val="24"/>
          <w:highlight w:val="none"/>
        </w:rPr>
        <w:t>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期间登录全国公共资源交易平台（广东省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22"/>
          <w:sz w:val="24"/>
          <w:szCs w:val="24"/>
          <w:highlight w:val="none"/>
        </w:rPr>
        <w:t>）（</w:t>
      </w:r>
      <w:r>
        <w:rPr>
          <w:rFonts w:hint="eastAsia" w:ascii="宋体" w:hAnsi="宋体" w:eastAsia="宋体" w:cs="宋体"/>
          <w:color w:val="auto"/>
          <w:spacing w:val="-2"/>
          <w:sz w:val="24"/>
          <w:szCs w:val="24"/>
          <w:highlight w:val="none"/>
        </w:rPr>
        <w:t>https://ygp.gdzwfw.gov.cn/</w:t>
      </w:r>
      <w:r>
        <w:rPr>
          <w:rFonts w:hint="eastAsia" w:ascii="宋体" w:hAnsi="宋体" w:eastAsia="宋体" w:cs="宋体"/>
          <w:color w:val="auto"/>
          <w:sz w:val="24"/>
          <w:szCs w:val="24"/>
          <w:highlight w:val="none"/>
        </w:rPr>
        <w:t xml:space="preserve"> ggzy-portal/#/440200/index）查询是否发布了取</w:t>
      </w:r>
      <w:r>
        <w:rPr>
          <w:rFonts w:hint="eastAsia" w:ascii="宋体" w:hAnsi="宋体" w:eastAsia="宋体" w:cs="宋体"/>
          <w:color w:val="auto"/>
          <w:spacing w:val="-1"/>
          <w:sz w:val="24"/>
          <w:szCs w:val="24"/>
          <w:highlight w:val="none"/>
        </w:rPr>
        <w:t>消开标活动的相关信息。</w:t>
      </w:r>
    </w:p>
    <w:p w14:paraId="4F0435AE">
      <w:pPr>
        <w:pageBreakBefore w:val="0"/>
        <w:kinsoku/>
        <w:wordWrap w:val="0"/>
        <w:overflowPunct/>
        <w:topLinePunct w:val="0"/>
        <w:bidi w:val="0"/>
        <w:spacing w:before="159" w:line="319" w:lineRule="auto"/>
        <w:ind w:left="10" w:right="80" w:firstLine="49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14.1.3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本项目实行全流程电子化招标投标，投标人在交易平台按要求上传加盖电</w:t>
      </w:r>
      <w:r>
        <w:rPr>
          <w:rFonts w:hint="eastAsia" w:ascii="宋体" w:hAnsi="宋体" w:eastAsia="宋体" w:cs="宋体"/>
          <w:color w:val="auto"/>
          <w:spacing w:val="-1"/>
          <w:sz w:val="24"/>
          <w:szCs w:val="24"/>
          <w:highlight w:val="none"/>
        </w:rPr>
        <w:t>子印章并经加密的电子投标文件，并在交易平台录入准确的</w:t>
      </w:r>
      <w:r>
        <w:rPr>
          <w:rFonts w:hint="eastAsia" w:ascii="宋体" w:hAnsi="宋体" w:eastAsia="宋体" w:cs="宋体"/>
          <w:color w:val="auto"/>
          <w:spacing w:val="-2"/>
          <w:sz w:val="24"/>
          <w:szCs w:val="24"/>
          <w:highlight w:val="none"/>
        </w:rPr>
        <w:t>页码信息即可完成在线投</w:t>
      </w:r>
      <w:r>
        <w:rPr>
          <w:rFonts w:hint="eastAsia" w:ascii="宋体" w:hAnsi="宋体" w:eastAsia="宋体" w:cs="宋体"/>
          <w:color w:val="auto"/>
          <w:spacing w:val="-1"/>
          <w:sz w:val="24"/>
          <w:szCs w:val="24"/>
          <w:highlight w:val="none"/>
        </w:rPr>
        <w:t>标</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由于投标人原因导致未按投标截至时限上传完整投标文</w:t>
      </w:r>
      <w:r>
        <w:rPr>
          <w:rFonts w:hint="eastAsia" w:ascii="宋体" w:hAnsi="宋体" w:eastAsia="宋体" w:cs="宋体"/>
          <w:color w:val="auto"/>
          <w:spacing w:val="-2"/>
          <w:sz w:val="24"/>
          <w:szCs w:val="24"/>
          <w:highlight w:val="none"/>
        </w:rPr>
        <w:t>件、在交易平台中上传的</w:t>
      </w:r>
      <w:r>
        <w:rPr>
          <w:rFonts w:hint="eastAsia" w:ascii="宋体" w:hAnsi="宋体" w:eastAsia="宋体" w:cs="宋体"/>
          <w:color w:val="auto"/>
          <w:spacing w:val="-1"/>
          <w:sz w:val="24"/>
          <w:szCs w:val="24"/>
          <w:highlight w:val="none"/>
        </w:rPr>
        <w:t>投标文件无法解密、投标文件损坏或格式不正确、投标文件</w:t>
      </w:r>
      <w:r>
        <w:rPr>
          <w:rFonts w:hint="eastAsia" w:ascii="宋体" w:hAnsi="宋体" w:eastAsia="宋体" w:cs="宋体"/>
          <w:color w:val="auto"/>
          <w:spacing w:val="-2"/>
          <w:sz w:val="24"/>
          <w:szCs w:val="24"/>
          <w:highlight w:val="none"/>
        </w:rPr>
        <w:t>未按招标文件要求加盖电</w:t>
      </w:r>
      <w:r>
        <w:rPr>
          <w:rFonts w:hint="eastAsia" w:ascii="宋体" w:hAnsi="宋体" w:eastAsia="宋体" w:cs="宋体"/>
          <w:color w:val="auto"/>
          <w:spacing w:val="-1"/>
          <w:sz w:val="24"/>
          <w:szCs w:val="24"/>
          <w:highlight w:val="none"/>
        </w:rPr>
        <w:t>子印章或电子印章不完整、电子投标文件解密失败且未按要</w:t>
      </w:r>
      <w:r>
        <w:rPr>
          <w:rFonts w:hint="eastAsia" w:ascii="宋体" w:hAnsi="宋体" w:eastAsia="宋体" w:cs="宋体"/>
          <w:color w:val="auto"/>
          <w:spacing w:val="-2"/>
          <w:sz w:val="24"/>
          <w:szCs w:val="24"/>
          <w:highlight w:val="none"/>
        </w:rPr>
        <w:t>求上传备用投标文件等情</w:t>
      </w:r>
      <w:r>
        <w:rPr>
          <w:rFonts w:hint="eastAsia" w:ascii="宋体" w:hAnsi="宋体" w:eastAsia="宋体" w:cs="宋体"/>
          <w:color w:val="auto"/>
          <w:spacing w:val="-1"/>
          <w:sz w:val="24"/>
          <w:szCs w:val="24"/>
          <w:highlight w:val="none"/>
        </w:rPr>
        <w:t>形导致投标无效的，由投标人自行负责。</w:t>
      </w:r>
    </w:p>
    <w:p w14:paraId="01A13E25">
      <w:pPr>
        <w:pageBreakBefore w:val="0"/>
        <w:kinsoku/>
        <w:wordWrap w:val="0"/>
        <w:overflowPunct/>
        <w:topLinePunct w:val="0"/>
        <w:bidi w:val="0"/>
        <w:spacing w:before="152" w:line="221"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14.2  </w:t>
      </w:r>
      <w:r>
        <w:rPr>
          <w:rFonts w:hint="eastAsia" w:ascii="宋体" w:hAnsi="宋体" w:eastAsia="宋体" w:cs="宋体"/>
          <w:color w:val="auto"/>
          <w:spacing w:val="-2"/>
          <w:sz w:val="24"/>
          <w:szCs w:val="24"/>
          <w:highlight w:val="none"/>
        </w:rPr>
        <w:t>开标程序</w:t>
      </w:r>
    </w:p>
    <w:p w14:paraId="3F266000">
      <w:pPr>
        <w:pageBreakBefore w:val="0"/>
        <w:kinsoku/>
        <w:wordWrap w:val="0"/>
        <w:overflowPunct/>
        <w:topLinePunct w:val="0"/>
        <w:bidi w:val="0"/>
        <w:spacing w:before="42" w:line="219" w:lineRule="auto"/>
        <w:ind w:left="501"/>
        <w:outlineLvl w:val="9"/>
        <w:rPr>
          <w:rFonts w:hint="eastAsia" w:ascii="宋体" w:hAnsi="宋体" w:eastAsia="宋体" w:cs="宋体"/>
          <w:color w:val="auto"/>
          <w:sz w:val="24"/>
          <w:szCs w:val="24"/>
          <w:highlight w:val="none"/>
        </w:rPr>
      </w:pPr>
      <w:bookmarkStart w:id="65" w:name="_Toc10291"/>
      <w:bookmarkStart w:id="66" w:name="_Toc15587"/>
      <w:bookmarkStart w:id="67" w:name="_Toc8314"/>
      <w:bookmarkStart w:id="68" w:name="_Toc10685"/>
      <w:r>
        <w:rPr>
          <w:rFonts w:hint="eastAsia" w:ascii="宋体" w:hAnsi="宋体" w:eastAsia="宋体" w:cs="宋体"/>
          <w:color w:val="auto"/>
          <w:spacing w:val="-1"/>
          <w:sz w:val="24"/>
          <w:szCs w:val="24"/>
          <w:highlight w:val="none"/>
        </w:rPr>
        <w:t>（1）主持人（招标人代表或招标人授权的招标代理机构人员）宣读开标纪律。</w:t>
      </w:r>
      <w:bookmarkEnd w:id="65"/>
      <w:bookmarkEnd w:id="66"/>
      <w:bookmarkEnd w:id="67"/>
      <w:bookmarkEnd w:id="68"/>
    </w:p>
    <w:p w14:paraId="3C99B892">
      <w:pPr>
        <w:pageBreakBefore w:val="0"/>
        <w:kinsoku/>
        <w:wordWrap w:val="0"/>
        <w:overflowPunct/>
        <w:topLinePunct w:val="0"/>
        <w:bidi w:val="0"/>
        <w:spacing w:before="181" w:line="219" w:lineRule="auto"/>
        <w:ind w:left="501"/>
        <w:outlineLvl w:val="9"/>
        <w:rPr>
          <w:rFonts w:hint="eastAsia" w:ascii="宋体" w:hAnsi="宋体" w:eastAsia="宋体" w:cs="宋体"/>
          <w:color w:val="auto"/>
          <w:sz w:val="24"/>
          <w:szCs w:val="24"/>
          <w:highlight w:val="none"/>
        </w:rPr>
      </w:pPr>
      <w:bookmarkStart w:id="69" w:name="_Toc2011"/>
      <w:bookmarkStart w:id="70" w:name="_Toc16292"/>
      <w:bookmarkStart w:id="71" w:name="_Toc20238"/>
      <w:bookmarkStart w:id="72" w:name="_Toc30853"/>
      <w:r>
        <w:rPr>
          <w:rFonts w:hint="eastAsia" w:ascii="宋体" w:hAnsi="宋体" w:eastAsia="宋体" w:cs="宋体"/>
          <w:color w:val="auto"/>
          <w:spacing w:val="-1"/>
          <w:sz w:val="24"/>
          <w:szCs w:val="24"/>
          <w:highlight w:val="none"/>
        </w:rPr>
        <w:t>（2）主持人宣布唱标人、记录人、见证人、监督人等有关人员姓名。</w:t>
      </w:r>
      <w:bookmarkEnd w:id="69"/>
      <w:bookmarkEnd w:id="70"/>
      <w:bookmarkEnd w:id="71"/>
      <w:bookmarkEnd w:id="72"/>
    </w:p>
    <w:p w14:paraId="19271947">
      <w:pPr>
        <w:pageBreakBefore w:val="0"/>
        <w:kinsoku/>
        <w:wordWrap w:val="0"/>
        <w:overflowPunct/>
        <w:topLinePunct w:val="0"/>
        <w:bidi w:val="0"/>
        <w:spacing w:before="183" w:line="219" w:lineRule="auto"/>
        <w:ind w:left="501"/>
        <w:outlineLvl w:val="9"/>
        <w:rPr>
          <w:rFonts w:hint="eastAsia" w:ascii="宋体" w:hAnsi="宋体" w:eastAsia="宋体" w:cs="宋体"/>
          <w:color w:val="auto"/>
          <w:sz w:val="24"/>
          <w:szCs w:val="24"/>
          <w:highlight w:val="none"/>
        </w:rPr>
      </w:pPr>
      <w:bookmarkStart w:id="73" w:name="_Toc1974"/>
      <w:bookmarkStart w:id="74" w:name="_Toc26494"/>
      <w:bookmarkStart w:id="75" w:name="_Toc31716"/>
      <w:bookmarkStart w:id="76" w:name="_Toc17462"/>
      <w:r>
        <w:rPr>
          <w:rFonts w:hint="eastAsia" w:ascii="宋体" w:hAnsi="宋体" w:eastAsia="宋体" w:cs="宋体"/>
          <w:color w:val="auto"/>
          <w:spacing w:val="-1"/>
          <w:sz w:val="24"/>
          <w:szCs w:val="24"/>
          <w:highlight w:val="none"/>
        </w:rPr>
        <w:t>（3）唱标人公布在投标截止时间前进行投标文件的投标人数量和名称</w:t>
      </w:r>
      <w:bookmarkEnd w:id="73"/>
      <w:bookmarkEnd w:id="74"/>
      <w:bookmarkEnd w:id="75"/>
      <w:bookmarkEnd w:id="76"/>
    </w:p>
    <w:p w14:paraId="4195A8F3">
      <w:pPr>
        <w:pageBreakBefore w:val="0"/>
        <w:kinsoku/>
        <w:wordWrap w:val="0"/>
        <w:overflowPunct/>
        <w:topLinePunct w:val="0"/>
        <w:bidi w:val="0"/>
        <w:spacing w:before="181" w:line="219" w:lineRule="auto"/>
        <w:ind w:left="501"/>
        <w:outlineLvl w:val="9"/>
        <w:rPr>
          <w:rFonts w:hint="eastAsia" w:ascii="宋体" w:hAnsi="宋体" w:eastAsia="宋体" w:cs="宋体"/>
          <w:color w:val="auto"/>
          <w:sz w:val="24"/>
          <w:szCs w:val="24"/>
          <w:highlight w:val="none"/>
        </w:rPr>
      </w:pPr>
      <w:bookmarkStart w:id="77" w:name="_Toc15860"/>
      <w:bookmarkStart w:id="78" w:name="_Toc27967"/>
      <w:bookmarkStart w:id="79" w:name="_Toc8179"/>
      <w:bookmarkStart w:id="80" w:name="_Toc20559"/>
      <w:r>
        <w:rPr>
          <w:rFonts w:hint="eastAsia" w:ascii="宋体" w:hAnsi="宋体" w:eastAsia="宋体" w:cs="宋体"/>
          <w:color w:val="auto"/>
          <w:spacing w:val="2"/>
          <w:sz w:val="24"/>
          <w:szCs w:val="24"/>
          <w:highlight w:val="none"/>
        </w:rPr>
        <w:t>（4）招标代理机构会同交易场所工作人员对投标人的</w:t>
      </w:r>
      <w:r>
        <w:rPr>
          <w:rFonts w:hint="eastAsia" w:ascii="宋体" w:hAnsi="宋体" w:eastAsia="宋体" w:cs="宋体"/>
          <w:color w:val="auto"/>
          <w:spacing w:val="1"/>
          <w:sz w:val="24"/>
          <w:szCs w:val="24"/>
          <w:highlight w:val="none"/>
        </w:rPr>
        <w:t>电子投标信息进行解密，</w:t>
      </w:r>
      <w:bookmarkEnd w:id="77"/>
      <w:bookmarkEnd w:id="78"/>
      <w:bookmarkEnd w:id="79"/>
      <w:bookmarkEnd w:id="80"/>
    </w:p>
    <w:p w14:paraId="4C6D83AB">
      <w:pPr>
        <w:pageBreakBefore w:val="0"/>
        <w:kinsoku/>
        <w:wordWrap w:val="0"/>
        <w:overflowPunct/>
        <w:topLinePunct w:val="0"/>
        <w:bidi w:val="0"/>
        <w:spacing w:before="183" w:line="220" w:lineRule="auto"/>
        <w:ind w:left="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建设工程交易系统自动生成《投标保证缴纳情况表》和《开标一览表》。</w:t>
      </w:r>
    </w:p>
    <w:p w14:paraId="0A1A93F2">
      <w:pPr>
        <w:pageBreakBefore w:val="0"/>
        <w:kinsoku/>
        <w:wordWrap w:val="0"/>
        <w:overflowPunct/>
        <w:topLinePunct w:val="0"/>
        <w:bidi w:val="0"/>
        <w:spacing w:before="182" w:line="360" w:lineRule="auto"/>
        <w:ind w:firstLine="466" w:firstLineChars="200"/>
        <w:outlineLvl w:val="9"/>
        <w:rPr>
          <w:rFonts w:hint="eastAsia" w:ascii="宋体" w:hAnsi="宋体" w:eastAsia="宋体" w:cs="宋体"/>
          <w:color w:val="auto"/>
          <w:sz w:val="24"/>
          <w:szCs w:val="24"/>
          <w:highlight w:val="none"/>
        </w:rPr>
      </w:pPr>
      <w:bookmarkStart w:id="81" w:name="_Toc28812"/>
      <w:bookmarkStart w:id="82" w:name="_Toc2199"/>
      <w:bookmarkStart w:id="83" w:name="_Toc28266"/>
      <w:bookmarkStart w:id="84" w:name="_Toc26216"/>
      <w:r>
        <w:rPr>
          <w:rFonts w:hint="eastAsia" w:ascii="宋体" w:hAnsi="宋体" w:eastAsia="宋体" w:cs="宋体"/>
          <w:b/>
          <w:bCs/>
          <w:color w:val="auto"/>
          <w:spacing w:val="-4"/>
          <w:sz w:val="24"/>
          <w:szCs w:val="24"/>
          <w:highlight w:val="none"/>
        </w:rPr>
        <w:t>温馨提示：因本项目实行全流程电子化招标投标，投标人无须进行现场签到，可</w:t>
      </w:r>
      <w:bookmarkEnd w:id="81"/>
      <w:bookmarkEnd w:id="82"/>
      <w:bookmarkEnd w:id="83"/>
      <w:r>
        <w:rPr>
          <w:rFonts w:hint="eastAsia" w:ascii="宋体" w:hAnsi="宋体" w:eastAsia="宋体" w:cs="宋体"/>
          <w:b/>
          <w:bCs/>
          <w:color w:val="auto"/>
          <w:spacing w:val="-4"/>
          <w:sz w:val="24"/>
          <w:szCs w:val="24"/>
          <w:highlight w:val="none"/>
        </w:rPr>
        <w:t>登录交易平台观看开标实况、提出异议或进行澄清、确认等操作，对开标事项的异议</w:t>
      </w:r>
      <w:r>
        <w:rPr>
          <w:rFonts w:hint="eastAsia" w:ascii="宋体" w:hAnsi="宋体" w:eastAsia="宋体" w:cs="宋体"/>
          <w:b/>
          <w:bCs/>
          <w:color w:val="auto"/>
          <w:spacing w:val="-2"/>
          <w:sz w:val="24"/>
          <w:szCs w:val="24"/>
          <w:highlight w:val="none"/>
        </w:rPr>
        <w:t>未在开标期间提出的，招标</w:t>
      </w:r>
      <w:r>
        <w:rPr>
          <w:rFonts w:hint="eastAsia" w:ascii="宋体" w:hAnsi="宋体" w:eastAsia="宋体" w:cs="宋体"/>
          <w:b/>
          <w:bCs/>
          <w:color w:val="auto"/>
          <w:spacing w:val="-2"/>
          <w:sz w:val="24"/>
          <w:szCs w:val="24"/>
          <w:highlight w:val="none"/>
          <w:lang w:eastAsia="zh-CN"/>
        </w:rPr>
        <w:t>人不</w:t>
      </w:r>
      <w:r>
        <w:rPr>
          <w:rFonts w:hint="eastAsia" w:ascii="宋体" w:hAnsi="宋体" w:eastAsia="宋体" w:cs="宋体"/>
          <w:b/>
          <w:bCs/>
          <w:color w:val="auto"/>
          <w:spacing w:val="-2"/>
          <w:sz w:val="24"/>
          <w:szCs w:val="24"/>
          <w:highlight w:val="none"/>
        </w:rPr>
        <w:t>予受理。具体按招标文件和系统操作手册为</w:t>
      </w:r>
      <w:r>
        <w:rPr>
          <w:rFonts w:hint="eastAsia" w:ascii="宋体" w:hAnsi="宋体" w:eastAsia="宋体" w:cs="宋体"/>
          <w:b/>
          <w:bCs/>
          <w:color w:val="auto"/>
          <w:spacing w:val="-3"/>
          <w:sz w:val="24"/>
          <w:szCs w:val="24"/>
          <w:highlight w:val="none"/>
        </w:rPr>
        <w:t>准。</w:t>
      </w:r>
      <w:bookmarkEnd w:id="84"/>
    </w:p>
    <w:p w14:paraId="230C0802">
      <w:pPr>
        <w:pageBreakBefore w:val="0"/>
        <w:kinsoku/>
        <w:wordWrap w:val="0"/>
        <w:overflowPunct/>
        <w:topLinePunct w:val="0"/>
        <w:bidi w:val="0"/>
        <w:spacing w:before="143" w:line="299" w:lineRule="auto"/>
        <w:ind w:left="11" w:right="8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14.3  </w:t>
      </w:r>
      <w:r>
        <w:rPr>
          <w:rFonts w:hint="eastAsia" w:ascii="宋体" w:hAnsi="宋体" w:eastAsia="宋体" w:cs="宋体"/>
          <w:color w:val="auto"/>
          <w:spacing w:val="-3"/>
          <w:sz w:val="24"/>
          <w:szCs w:val="24"/>
          <w:highlight w:val="none"/>
        </w:rPr>
        <w:t>投标人对开标相关事项（如开标程序等）有异议的，必须在开标期间和开标</w:t>
      </w:r>
      <w:r>
        <w:rPr>
          <w:rFonts w:hint="eastAsia" w:ascii="宋体" w:hAnsi="宋体" w:eastAsia="宋体" w:cs="宋体"/>
          <w:color w:val="auto"/>
          <w:spacing w:val="-1"/>
          <w:sz w:val="24"/>
          <w:szCs w:val="24"/>
          <w:highlight w:val="none"/>
        </w:rPr>
        <w:t>现场提出，招标人或其授权的招标代理机构应当场作出答</w:t>
      </w:r>
      <w:r>
        <w:rPr>
          <w:rFonts w:hint="eastAsia" w:ascii="宋体" w:hAnsi="宋体" w:eastAsia="宋体" w:cs="宋体"/>
          <w:color w:val="auto"/>
          <w:spacing w:val="-2"/>
          <w:sz w:val="24"/>
          <w:szCs w:val="24"/>
          <w:highlight w:val="none"/>
        </w:rPr>
        <w:t>复，并记录在案。对开标事</w:t>
      </w:r>
      <w:r>
        <w:rPr>
          <w:rFonts w:hint="eastAsia" w:ascii="宋体" w:hAnsi="宋体" w:eastAsia="宋体" w:cs="宋体"/>
          <w:color w:val="auto"/>
          <w:spacing w:val="-1"/>
          <w:sz w:val="24"/>
          <w:szCs w:val="24"/>
          <w:highlight w:val="none"/>
        </w:rPr>
        <w:t>项的异议未在开标期间和开标现场提出的，招标人不予受理。</w:t>
      </w:r>
    </w:p>
    <w:p w14:paraId="3F93A9EF">
      <w:pPr>
        <w:pageBreakBefore w:val="0"/>
        <w:kinsoku/>
        <w:wordWrap w:val="0"/>
        <w:overflowPunct/>
        <w:topLinePunct w:val="0"/>
        <w:bidi w:val="0"/>
        <w:spacing w:before="155" w:line="279" w:lineRule="auto"/>
        <w:ind w:left="8" w:right="82" w:firstLine="48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14.4 </w:t>
      </w:r>
      <w:r>
        <w:rPr>
          <w:rFonts w:hint="eastAsia" w:ascii="宋体" w:hAnsi="宋体" w:eastAsia="宋体" w:cs="宋体"/>
          <w:color w:val="auto"/>
          <w:spacing w:val="-1"/>
          <w:sz w:val="24"/>
          <w:szCs w:val="24"/>
          <w:highlight w:val="none"/>
        </w:rPr>
        <w:t>招标代理机构将资料原件（如有）</w:t>
      </w:r>
      <w:r>
        <w:rPr>
          <w:rFonts w:hint="eastAsia" w:ascii="宋体" w:hAnsi="宋体" w:eastAsia="宋体" w:cs="宋体"/>
          <w:color w:val="auto"/>
          <w:spacing w:val="-2"/>
          <w:sz w:val="24"/>
          <w:szCs w:val="24"/>
          <w:highlight w:val="none"/>
        </w:rPr>
        <w:t>、《开标一览表》以及其他有关资料移交评标委员会。</w:t>
      </w:r>
    </w:p>
    <w:p w14:paraId="59A5BE61">
      <w:pPr>
        <w:pageBreakBefore w:val="0"/>
        <w:kinsoku/>
        <w:wordWrap w:val="0"/>
        <w:overflowPunct/>
        <w:topLinePunct w:val="0"/>
        <w:bidi w:val="0"/>
        <w:spacing w:before="78" w:line="221" w:lineRule="auto"/>
        <w:ind w:left="496"/>
        <w:outlineLvl w:val="2"/>
        <w:rPr>
          <w:rFonts w:hint="eastAsia" w:ascii="宋体" w:hAnsi="宋体" w:eastAsia="宋体" w:cs="宋体"/>
          <w:color w:val="auto"/>
          <w:highlight w:val="none"/>
        </w:rPr>
      </w:pPr>
      <w:bookmarkStart w:id="85" w:name="_Toc21044"/>
      <w:bookmarkStart w:id="86" w:name="_Toc961"/>
      <w:r>
        <w:rPr>
          <w:rFonts w:hint="eastAsia" w:ascii="宋体" w:hAnsi="宋体" w:eastAsia="宋体" w:cs="宋体"/>
          <w:b/>
          <w:bCs/>
          <w:color w:val="auto"/>
          <w:spacing w:val="-11"/>
          <w:sz w:val="24"/>
          <w:szCs w:val="24"/>
          <w:highlight w:val="none"/>
        </w:rPr>
        <w:t>15</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．评标</w:t>
      </w:r>
      <w:bookmarkEnd w:id="85"/>
      <w:bookmarkEnd w:id="86"/>
    </w:p>
    <w:p w14:paraId="56C52FCC">
      <w:pPr>
        <w:keepNext w:val="0"/>
        <w:keepLines w:val="0"/>
        <w:pageBreakBefore w:val="0"/>
        <w:widowControl w:val="0"/>
        <w:kinsoku/>
        <w:wordWrap w:val="0"/>
        <w:overflowPunct/>
        <w:topLinePunct w:val="0"/>
        <w:autoSpaceDE w:val="0"/>
        <w:autoSpaceDN w:val="0"/>
        <w:bidi w:val="0"/>
        <w:adjustRightInd/>
        <w:snapToGrid/>
        <w:spacing w:before="0" w:beforeLines="50" w:line="360" w:lineRule="auto"/>
        <w:ind w:firstLine="480" w:firstLineChars="200"/>
        <w:textAlignment w:val="baseline"/>
        <w:rPr>
          <w:rFonts w:hint="eastAsia" w:ascii="宋体" w:hAnsi="宋体" w:eastAsia="宋体" w:cs="宋体"/>
          <w:snapToGrid w:val="0"/>
          <w:color w:val="auto"/>
          <w:kern w:val="0"/>
          <w:sz w:val="24"/>
          <w:szCs w:val="24"/>
          <w:highlight w:val="none"/>
        </w:rPr>
      </w:pPr>
      <w:bookmarkStart w:id="87" w:name="bookmark124"/>
      <w:bookmarkEnd w:id="87"/>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评标分为初步评审和详细评审两个阶段，由评标委员会在有关部门的监督下，严格按照本招标文件指定的评标方法，对投标人的投标文件进行审查、评审。评标委员会完成评标后，评标委员会按照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排序），并向招标人提交由全体评标委员会成员签字的评标报告。</w:t>
      </w:r>
    </w:p>
    <w:p w14:paraId="3F658121">
      <w:pPr>
        <w:pageBreakBefore w:val="0"/>
        <w:kinsoku/>
        <w:wordWrap w:val="0"/>
        <w:overflowPunct/>
        <w:topLinePunct w:val="0"/>
        <w:bidi w:val="0"/>
        <w:spacing w:before="38"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  </w:t>
      </w:r>
      <w:r>
        <w:rPr>
          <w:rFonts w:hint="eastAsia" w:ascii="宋体" w:hAnsi="宋体" w:eastAsia="宋体" w:cs="宋体"/>
          <w:color w:val="auto"/>
          <w:spacing w:val="-2"/>
          <w:sz w:val="24"/>
          <w:szCs w:val="24"/>
          <w:highlight w:val="none"/>
        </w:rPr>
        <w:t>评标委员会</w:t>
      </w:r>
    </w:p>
    <w:p w14:paraId="4D20598C">
      <w:pPr>
        <w:pageBreakBefore w:val="0"/>
        <w:kinsoku/>
        <w:wordWrap w:val="0"/>
        <w:overflowPunct/>
        <w:topLinePunct w:val="0"/>
        <w:bidi w:val="0"/>
        <w:adjustRightInd w:val="0"/>
        <w:snapToGrid w:val="0"/>
        <w:spacing w:line="360" w:lineRule="auto"/>
        <w:ind w:firstLine="478" w:firstLineChars="200"/>
        <w:rPr>
          <w:rFonts w:hint="eastAsia" w:ascii="宋体" w:hAnsi="宋体" w:eastAsia="宋体" w:cs="宋体"/>
          <w:snapToGrid w:val="0"/>
          <w:color w:val="auto"/>
          <w:kern w:val="0"/>
          <w:sz w:val="24"/>
          <w:highlight w:val="none"/>
        </w:rPr>
      </w:pPr>
      <w:r>
        <w:rPr>
          <w:rFonts w:hint="eastAsia" w:ascii="宋体" w:hAnsi="宋体" w:eastAsia="宋体" w:cs="宋体"/>
          <w:b/>
          <w:bCs/>
          <w:color w:val="auto"/>
          <w:spacing w:val="-1"/>
          <w:sz w:val="24"/>
          <w:szCs w:val="24"/>
          <w:highlight w:val="none"/>
        </w:rPr>
        <w:t xml:space="preserve">15.1.1 </w:t>
      </w:r>
      <w:r>
        <w:rPr>
          <w:rFonts w:hint="eastAsia" w:ascii="宋体" w:hAnsi="宋体" w:eastAsia="宋体" w:cs="宋体"/>
          <w:color w:val="auto"/>
          <w:sz w:val="24"/>
          <w:szCs w:val="24"/>
          <w:highlight w:val="none"/>
        </w:rPr>
        <w:t>评标委员会由</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人组成，其中招标人代表</w:t>
      </w:r>
      <w:r>
        <w:rPr>
          <w:rFonts w:hint="eastAsia" w:ascii="宋体" w:hAnsi="宋体" w:eastAsia="宋体" w:cs="宋体"/>
          <w:color w:val="auto"/>
          <w:sz w:val="24"/>
          <w:szCs w:val="24"/>
          <w:highlight w:val="none"/>
          <w:u w:val="single"/>
        </w:rPr>
        <w:t xml:space="preserve"> 0 </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人。专家从</w:t>
      </w:r>
      <w:r>
        <w:rPr>
          <w:rFonts w:hint="eastAsia" w:ascii="宋体" w:hAnsi="宋体" w:eastAsia="宋体" w:cs="宋体"/>
          <w:color w:val="auto"/>
          <w:sz w:val="24"/>
          <w:szCs w:val="24"/>
          <w:highlight w:val="none"/>
          <w:u w:val="single"/>
        </w:rPr>
        <w:t>广东省综合评标评审专家库</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韶关区域</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中随机抽取，其中技术类专家</w:t>
      </w:r>
      <w:r>
        <w:rPr>
          <w:rFonts w:hint="eastAsia" w:ascii="宋体" w:hAnsi="宋体" w:eastAsia="宋体" w:cs="宋体"/>
          <w:color w:val="auto"/>
          <w:sz w:val="24"/>
          <w:szCs w:val="24"/>
          <w:highlight w:val="none"/>
          <w:u w:val="single"/>
        </w:rPr>
        <w:t xml:space="preserve"> 3 </w:t>
      </w:r>
      <w:r>
        <w:rPr>
          <w:rFonts w:hint="eastAsia" w:ascii="宋体" w:hAnsi="宋体" w:eastAsia="宋体" w:cs="宋体"/>
          <w:color w:val="auto"/>
          <w:sz w:val="24"/>
          <w:szCs w:val="24"/>
          <w:highlight w:val="none"/>
        </w:rPr>
        <w:t>人，经济类专家</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人。</w:t>
      </w:r>
      <w:r>
        <w:rPr>
          <w:rFonts w:hint="eastAsia" w:ascii="宋体" w:hAnsi="宋体" w:eastAsia="宋体" w:cs="宋体"/>
          <w:color w:val="auto"/>
          <w:spacing w:val="-1"/>
          <w:sz w:val="24"/>
          <w:szCs w:val="24"/>
          <w:highlight w:val="none"/>
        </w:rPr>
        <w:t>评标委员会设负责人，由评标委员会成员推举产生</w:t>
      </w:r>
      <w:r>
        <w:rPr>
          <w:rFonts w:hint="eastAsia" w:ascii="宋体" w:hAnsi="宋体" w:eastAsia="宋体" w:cs="宋体"/>
          <w:color w:val="auto"/>
          <w:spacing w:val="-2"/>
          <w:sz w:val="24"/>
          <w:szCs w:val="24"/>
          <w:highlight w:val="none"/>
        </w:rPr>
        <w:t>。评标委员会负责人与评</w:t>
      </w:r>
      <w:r>
        <w:rPr>
          <w:rFonts w:hint="eastAsia" w:ascii="宋体" w:hAnsi="宋体" w:eastAsia="宋体" w:cs="宋体"/>
          <w:color w:val="auto"/>
          <w:spacing w:val="-1"/>
          <w:sz w:val="24"/>
          <w:szCs w:val="24"/>
          <w:highlight w:val="none"/>
        </w:rPr>
        <w:t>标委员会的其他成员有同等的表决权。</w:t>
      </w:r>
    </w:p>
    <w:p w14:paraId="13B93F72">
      <w:pPr>
        <w:pageBreakBefore w:val="0"/>
        <w:kinsoku/>
        <w:wordWrap w:val="0"/>
        <w:overflowPunct/>
        <w:topLinePunct w:val="0"/>
        <w:bidi w:val="0"/>
        <w:adjustRightInd w:val="0"/>
        <w:snapToGrid w:val="0"/>
        <w:spacing w:line="360" w:lineRule="auto"/>
        <w:ind w:firstLine="474" w:firstLineChars="200"/>
        <w:rPr>
          <w:rFonts w:hint="eastAsia" w:ascii="宋体" w:hAnsi="宋体" w:eastAsia="宋体" w:cs="宋体"/>
          <w:snapToGrid w:val="0"/>
          <w:color w:val="auto"/>
          <w:kern w:val="0"/>
          <w:sz w:val="24"/>
          <w:highlight w:val="none"/>
        </w:rPr>
      </w:pPr>
      <w:r>
        <w:rPr>
          <w:rFonts w:hint="eastAsia" w:ascii="宋体" w:hAnsi="宋体" w:eastAsia="宋体" w:cs="宋体"/>
          <w:b/>
          <w:bCs/>
          <w:color w:val="auto"/>
          <w:spacing w:val="-2"/>
          <w:sz w:val="24"/>
          <w:szCs w:val="24"/>
          <w:highlight w:val="none"/>
        </w:rPr>
        <w:t>15.1.2</w:t>
      </w:r>
      <w:r>
        <w:rPr>
          <w:rFonts w:hint="eastAsia" w:ascii="宋体" w:hAnsi="宋体" w:eastAsia="宋体" w:cs="宋体"/>
          <w:snapToGrid w:val="0"/>
          <w:color w:val="auto"/>
          <w:kern w:val="0"/>
          <w:sz w:val="24"/>
          <w:highlight w:val="none"/>
        </w:rPr>
        <w:t xml:space="preserve"> </w:t>
      </w:r>
      <w:r>
        <w:rPr>
          <w:rFonts w:hint="eastAsia" w:ascii="宋体" w:hAnsi="宋体" w:eastAsia="宋体" w:cs="宋体"/>
          <w:snapToGrid w:val="0"/>
          <w:color w:val="auto"/>
          <w:kern w:val="0"/>
          <w:sz w:val="24"/>
          <w:highlight w:val="none"/>
          <w:lang w:eastAsia="zh-CN"/>
        </w:rPr>
        <w:t>评标专家</w:t>
      </w:r>
      <w:r>
        <w:rPr>
          <w:rFonts w:hint="eastAsia" w:ascii="宋体" w:hAnsi="宋体" w:eastAsia="宋体" w:cs="宋体"/>
          <w:snapToGrid w:val="0"/>
          <w:color w:val="auto"/>
          <w:kern w:val="0"/>
          <w:sz w:val="24"/>
          <w:highlight w:val="none"/>
        </w:rPr>
        <w:t>应按时参加评标活动，自觉遵守工作纪律和服从现场管理</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采用远程异地评标方式评标的</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主场、副场各自负责本场所</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成员身份核验和签到工作，统一保管其通讯工具，指引评标专家至远程异地评标室，并为其提供技术协助和服务。在评标过程中如遇评标专家对投标文件存在疑问或意见分歧的，应由</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成员推举产生</w:t>
      </w:r>
      <w:r>
        <w:rPr>
          <w:rFonts w:hint="eastAsia" w:ascii="宋体" w:hAnsi="宋体" w:eastAsia="宋体" w:cs="宋体"/>
          <w:snapToGrid w:val="0"/>
          <w:color w:val="auto"/>
          <w:kern w:val="0"/>
          <w:sz w:val="24"/>
          <w:highlight w:val="none"/>
          <w:lang w:eastAsia="zh-CN"/>
        </w:rPr>
        <w:t>的评标委员会组长</w:t>
      </w:r>
      <w:r>
        <w:rPr>
          <w:rFonts w:hint="eastAsia" w:ascii="宋体" w:hAnsi="宋体" w:eastAsia="宋体" w:cs="宋体"/>
          <w:snapToGrid w:val="0"/>
          <w:color w:val="auto"/>
          <w:kern w:val="0"/>
          <w:sz w:val="24"/>
          <w:highlight w:val="none"/>
        </w:rPr>
        <w:t>组织</w:t>
      </w:r>
      <w:r>
        <w:rPr>
          <w:rFonts w:hint="eastAsia" w:ascii="宋体" w:hAnsi="宋体" w:eastAsia="宋体" w:cs="宋体"/>
          <w:snapToGrid w:val="0"/>
          <w:color w:val="auto"/>
          <w:kern w:val="0"/>
          <w:sz w:val="24"/>
          <w:highlight w:val="none"/>
          <w:lang w:eastAsia="zh-CN"/>
        </w:rPr>
        <w:t>各</w:t>
      </w:r>
      <w:r>
        <w:rPr>
          <w:rFonts w:hint="eastAsia" w:ascii="宋体" w:hAnsi="宋体" w:eastAsia="宋体" w:cs="宋体"/>
          <w:snapToGrid w:val="0"/>
          <w:color w:val="auto"/>
          <w:kern w:val="0"/>
          <w:sz w:val="24"/>
          <w:highlight w:val="none"/>
        </w:rPr>
        <w:t>成员协商讨论。在评标过程中需要进行讨论或者通过实名投票方式表决意见的，应当通过视频会议系统进行，并做好相关记录。</w:t>
      </w:r>
    </w:p>
    <w:p w14:paraId="3EF88BC0">
      <w:pPr>
        <w:pageBreakBefore w:val="0"/>
        <w:kinsoku/>
        <w:wordWrap w:val="0"/>
        <w:overflowPunct/>
        <w:topLinePunct w:val="0"/>
        <w:bidi w:val="0"/>
        <w:adjustRightInd w:val="0"/>
        <w:snapToGrid w:val="0"/>
        <w:spacing w:line="360" w:lineRule="auto"/>
        <w:ind w:firstLine="474" w:firstLineChars="200"/>
        <w:rPr>
          <w:rFonts w:hint="eastAsia" w:ascii="宋体" w:hAnsi="宋体" w:eastAsia="宋体" w:cs="宋体"/>
          <w:snapToGrid w:val="0"/>
          <w:color w:val="auto"/>
          <w:kern w:val="0"/>
          <w:sz w:val="24"/>
          <w:highlight w:val="none"/>
          <w:lang w:eastAsia="zh-CN"/>
        </w:rPr>
      </w:pPr>
      <w:r>
        <w:rPr>
          <w:rFonts w:hint="eastAsia" w:ascii="宋体" w:hAnsi="宋体" w:eastAsia="宋体" w:cs="宋体"/>
          <w:b/>
          <w:bCs/>
          <w:color w:val="auto"/>
          <w:spacing w:val="-2"/>
          <w:sz w:val="24"/>
          <w:szCs w:val="24"/>
          <w:highlight w:val="none"/>
          <w:lang w:val="en-US" w:eastAsia="zh-CN"/>
        </w:rPr>
        <w:t xml:space="preserve">15.1.3 </w:t>
      </w:r>
      <w:r>
        <w:rPr>
          <w:rFonts w:hint="eastAsia" w:ascii="宋体" w:hAnsi="宋体" w:eastAsia="宋体" w:cs="宋体"/>
          <w:snapToGrid w:val="0"/>
          <w:color w:val="auto"/>
          <w:kern w:val="0"/>
          <w:sz w:val="24"/>
          <w:highlight w:val="none"/>
          <w:lang w:eastAsia="zh-CN"/>
        </w:rPr>
        <w:t>评标委员会应</w:t>
      </w:r>
      <w:r>
        <w:rPr>
          <w:rFonts w:hint="eastAsia" w:ascii="宋体" w:hAnsi="宋体" w:eastAsia="宋体" w:cs="宋体"/>
          <w:snapToGrid w:val="0"/>
          <w:color w:val="auto"/>
          <w:kern w:val="0"/>
          <w:sz w:val="24"/>
          <w:highlight w:val="none"/>
        </w:rPr>
        <w:t>严格按照招标文件的评标办法规定的评标程序、评标标准和方法进行评标，招标文件没有规定的评标标准和方法不得作为评标的依据。</w:t>
      </w:r>
      <w:r>
        <w:rPr>
          <w:rFonts w:hint="eastAsia" w:ascii="宋体" w:hAnsi="宋体" w:eastAsia="宋体" w:cs="宋体"/>
          <w:snapToGrid w:val="0"/>
          <w:color w:val="auto"/>
          <w:kern w:val="0"/>
          <w:sz w:val="24"/>
          <w:highlight w:val="none"/>
          <w:lang w:eastAsia="zh-CN"/>
        </w:rPr>
        <w:t>并且</w:t>
      </w:r>
      <w:r>
        <w:rPr>
          <w:rFonts w:hint="eastAsia" w:ascii="宋体" w:hAnsi="宋体" w:eastAsia="宋体" w:cs="宋体"/>
          <w:snapToGrid w:val="0"/>
          <w:color w:val="auto"/>
          <w:kern w:val="0"/>
          <w:sz w:val="24"/>
          <w:highlight w:val="none"/>
        </w:rPr>
        <w:t>自觉接受有关行政部门监督，协助配合有关异议和投诉处理。采用远程异地评标方式评标的</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主场、副场评标专家在评标过程中具有同等权利和义务</w:t>
      </w:r>
      <w:r>
        <w:rPr>
          <w:rFonts w:hint="eastAsia" w:ascii="宋体" w:hAnsi="宋体" w:eastAsia="宋体" w:cs="宋体"/>
          <w:snapToGrid w:val="0"/>
          <w:color w:val="auto"/>
          <w:kern w:val="0"/>
          <w:sz w:val="24"/>
          <w:highlight w:val="none"/>
          <w:lang w:eastAsia="zh-CN"/>
        </w:rPr>
        <w:t>。</w:t>
      </w:r>
    </w:p>
    <w:p w14:paraId="4AC55AA3">
      <w:pPr>
        <w:pageBreakBefore w:val="0"/>
        <w:kinsoku/>
        <w:wordWrap w:val="0"/>
        <w:overflowPunct/>
        <w:topLinePunct w:val="0"/>
        <w:bidi w:val="0"/>
        <w:adjustRightInd w:val="0"/>
        <w:snapToGrid w:val="0"/>
        <w:spacing w:line="360" w:lineRule="auto"/>
        <w:ind w:firstLine="474" w:firstLineChars="200"/>
        <w:rPr>
          <w:rFonts w:hint="eastAsia" w:ascii="宋体" w:hAnsi="宋体" w:eastAsia="宋体" w:cs="宋体"/>
          <w:snapToGrid w:val="0"/>
          <w:color w:val="auto"/>
          <w:kern w:val="0"/>
          <w:sz w:val="24"/>
          <w:highlight w:val="none"/>
        </w:rPr>
      </w:pPr>
      <w:r>
        <w:rPr>
          <w:rFonts w:hint="eastAsia" w:ascii="宋体" w:hAnsi="宋体" w:eastAsia="宋体" w:cs="宋体"/>
          <w:b/>
          <w:bCs/>
          <w:color w:val="auto"/>
          <w:spacing w:val="-2"/>
          <w:sz w:val="24"/>
          <w:szCs w:val="24"/>
          <w:highlight w:val="none"/>
          <w:lang w:val="en-US" w:eastAsia="zh-CN"/>
        </w:rPr>
        <w:t xml:space="preserve">15.1.4 </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应切实履行评标职责，对同一个问题不一致的，按程序要求记录。</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实行少数服从多数的原则，以记名投票方式表决，评</w:t>
      </w:r>
      <w:r>
        <w:rPr>
          <w:rFonts w:hint="eastAsia" w:ascii="宋体" w:hAnsi="宋体" w:eastAsia="宋体" w:cs="宋体"/>
          <w:snapToGrid w:val="0"/>
          <w:color w:val="auto"/>
          <w:kern w:val="0"/>
          <w:sz w:val="24"/>
          <w:highlight w:val="none"/>
          <w:lang w:eastAsia="zh-CN"/>
        </w:rPr>
        <w:t>审</w:t>
      </w:r>
      <w:r>
        <w:rPr>
          <w:rFonts w:hint="eastAsia" w:ascii="宋体" w:hAnsi="宋体" w:eastAsia="宋体" w:cs="宋体"/>
          <w:snapToGrid w:val="0"/>
          <w:color w:val="auto"/>
          <w:kern w:val="0"/>
          <w:sz w:val="24"/>
          <w:highlight w:val="none"/>
        </w:rPr>
        <w:t>结果经</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全体成员过半数通过有效。</w:t>
      </w:r>
    </w:p>
    <w:p w14:paraId="3E5FD587">
      <w:pPr>
        <w:pageBreakBefore w:val="0"/>
        <w:kinsoku/>
        <w:wordWrap w:val="0"/>
        <w:overflowPunct/>
        <w:topLinePunct w:val="0"/>
        <w:bidi w:val="0"/>
        <w:adjustRightInd w:val="0"/>
        <w:snapToGrid w:val="0"/>
        <w:spacing w:line="360" w:lineRule="auto"/>
        <w:ind w:firstLine="560"/>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15.1.5</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成员应当独立、客观、公正地对投标文件提出评审意见，对评审结果签字确认，并对所提出的评审意见承担个人责任。禁止</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成员将个人意见强加给他人，影响正常评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秩序和妨碍评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结论的公正性。对评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结果有不同意见的</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成员应当以书面形式说明其不同意见和理由，</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应当注明该不同意见。</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成员拒绝在</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上签字又不书面说明其不同意见和理由的，视为同意评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w:t>
      </w:r>
    </w:p>
    <w:p w14:paraId="735AE7C4">
      <w:pPr>
        <w:pageBreakBefore w:val="0"/>
        <w:kinsoku/>
        <w:wordWrap w:val="0"/>
        <w:overflowPunct/>
        <w:topLinePunct w:val="0"/>
        <w:bidi w:val="0"/>
        <w:adjustRightInd w:val="0"/>
        <w:snapToGrid w:val="0"/>
        <w:spacing w:line="360" w:lineRule="auto"/>
        <w:ind w:firstLine="560"/>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15.2</w:t>
      </w:r>
      <w:r>
        <w:rPr>
          <w:rFonts w:hint="eastAsia" w:ascii="宋体" w:hAnsi="宋体" w:eastAsia="宋体" w:cs="宋体"/>
          <w:b/>
          <w:color w:val="auto"/>
          <w:sz w:val="24"/>
          <w:highlight w:val="none"/>
        </w:rPr>
        <w:t>评标过程的回避</w:t>
      </w:r>
    </w:p>
    <w:p w14:paraId="43C213A6">
      <w:pPr>
        <w:pageBreakBefore w:val="0"/>
        <w:kinsoku/>
        <w:wordWrap w:val="0"/>
        <w:overflowPunct/>
        <w:topLinePunct w:val="0"/>
        <w:bidi w:val="0"/>
        <w:spacing w:before="32" w:line="280" w:lineRule="auto"/>
        <w:ind w:left="13" w:right="7" w:firstLine="5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15.2.1</w:t>
      </w:r>
      <w:r>
        <w:rPr>
          <w:rFonts w:hint="eastAsia" w:ascii="宋体" w:hAnsi="宋体" w:eastAsia="宋体" w:cs="宋体"/>
          <w:color w:val="auto"/>
          <w:spacing w:val="-2"/>
          <w:sz w:val="24"/>
          <w:szCs w:val="24"/>
          <w:highlight w:val="none"/>
        </w:rPr>
        <w:t>评标委员会应认真、公正、诚实、廉洁地履行职责。有下列情形之一的，不得担任评标委员会成员：</w:t>
      </w:r>
    </w:p>
    <w:p w14:paraId="2DA95EDB">
      <w:pPr>
        <w:pageBreakBefore w:val="0"/>
        <w:kinsoku/>
        <w:wordWrap w:val="0"/>
        <w:overflowPunct/>
        <w:topLinePunct w:val="0"/>
        <w:bidi w:val="0"/>
        <w:spacing w:before="154"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（1）投标人或投标人主要负责人的近亲属；</w:t>
      </w:r>
    </w:p>
    <w:p w14:paraId="2649253E">
      <w:pPr>
        <w:pageBreakBefore w:val="0"/>
        <w:kinsoku/>
        <w:wordWrap w:val="0"/>
        <w:overflowPunct/>
        <w:topLinePunct w:val="0"/>
        <w:bidi w:val="0"/>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（2）项目主管部门或者行政监督部门的人员；</w:t>
      </w:r>
    </w:p>
    <w:p w14:paraId="40156D8D">
      <w:pPr>
        <w:pageBreakBefore w:val="0"/>
        <w:kinsoku/>
        <w:wordWrap w:val="0"/>
        <w:overflowPunct/>
        <w:topLinePunct w:val="0"/>
        <w:bidi w:val="0"/>
        <w:spacing w:before="155" w:line="221"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（3）与投标人有经济利益关系，可能影响对投标公正评审的；</w:t>
      </w:r>
    </w:p>
    <w:p w14:paraId="6C5C96B2">
      <w:pPr>
        <w:pageBreakBefore w:val="0"/>
        <w:kinsoku/>
        <w:wordWrap w:val="0"/>
        <w:overflowPunct/>
        <w:topLinePunct w:val="0"/>
        <w:bidi w:val="0"/>
        <w:spacing w:before="153" w:line="279" w:lineRule="auto"/>
        <w:ind w:left="8" w:right="65" w:firstLine="57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（4）曾因在招标、评标以及其他与招标投标有关活动中从事违法行为而受过行政处罚或刑事处罚的。</w:t>
      </w:r>
    </w:p>
    <w:p w14:paraId="39BF5806">
      <w:pPr>
        <w:keepNext w:val="0"/>
        <w:keepLines w:val="0"/>
        <w:pageBreakBefore w:val="0"/>
        <w:shd w:val="clear" w:color="auto" w:fill="auto"/>
        <w:kinsoku/>
        <w:wordWrap w:val="0"/>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15.2.2</w:t>
      </w:r>
      <w:r>
        <w:rPr>
          <w:rFonts w:hint="eastAsia" w:ascii="宋体" w:hAnsi="宋体" w:eastAsia="宋体" w:cs="宋体"/>
          <w:b w:val="0"/>
          <w:bCs w:val="0"/>
          <w:color w:val="auto"/>
          <w:sz w:val="24"/>
          <w:highlight w:val="none"/>
          <w:lang w:eastAsia="zh-CN"/>
        </w:rPr>
        <w:t>评标委员会</w:t>
      </w:r>
      <w:r>
        <w:rPr>
          <w:rFonts w:hint="eastAsia" w:ascii="宋体" w:hAnsi="宋体" w:eastAsia="宋体" w:cs="宋体"/>
          <w:color w:val="auto"/>
          <w:sz w:val="24"/>
          <w:highlight w:val="none"/>
        </w:rPr>
        <w:t>专家不主动提出回避的，一经发现，应立即终止其评标活动，已完成评标活动的，其评标结果无效。</w:t>
      </w:r>
    </w:p>
    <w:p w14:paraId="56AD1F2C">
      <w:pPr>
        <w:keepNext w:val="0"/>
        <w:keepLines w:val="0"/>
        <w:pageBreakBefore w:val="0"/>
        <w:shd w:val="clear" w:color="auto" w:fill="auto"/>
        <w:kinsoku/>
        <w:wordWrap w:val="0"/>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b/>
          <w:color w:val="auto"/>
          <w:sz w:val="24"/>
          <w:highlight w:val="none"/>
        </w:rPr>
      </w:pPr>
      <w:r>
        <w:rPr>
          <w:rFonts w:hint="eastAsia" w:ascii="宋体" w:hAnsi="宋体" w:cs="宋体"/>
          <w:b/>
          <w:bCs/>
          <w:snapToGrid w:val="0"/>
          <w:color w:val="auto"/>
          <w:kern w:val="0"/>
          <w:sz w:val="24"/>
          <w:highlight w:val="none"/>
          <w:lang w:val="en-US" w:eastAsia="zh-CN"/>
        </w:rPr>
        <w:t>15.3</w:t>
      </w:r>
      <w:r>
        <w:rPr>
          <w:rFonts w:hint="eastAsia" w:ascii="宋体" w:hAnsi="宋体" w:cs="宋体"/>
          <w:snapToGrid w:val="0"/>
          <w:color w:val="auto"/>
          <w:kern w:val="0"/>
          <w:sz w:val="24"/>
          <w:highlight w:val="none"/>
        </w:rPr>
        <w:t xml:space="preserve"> </w:t>
      </w:r>
      <w:r>
        <w:rPr>
          <w:rFonts w:hint="eastAsia" w:ascii="宋体" w:hAnsi="宋体" w:eastAsia="宋体" w:cs="宋体"/>
          <w:b/>
          <w:color w:val="auto"/>
          <w:sz w:val="24"/>
          <w:highlight w:val="none"/>
        </w:rPr>
        <w:t>评标过程的保密</w:t>
      </w:r>
    </w:p>
    <w:p w14:paraId="0DAD6E60">
      <w:pPr>
        <w:pageBreakBefore w:val="0"/>
        <w:kinsoku/>
        <w:wordWrap w:val="0"/>
        <w:overflowPunct/>
        <w:topLinePunct w:val="0"/>
        <w:bidi w:val="0"/>
        <w:spacing w:before="157" w:line="298" w:lineRule="auto"/>
        <w:ind w:left="11" w:right="65" w:firstLine="484"/>
        <w:rPr>
          <w:rFonts w:hint="eastAsia" w:ascii="宋体" w:hAnsi="宋体" w:eastAsia="宋体" w:cs="宋体"/>
          <w:b w:val="0"/>
          <w:bCs w:val="0"/>
          <w:color w:val="auto"/>
          <w:spacing w:val="-1"/>
          <w:sz w:val="24"/>
          <w:szCs w:val="24"/>
          <w:highlight w:val="none"/>
        </w:rPr>
      </w:pPr>
      <w:r>
        <w:rPr>
          <w:rFonts w:hint="eastAsia" w:ascii="宋体" w:hAnsi="宋体" w:eastAsia="宋体" w:cs="宋体"/>
          <w:b w:val="0"/>
          <w:bCs w:val="0"/>
          <w:color w:val="auto"/>
          <w:spacing w:val="-1"/>
          <w:sz w:val="24"/>
          <w:szCs w:val="24"/>
          <w:highlight w:val="none"/>
          <w:lang w:val="en-US" w:eastAsia="zh-CN"/>
        </w:rPr>
        <w:t>15.3.1</w:t>
      </w:r>
      <w:r>
        <w:rPr>
          <w:rFonts w:hint="eastAsia" w:ascii="宋体" w:hAnsi="宋体" w:eastAsia="宋体" w:cs="宋体"/>
          <w:b w:val="0"/>
          <w:bCs w:val="0"/>
          <w:color w:val="auto"/>
          <w:spacing w:val="-1"/>
          <w:sz w:val="24"/>
          <w:szCs w:val="24"/>
          <w:highlight w:val="none"/>
        </w:rPr>
        <w:t xml:space="preserve"> 开标后，直至授予中标人合同为止，凡属于对投标人文件的审查、澄清、评价和比较有关的资料及与中标候选人的推荐情况，与评标有关的其他任何情况均应严格保密。</w:t>
      </w:r>
    </w:p>
    <w:p w14:paraId="25CD2F3E">
      <w:pPr>
        <w:pageBreakBefore w:val="0"/>
        <w:kinsoku/>
        <w:wordWrap w:val="0"/>
        <w:overflowPunct/>
        <w:topLinePunct w:val="0"/>
        <w:bidi w:val="0"/>
        <w:spacing w:before="157" w:line="298" w:lineRule="auto"/>
        <w:ind w:left="11" w:right="65" w:firstLine="484"/>
        <w:rPr>
          <w:rFonts w:hint="eastAsia" w:ascii="宋体" w:hAnsi="宋体" w:eastAsia="宋体" w:cs="宋体"/>
          <w:b w:val="0"/>
          <w:bCs w:val="0"/>
          <w:color w:val="auto"/>
          <w:spacing w:val="-1"/>
          <w:sz w:val="24"/>
          <w:szCs w:val="24"/>
          <w:highlight w:val="none"/>
        </w:rPr>
      </w:pPr>
      <w:r>
        <w:rPr>
          <w:rFonts w:hint="eastAsia" w:ascii="宋体" w:hAnsi="宋体" w:eastAsia="宋体" w:cs="宋体"/>
          <w:b w:val="0"/>
          <w:bCs w:val="0"/>
          <w:color w:val="auto"/>
          <w:spacing w:val="-1"/>
          <w:sz w:val="24"/>
          <w:szCs w:val="24"/>
          <w:highlight w:val="none"/>
          <w:lang w:val="en-US" w:eastAsia="zh-CN"/>
        </w:rPr>
        <w:t>15.3.2</w:t>
      </w:r>
      <w:r>
        <w:rPr>
          <w:rFonts w:hint="eastAsia" w:ascii="宋体" w:hAnsi="宋体" w:eastAsia="宋体" w:cs="宋体"/>
          <w:b w:val="0"/>
          <w:bCs w:val="0"/>
          <w:color w:val="auto"/>
          <w:spacing w:val="-1"/>
          <w:sz w:val="24"/>
          <w:szCs w:val="24"/>
          <w:highlight w:val="none"/>
        </w:rPr>
        <w:t xml:space="preserve"> 在投标文件的评审和比较、中标候选人推荐以及授予合同的过程中，投标人向招标人和评标委员会施加影响的任何行为，都将会导致其投标被拒绝。</w:t>
      </w:r>
    </w:p>
    <w:p w14:paraId="4CFA9F5F">
      <w:pPr>
        <w:pageBreakBefore w:val="0"/>
        <w:kinsoku/>
        <w:wordWrap w:val="0"/>
        <w:overflowPunct/>
        <w:topLinePunct w:val="0"/>
        <w:bidi w:val="0"/>
        <w:spacing w:before="157" w:line="298" w:lineRule="auto"/>
        <w:ind w:left="11" w:right="65" w:firstLine="484"/>
        <w:rPr>
          <w:rFonts w:hint="eastAsia" w:ascii="宋体" w:hAnsi="宋体" w:eastAsia="宋体" w:cs="宋体"/>
          <w:color w:val="auto"/>
          <w:kern w:val="0"/>
          <w:sz w:val="24"/>
          <w:highlight w:val="none"/>
        </w:rPr>
      </w:pPr>
      <w:r>
        <w:rPr>
          <w:rFonts w:hint="eastAsia" w:ascii="宋体" w:hAnsi="宋体" w:eastAsia="宋体" w:cs="宋体"/>
          <w:b w:val="0"/>
          <w:bCs w:val="0"/>
          <w:color w:val="auto"/>
          <w:spacing w:val="-1"/>
          <w:sz w:val="24"/>
          <w:szCs w:val="24"/>
          <w:highlight w:val="none"/>
          <w:lang w:val="en-US" w:eastAsia="zh-CN"/>
        </w:rPr>
        <w:t>15.3.3</w:t>
      </w:r>
      <w:r>
        <w:rPr>
          <w:rFonts w:hint="eastAsia" w:ascii="宋体" w:hAnsi="宋体" w:eastAsia="宋体" w:cs="宋体"/>
          <w:b w:val="0"/>
          <w:bCs w:val="0"/>
          <w:color w:val="auto"/>
          <w:spacing w:val="-1"/>
          <w:sz w:val="24"/>
          <w:szCs w:val="24"/>
          <w:highlight w:val="none"/>
        </w:rPr>
        <w:t>中标人确定后，招标人不对未中标人就评标过程以及未能中标原因作出任何解释。未中标人不得向评标委员</w:t>
      </w:r>
      <w:r>
        <w:rPr>
          <w:rFonts w:hint="eastAsia" w:ascii="宋体" w:hAnsi="宋体" w:eastAsia="宋体" w:cs="宋体"/>
          <w:color w:val="auto"/>
          <w:kern w:val="0"/>
          <w:sz w:val="24"/>
          <w:highlight w:val="none"/>
        </w:rPr>
        <w:t>会组成人员或其他有关人员索问评标过程的情况和材料。</w:t>
      </w:r>
    </w:p>
    <w:p w14:paraId="1423E687">
      <w:pPr>
        <w:pageBreakBefore w:val="0"/>
        <w:kinsoku/>
        <w:wordWrap w:val="0"/>
        <w:overflowPunct/>
        <w:topLinePunct w:val="0"/>
        <w:bidi w:val="0"/>
        <w:spacing w:before="154" w:line="279" w:lineRule="auto"/>
        <w:ind w:left="8" w:right="65"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lang w:val="en-US" w:eastAsia="zh-CN"/>
        </w:rPr>
        <w:t>15.3.4</w:t>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评标全过程实行封闭式管理，在中标结果公</w:t>
      </w:r>
      <w:r>
        <w:rPr>
          <w:rFonts w:hint="eastAsia" w:ascii="宋体" w:hAnsi="宋体" w:eastAsia="宋体" w:cs="宋体"/>
          <w:color w:val="auto"/>
          <w:spacing w:val="-2"/>
          <w:sz w:val="24"/>
          <w:szCs w:val="24"/>
          <w:highlight w:val="none"/>
        </w:rPr>
        <w:t>布前，禁止评标委员会成员以</w:t>
      </w:r>
      <w:r>
        <w:rPr>
          <w:rFonts w:hint="eastAsia" w:ascii="宋体" w:hAnsi="宋体" w:eastAsia="宋体" w:cs="宋体"/>
          <w:color w:val="auto"/>
          <w:spacing w:val="-1"/>
          <w:sz w:val="24"/>
          <w:szCs w:val="24"/>
          <w:highlight w:val="none"/>
        </w:rPr>
        <w:t>任何方式私下接触投标人。</w:t>
      </w:r>
    </w:p>
    <w:p w14:paraId="13B4CC66">
      <w:pPr>
        <w:pageBreakBefore w:val="0"/>
        <w:kinsoku/>
        <w:wordWrap w:val="0"/>
        <w:overflowPunct/>
        <w:topLinePunct w:val="0"/>
        <w:bidi w:val="0"/>
        <w:spacing w:before="157" w:line="298" w:lineRule="auto"/>
        <w:ind w:left="11" w:right="65"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15.</w:t>
      </w:r>
      <w:r>
        <w:rPr>
          <w:rFonts w:hint="eastAsia" w:ascii="宋体" w:hAnsi="宋体" w:eastAsia="宋体" w:cs="宋体"/>
          <w:b/>
          <w:bCs/>
          <w:color w:val="auto"/>
          <w:spacing w:val="-1"/>
          <w:sz w:val="24"/>
          <w:szCs w:val="24"/>
          <w:highlight w:val="none"/>
          <w:lang w:val="en-US" w:eastAsia="zh-CN"/>
        </w:rPr>
        <w:t>3.5</w:t>
      </w:r>
      <w:r>
        <w:rPr>
          <w:rFonts w:hint="eastAsia" w:ascii="宋体" w:hAnsi="宋体" w:eastAsia="宋体" w:cs="宋体"/>
          <w:color w:val="auto"/>
          <w:spacing w:val="-1"/>
          <w:sz w:val="24"/>
          <w:szCs w:val="24"/>
          <w:highlight w:val="none"/>
        </w:rPr>
        <w:t>在评标过程中，评标委员会可以书面形式要</w:t>
      </w:r>
      <w:r>
        <w:rPr>
          <w:rFonts w:hint="eastAsia" w:ascii="宋体" w:hAnsi="宋体" w:eastAsia="宋体" w:cs="宋体"/>
          <w:color w:val="auto"/>
          <w:spacing w:val="-2"/>
          <w:sz w:val="24"/>
          <w:szCs w:val="24"/>
          <w:highlight w:val="none"/>
        </w:rPr>
        <w:t>求投标人对所提交的投标文件</w:t>
      </w:r>
      <w:r>
        <w:rPr>
          <w:rFonts w:hint="eastAsia" w:ascii="宋体" w:hAnsi="宋体" w:eastAsia="宋体" w:cs="宋体"/>
          <w:color w:val="auto"/>
          <w:spacing w:val="-1"/>
          <w:sz w:val="24"/>
          <w:szCs w:val="24"/>
          <w:highlight w:val="none"/>
        </w:rPr>
        <w:t>中不明确的内容进行书面澄清或说明，但不接受投标人主</w:t>
      </w:r>
      <w:r>
        <w:rPr>
          <w:rFonts w:hint="eastAsia" w:ascii="宋体" w:hAnsi="宋体" w:eastAsia="宋体" w:cs="宋体"/>
          <w:color w:val="auto"/>
          <w:spacing w:val="-2"/>
          <w:sz w:val="24"/>
          <w:szCs w:val="24"/>
          <w:highlight w:val="none"/>
        </w:rPr>
        <w:t>动提出的澄清或说明。投标</w:t>
      </w:r>
      <w:r>
        <w:rPr>
          <w:rFonts w:hint="eastAsia" w:ascii="宋体" w:hAnsi="宋体" w:eastAsia="宋体" w:cs="宋体"/>
          <w:color w:val="auto"/>
          <w:spacing w:val="-1"/>
          <w:sz w:val="24"/>
          <w:szCs w:val="24"/>
          <w:highlight w:val="none"/>
        </w:rPr>
        <w:t>人的书面澄清或说明不得改变投标文件的实质性内容，并</w:t>
      </w:r>
      <w:r>
        <w:rPr>
          <w:rFonts w:hint="eastAsia" w:ascii="宋体" w:hAnsi="宋体" w:eastAsia="宋体" w:cs="宋体"/>
          <w:color w:val="auto"/>
          <w:spacing w:val="-2"/>
          <w:sz w:val="24"/>
          <w:szCs w:val="24"/>
          <w:highlight w:val="none"/>
        </w:rPr>
        <w:t>作为投标文件的组成部分。</w:t>
      </w:r>
    </w:p>
    <w:p w14:paraId="2B900928">
      <w:pPr>
        <w:pageBreakBefore w:val="0"/>
        <w:kinsoku/>
        <w:wordWrap w:val="0"/>
        <w:overflowPunct/>
        <w:topLinePunct w:val="0"/>
        <w:bidi w:val="0"/>
        <w:spacing w:before="156" w:line="309" w:lineRule="auto"/>
        <w:ind w:left="8" w:right="65" w:firstLine="569"/>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3.6</w:t>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在任何评标环节中，当评标委员会就某</w:t>
      </w:r>
      <w:r>
        <w:rPr>
          <w:rFonts w:hint="eastAsia" w:ascii="宋体" w:hAnsi="宋体" w:eastAsia="宋体" w:cs="宋体"/>
          <w:color w:val="auto"/>
          <w:spacing w:val="-4"/>
          <w:sz w:val="24"/>
          <w:szCs w:val="24"/>
          <w:highlight w:val="none"/>
        </w:rPr>
        <w:t>项定性的评审结论不统一、需要做</w:t>
      </w:r>
      <w:r>
        <w:rPr>
          <w:rFonts w:hint="eastAsia" w:ascii="宋体" w:hAnsi="宋体" w:eastAsia="宋体" w:cs="宋体"/>
          <w:color w:val="auto"/>
          <w:spacing w:val="-1"/>
          <w:sz w:val="24"/>
          <w:szCs w:val="24"/>
          <w:highlight w:val="none"/>
        </w:rPr>
        <w:t>出表决时，由评标委员会全体成员按照少数服从多数的原则，以</w:t>
      </w:r>
      <w:r>
        <w:rPr>
          <w:rFonts w:hint="eastAsia" w:ascii="宋体" w:hAnsi="宋体" w:eastAsia="宋体" w:cs="宋体"/>
          <w:color w:val="auto"/>
          <w:spacing w:val="-2"/>
          <w:sz w:val="24"/>
          <w:szCs w:val="24"/>
          <w:highlight w:val="none"/>
        </w:rPr>
        <w:t>记名投票方式表决。</w:t>
      </w:r>
      <w:r>
        <w:rPr>
          <w:rFonts w:hint="eastAsia" w:ascii="宋体" w:hAnsi="宋体" w:eastAsia="宋体" w:cs="宋体"/>
          <w:color w:val="auto"/>
          <w:spacing w:val="-1"/>
          <w:sz w:val="24"/>
          <w:szCs w:val="24"/>
          <w:highlight w:val="none"/>
        </w:rPr>
        <w:t>评标委员会全体成员应共同遵守和执行表决结果，严禁评标委员</w:t>
      </w:r>
      <w:r>
        <w:rPr>
          <w:rFonts w:hint="eastAsia" w:ascii="宋体" w:hAnsi="宋体" w:eastAsia="宋体" w:cs="宋体"/>
          <w:color w:val="auto"/>
          <w:spacing w:val="-2"/>
          <w:sz w:val="24"/>
          <w:szCs w:val="24"/>
          <w:highlight w:val="none"/>
        </w:rPr>
        <w:t>会任何成员将个人意</w:t>
      </w:r>
      <w:r>
        <w:rPr>
          <w:rFonts w:hint="eastAsia" w:ascii="宋体" w:hAnsi="宋体" w:eastAsia="宋体" w:cs="宋体"/>
          <w:color w:val="auto"/>
          <w:spacing w:val="-1"/>
          <w:sz w:val="24"/>
          <w:szCs w:val="24"/>
          <w:highlight w:val="none"/>
        </w:rPr>
        <w:t>见强加给他人、影响评标正常秩序和妨碍评审结论的公正性。</w:t>
      </w:r>
    </w:p>
    <w:p w14:paraId="628412ED">
      <w:pPr>
        <w:pageBreakBefore w:val="0"/>
        <w:kinsoku/>
        <w:wordWrap w:val="0"/>
        <w:overflowPunct/>
        <w:topLinePunct w:val="0"/>
        <w:bidi w:val="0"/>
        <w:spacing w:before="79" w:line="221" w:lineRule="auto"/>
        <w:ind w:left="577"/>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3</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评标方法</w:t>
      </w:r>
    </w:p>
    <w:p w14:paraId="75DB58B2">
      <w:pPr>
        <w:pageBreakBefore w:val="0"/>
        <w:kinsoku/>
        <w:wordWrap w:val="0"/>
        <w:overflowPunct/>
        <w:topLinePunct w:val="0"/>
        <w:bidi w:val="0"/>
        <w:spacing w:before="78" w:line="326" w:lineRule="auto"/>
        <w:ind w:left="231" w:right="181" w:firstLine="560"/>
        <w:rPr>
          <w:rFonts w:hint="eastAsia" w:ascii="宋体" w:hAnsi="宋体" w:eastAsia="宋体" w:cs="宋体"/>
          <w:color w:val="auto"/>
          <w:highlight w:val="none"/>
        </w:rPr>
      </w:pPr>
      <w:bookmarkStart w:id="88" w:name="bookmark125"/>
      <w:bookmarkEnd w:id="88"/>
      <w:r>
        <w:rPr>
          <w:rFonts w:hint="eastAsia" w:ascii="宋体" w:hAnsi="宋体" w:eastAsia="宋体" w:cs="宋体"/>
          <w:color w:val="auto"/>
          <w:spacing w:val="-4"/>
          <w:sz w:val="24"/>
          <w:szCs w:val="24"/>
          <w:highlight w:val="none"/>
        </w:rPr>
        <w:t>根据有关法律、法规的相关规定，结合本招标项目资金来源和规模特点，本次招</w:t>
      </w:r>
      <w:r>
        <w:rPr>
          <w:rFonts w:hint="eastAsia" w:ascii="宋体" w:hAnsi="宋体" w:eastAsia="宋体" w:cs="宋体"/>
          <w:color w:val="auto"/>
          <w:spacing w:val="-1"/>
          <w:sz w:val="24"/>
          <w:szCs w:val="24"/>
          <w:highlight w:val="none"/>
        </w:rPr>
        <w:t>标采用</w:t>
      </w:r>
      <w:r>
        <w:rPr>
          <w:rFonts w:hint="eastAsia" w:ascii="宋体" w:hAnsi="宋体" w:eastAsia="宋体" w:cs="宋体"/>
          <w:b/>
          <w:bCs/>
          <w:color w:val="auto"/>
          <w:spacing w:val="-4"/>
          <w:sz w:val="24"/>
          <w:szCs w:val="24"/>
          <w:highlight w:val="none"/>
          <w:u w:val="single"/>
          <w:lang w:eastAsia="zh-CN"/>
        </w:rPr>
        <w:t xml:space="preserve"> 综合评</w:t>
      </w:r>
      <w:r>
        <w:rPr>
          <w:rFonts w:hint="eastAsia" w:ascii="宋体" w:hAnsi="宋体" w:eastAsia="宋体" w:cs="宋体"/>
          <w:b/>
          <w:bCs/>
          <w:color w:val="auto"/>
          <w:spacing w:val="-4"/>
          <w:sz w:val="24"/>
          <w:szCs w:val="24"/>
          <w:highlight w:val="none"/>
          <w:u w:val="single"/>
          <w:lang w:val="en-US" w:eastAsia="zh-CN"/>
        </w:rPr>
        <w:t>估</w:t>
      </w:r>
      <w:r>
        <w:rPr>
          <w:rFonts w:hint="eastAsia" w:ascii="宋体" w:hAnsi="宋体" w:eastAsia="宋体" w:cs="宋体"/>
          <w:b/>
          <w:bCs/>
          <w:color w:val="auto"/>
          <w:spacing w:val="-4"/>
          <w:sz w:val="24"/>
          <w:szCs w:val="24"/>
          <w:highlight w:val="none"/>
          <w:u w:val="single"/>
          <w:lang w:eastAsia="zh-CN"/>
        </w:rPr>
        <w:t>法</w:t>
      </w:r>
      <w:r>
        <w:rPr>
          <w:rFonts w:hint="eastAsia" w:ascii="宋体" w:hAnsi="宋体" w:eastAsia="宋体" w:cs="宋体"/>
          <w:b/>
          <w:bCs/>
          <w:color w:val="auto"/>
          <w:spacing w:val="-4"/>
          <w:sz w:val="24"/>
          <w:szCs w:val="24"/>
          <w:highlight w:val="none"/>
          <w:u w:val="single"/>
        </w:rPr>
        <w:t xml:space="preserve"> </w:t>
      </w:r>
      <w:r>
        <w:rPr>
          <w:rFonts w:hint="eastAsia" w:ascii="宋体" w:hAnsi="宋体" w:eastAsia="宋体" w:cs="宋体"/>
          <w:color w:val="auto"/>
          <w:spacing w:val="-1"/>
          <w:sz w:val="24"/>
          <w:szCs w:val="24"/>
          <w:highlight w:val="none"/>
        </w:rPr>
        <w:t>进行评标。</w:t>
      </w:r>
    </w:p>
    <w:p w14:paraId="4278404C">
      <w:pPr>
        <w:pageBreakBefore w:val="0"/>
        <w:kinsoku/>
        <w:wordWrap w:val="0"/>
        <w:overflowPunct/>
        <w:topLinePunct w:val="0"/>
        <w:bidi w:val="0"/>
        <w:spacing w:before="154" w:line="269" w:lineRule="auto"/>
        <w:ind w:left="220" w:right="33" w:firstLine="496"/>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4</w:t>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评审范围：评标委员会应对所有投标人的投标文件进行评审。</w:t>
      </w:r>
    </w:p>
    <w:p w14:paraId="46E173E1">
      <w:pPr>
        <w:pageBreakBefore w:val="0"/>
        <w:kinsoku/>
        <w:wordWrap w:val="0"/>
        <w:overflowPunct/>
        <w:topLinePunct w:val="0"/>
        <w:bidi w:val="0"/>
        <w:spacing w:before="153" w:line="220" w:lineRule="auto"/>
        <w:ind w:left="71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初步评审阶段</w:t>
      </w:r>
    </w:p>
    <w:p w14:paraId="59A05B8B">
      <w:pPr>
        <w:pageBreakBefore w:val="0"/>
        <w:kinsoku/>
        <w:wordWrap w:val="0"/>
        <w:overflowPunct/>
        <w:topLinePunct w:val="0"/>
        <w:bidi w:val="0"/>
        <w:spacing w:before="153" w:line="220" w:lineRule="auto"/>
        <w:ind w:left="70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初步评审阶段分为资格评审、形式评审和响应性评审三个环节。</w:t>
      </w:r>
    </w:p>
    <w:p w14:paraId="238061EC">
      <w:pPr>
        <w:pageBreakBefore w:val="0"/>
        <w:kinsoku/>
        <w:wordWrap w:val="0"/>
        <w:overflowPunct/>
        <w:topLinePunct w:val="0"/>
        <w:bidi w:val="0"/>
        <w:spacing w:before="155" w:line="279" w:lineRule="auto"/>
        <w:ind w:left="719" w:right="6303" w:hanging="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2"/>
          <w:sz w:val="24"/>
          <w:szCs w:val="24"/>
          <w:highlight w:val="none"/>
        </w:rPr>
        <w:t xml:space="preserve"> 资格评审环</w:t>
      </w:r>
      <w:r>
        <w:rPr>
          <w:rFonts w:hint="eastAsia" w:ascii="宋体" w:hAnsi="宋体" w:eastAsia="宋体" w:cs="宋体"/>
          <w:color w:val="auto"/>
          <w:spacing w:val="-3"/>
          <w:sz w:val="24"/>
          <w:szCs w:val="24"/>
          <w:highlight w:val="none"/>
        </w:rPr>
        <w:t>节</w:t>
      </w:r>
      <w:r>
        <w:rPr>
          <w:rFonts w:hint="eastAsia" w:ascii="宋体" w:hAnsi="宋体" w:eastAsia="宋体" w:cs="宋体"/>
          <w:color w:val="auto"/>
          <w:spacing w:val="1"/>
          <w:sz w:val="24"/>
          <w:szCs w:val="24"/>
          <w:highlight w:val="none"/>
        </w:rPr>
        <w:t xml:space="preserve"> </w:t>
      </w:r>
    </w:p>
    <w:p w14:paraId="02C4BFC7">
      <w:pPr>
        <w:pageBreakBefore w:val="0"/>
        <w:kinsoku/>
        <w:wordWrap w:val="0"/>
        <w:overflowPunct/>
        <w:topLinePunct w:val="0"/>
        <w:bidi w:val="0"/>
        <w:spacing w:before="155" w:line="279" w:lineRule="auto"/>
        <w:ind w:left="719" w:right="6303" w:hanging="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资格评审事项包括：</w:t>
      </w:r>
    </w:p>
    <w:p w14:paraId="09F27C25">
      <w:pPr>
        <w:keepNext w:val="0"/>
        <w:keepLines w:val="0"/>
        <w:pageBreakBefore w:val="0"/>
        <w:widowControl/>
        <w:kinsoku/>
        <w:wordWrap w:val="0"/>
        <w:overflowPunct/>
        <w:topLinePunct w:val="0"/>
        <w:autoSpaceDE w:val="0"/>
        <w:autoSpaceDN w:val="0"/>
        <w:bidi w:val="0"/>
        <w:adjustRightInd w:val="0"/>
        <w:snapToGrid w:val="0"/>
        <w:spacing w:line="360" w:lineRule="auto"/>
        <w:ind w:left="232" w:firstLine="488"/>
        <w:textAlignment w:val="baseline"/>
        <w:rPr>
          <w:rFonts w:hint="eastAsia" w:asciiTheme="minorEastAsia" w:hAnsiTheme="minorEastAsia" w:eastAsiaTheme="minorEastAsia" w:cstheme="minorEastAsia"/>
          <w:color w:val="auto"/>
          <w:spacing w:val="-4"/>
          <w:sz w:val="24"/>
          <w:szCs w:val="24"/>
          <w:highlight w:val="none"/>
        </w:rPr>
      </w:pPr>
      <w:bookmarkStart w:id="89" w:name="_Toc22778"/>
      <w:r>
        <w:rPr>
          <w:rFonts w:hint="eastAsia" w:asciiTheme="minorEastAsia" w:hAnsiTheme="minorEastAsia" w:eastAsiaTheme="minorEastAsia" w:cstheme="minorEastAsia"/>
          <w:color w:val="auto"/>
          <w:spacing w:val="-4"/>
          <w:sz w:val="24"/>
          <w:szCs w:val="24"/>
          <w:highlight w:val="none"/>
        </w:rPr>
        <w:t>（1）投标人是否符合本章第三节第2.4条“禁止投标条款”规定。如果“禁止投标条款”包括严重失信主体名单的，投标人信用信息的获取采用现场实时查询的方式实施。由招标代理机构工作人员在交易场所工作人员见证下，登录信用中国网站（https://www.creditchina.gov.cn），在企业查询界面下载和打印《法人和非法人组织公共信用信息报告》，作为评审依据移交评标委员会。</w:t>
      </w:r>
    </w:p>
    <w:p w14:paraId="6344994B">
      <w:pPr>
        <w:keepNext w:val="0"/>
        <w:keepLines w:val="0"/>
        <w:pageBreakBefore w:val="0"/>
        <w:widowControl/>
        <w:kinsoku/>
        <w:wordWrap w:val="0"/>
        <w:overflowPunct/>
        <w:topLinePunct w:val="0"/>
        <w:autoSpaceDE w:val="0"/>
        <w:autoSpaceDN w:val="0"/>
        <w:bidi w:val="0"/>
        <w:adjustRightInd w:val="0"/>
        <w:snapToGrid w:val="0"/>
        <w:spacing w:line="360" w:lineRule="auto"/>
        <w:ind w:left="72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（2）投标人名称是否与营业执照、资质证书、安全生产许可证一致。</w:t>
      </w:r>
    </w:p>
    <w:p w14:paraId="5C702244">
      <w:pPr>
        <w:keepNext w:val="0"/>
        <w:keepLines w:val="0"/>
        <w:pageBreakBefore w:val="0"/>
        <w:widowControl/>
        <w:kinsoku/>
        <w:wordWrap w:val="0"/>
        <w:overflowPunct/>
        <w:topLinePunct w:val="0"/>
        <w:autoSpaceDE w:val="0"/>
        <w:autoSpaceDN w:val="0"/>
        <w:bidi w:val="0"/>
        <w:adjustRightInd w:val="0"/>
        <w:snapToGrid w:val="0"/>
        <w:spacing w:line="360" w:lineRule="auto"/>
        <w:ind w:left="232" w:right="96" w:firstLine="488"/>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（3）投标人的资质是否符合招标文件规定；其营业执照、资质证书、安全生产许可证（含实时网页查询页，可参考网址 https://zlaq.mohurd.gov.cn/fwmh/bjxcjgl/fwm</w:t>
      </w:r>
      <w:bookmarkStart w:id="90" w:name="bookmark126"/>
      <w:bookmarkEnd w:id="90"/>
      <w:r>
        <w:rPr>
          <w:rFonts w:hint="eastAsia" w:asciiTheme="minorEastAsia" w:hAnsiTheme="minorEastAsia" w:eastAsiaTheme="minorEastAsia" w:cstheme="minorEastAsia"/>
          <w:color w:val="auto"/>
          <w:spacing w:val="2"/>
          <w:sz w:val="24"/>
          <w:szCs w:val="24"/>
          <w:highlight w:val="none"/>
        </w:rPr>
        <w:t>h/pages/construction_safety/qyaqscxkz/qyaqscxkz）是否合法、有效、准确</w:t>
      </w:r>
      <w:r>
        <w:rPr>
          <w:rFonts w:hint="eastAsia" w:asciiTheme="minorEastAsia" w:hAnsiTheme="minorEastAsia" w:eastAsiaTheme="minorEastAsia" w:cstheme="minorEastAsia"/>
          <w:color w:val="auto"/>
          <w:spacing w:val="-1"/>
          <w:position w:val="3"/>
          <w:sz w:val="24"/>
          <w:szCs w:val="24"/>
          <w:highlight w:val="none"/>
        </w:rPr>
        <w:t>。</w:t>
      </w:r>
    </w:p>
    <w:p w14:paraId="1552FA5F">
      <w:pPr>
        <w:keepNext w:val="0"/>
        <w:keepLines w:val="0"/>
        <w:pageBreakBefore w:val="0"/>
        <w:widowControl/>
        <w:kinsoku/>
        <w:wordWrap w:val="0"/>
        <w:overflowPunct/>
        <w:topLinePunct w:val="0"/>
        <w:autoSpaceDE w:val="0"/>
        <w:autoSpaceDN w:val="0"/>
        <w:bidi w:val="0"/>
        <w:adjustRightInd w:val="0"/>
        <w:snapToGrid w:val="0"/>
        <w:spacing w:line="360" w:lineRule="auto"/>
        <w:ind w:left="50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（4）《项目经理简历表》中拟派项目经理是否与《开标一览表》一致。</w:t>
      </w:r>
    </w:p>
    <w:p w14:paraId="013A9DD7">
      <w:pPr>
        <w:keepNext w:val="0"/>
        <w:keepLines w:val="0"/>
        <w:pageBreakBefore w:val="0"/>
        <w:widowControl/>
        <w:kinsoku/>
        <w:wordWrap w:val="0"/>
        <w:overflowPunct/>
        <w:topLinePunct w:val="0"/>
        <w:autoSpaceDE w:val="0"/>
        <w:autoSpaceDN w:val="0"/>
        <w:bidi w:val="0"/>
        <w:adjustRightInd w:val="0"/>
        <w:snapToGrid w:val="0"/>
        <w:spacing w:line="360" w:lineRule="auto"/>
        <w:ind w:left="11" w:firstLine="489"/>
        <w:textAlignment w:val="baseline"/>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2"/>
          <w:sz w:val="24"/>
          <w:szCs w:val="24"/>
          <w:highlight w:val="none"/>
        </w:rPr>
        <w:t>（5）拟派项目经理、项目技术负责人、专职安全员的条件</w:t>
      </w:r>
      <w:r>
        <w:rPr>
          <w:rFonts w:hint="eastAsia" w:asciiTheme="minorEastAsia" w:hAnsiTheme="minorEastAsia" w:eastAsiaTheme="minorEastAsia" w:cstheme="minorEastAsia"/>
          <w:color w:val="auto"/>
          <w:spacing w:val="1"/>
          <w:sz w:val="24"/>
          <w:szCs w:val="24"/>
          <w:highlight w:val="none"/>
        </w:rPr>
        <w:t>是否符合招标文件规</w:t>
      </w:r>
      <w:r>
        <w:rPr>
          <w:rFonts w:hint="eastAsia" w:asciiTheme="minorEastAsia" w:hAnsiTheme="minorEastAsia" w:eastAsiaTheme="minorEastAsia" w:cstheme="minorEastAsia"/>
          <w:color w:val="auto"/>
          <w:spacing w:val="-1"/>
          <w:sz w:val="24"/>
          <w:szCs w:val="24"/>
          <w:highlight w:val="none"/>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72979839">
      <w:pPr>
        <w:keepNext w:val="0"/>
        <w:keepLines w:val="0"/>
        <w:pageBreakBefore w:val="0"/>
        <w:widowControl/>
        <w:kinsoku/>
        <w:wordWrap w:val="0"/>
        <w:overflowPunct/>
        <w:topLinePunct w:val="0"/>
        <w:autoSpaceDE w:val="0"/>
        <w:autoSpaceDN w:val="0"/>
        <w:bidi w:val="0"/>
        <w:adjustRightInd w:val="0"/>
        <w:snapToGrid w:val="0"/>
        <w:spacing w:line="360" w:lineRule="auto"/>
        <w:ind w:left="8" w:right="2" w:firstLine="492"/>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eastAsiaTheme="minorEastAsia" w:cstheme="minorEastAsia"/>
          <w:color w:val="auto"/>
          <w:spacing w:val="2"/>
          <w:sz w:val="24"/>
          <w:szCs w:val="24"/>
          <w:highlight w:val="none"/>
          <w:lang w:val="en-US" w:eastAsia="zh-CN"/>
        </w:rPr>
        <w:t>6</w:t>
      </w:r>
      <w:r>
        <w:rPr>
          <w:rFonts w:hint="eastAsia" w:asciiTheme="minorEastAsia" w:hAnsiTheme="minorEastAsia" w:eastAsiaTheme="minorEastAsia" w:cstheme="minorEastAsia"/>
          <w:color w:val="auto"/>
          <w:spacing w:val="2"/>
          <w:sz w:val="24"/>
          <w:szCs w:val="24"/>
          <w:highlight w:val="none"/>
        </w:rPr>
        <w:t>）投标人为外省建筑企业的，是否按规定在“进粤</w:t>
      </w:r>
      <w:r>
        <w:rPr>
          <w:rFonts w:hint="eastAsia" w:asciiTheme="minorEastAsia" w:hAnsiTheme="minorEastAsia" w:eastAsiaTheme="minorEastAsia" w:cstheme="minorEastAsia"/>
          <w:color w:val="auto"/>
          <w:spacing w:val="1"/>
          <w:sz w:val="24"/>
          <w:szCs w:val="24"/>
          <w:highlight w:val="none"/>
        </w:rPr>
        <w:t>企业和人员诚信信息登记</w:t>
      </w:r>
      <w:r>
        <w:rPr>
          <w:rFonts w:hint="eastAsia" w:asciiTheme="minorEastAsia" w:hAnsiTheme="minorEastAsia" w:eastAsiaTheme="minorEastAsia" w:cstheme="minorEastAsia"/>
          <w:color w:val="auto"/>
          <w:spacing w:val="-2"/>
          <w:sz w:val="24"/>
          <w:szCs w:val="24"/>
          <w:highlight w:val="none"/>
        </w:rPr>
        <w:t>平台</w:t>
      </w:r>
      <w:r>
        <w:rPr>
          <w:rFonts w:hint="eastAsia" w:asciiTheme="minorEastAsia" w:hAnsiTheme="minorEastAsia" w:eastAsiaTheme="minorEastAsia" w:cstheme="minorEastAsia"/>
          <w:color w:val="auto"/>
          <w:spacing w:val="-76"/>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”录入企业及其拟派人员有关信息并通过数据规范检查。</w:t>
      </w:r>
    </w:p>
    <w:p w14:paraId="1BCD9BCC">
      <w:pPr>
        <w:pageBreakBefore w:val="0"/>
        <w:kinsoku/>
        <w:wordWrap w:val="0"/>
        <w:overflowPunct/>
        <w:topLinePunct w:val="0"/>
        <w:bidi w:val="0"/>
        <w:spacing w:before="15" w:line="360" w:lineRule="auto"/>
        <w:ind w:right="2" w:firstLine="474"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.2 </w:t>
      </w:r>
      <w:r>
        <w:rPr>
          <w:rFonts w:hint="eastAsia" w:ascii="宋体" w:hAnsi="宋体" w:eastAsia="宋体" w:cs="宋体"/>
          <w:color w:val="auto"/>
          <w:spacing w:val="1"/>
          <w:sz w:val="24"/>
          <w:szCs w:val="24"/>
          <w:highlight w:val="none"/>
        </w:rPr>
        <w:t xml:space="preserve"> 形式评审环节</w:t>
      </w:r>
    </w:p>
    <w:p w14:paraId="301F2EB2">
      <w:pPr>
        <w:pageBreakBefore w:val="0"/>
        <w:kinsoku/>
        <w:wordWrap w:val="0"/>
        <w:overflowPunct/>
        <w:topLinePunct w:val="0"/>
        <w:bidi w:val="0"/>
        <w:spacing w:before="15" w:line="360" w:lineRule="auto"/>
        <w:ind w:right="2" w:firstLine="484" w:firstLineChars="200"/>
        <w:jc w:val="both"/>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形式评审事</w:t>
      </w:r>
      <w:r>
        <w:rPr>
          <w:rFonts w:hint="eastAsia" w:ascii="宋体" w:hAnsi="宋体" w:eastAsia="宋体" w:cs="宋体"/>
          <w:color w:val="auto"/>
          <w:spacing w:val="1"/>
          <w:sz w:val="24"/>
          <w:szCs w:val="24"/>
          <w:highlight w:val="none"/>
          <w:lang w:eastAsia="zh-CN"/>
        </w:rPr>
        <w:t>项包括</w:t>
      </w:r>
      <w:bookmarkEnd w:id="89"/>
    </w:p>
    <w:p w14:paraId="007FD8E0">
      <w:pPr>
        <w:pageBreakBefore w:val="0"/>
        <w:kinsoku/>
        <w:wordWrap w:val="0"/>
        <w:overflowPunct/>
        <w:topLinePunct w:val="0"/>
        <w:bidi w:val="0"/>
        <w:spacing w:before="40" w:line="360" w:lineRule="auto"/>
        <w:ind w:left="501"/>
        <w:outlineLvl w:val="9"/>
        <w:rPr>
          <w:rFonts w:hint="eastAsia" w:ascii="宋体" w:hAnsi="宋体" w:eastAsia="宋体" w:cs="宋体"/>
          <w:color w:val="auto"/>
          <w:sz w:val="24"/>
          <w:szCs w:val="24"/>
          <w:highlight w:val="none"/>
        </w:rPr>
      </w:pPr>
      <w:bookmarkStart w:id="91" w:name="_Toc20481"/>
      <w:bookmarkStart w:id="92" w:name="_Toc13304"/>
      <w:bookmarkStart w:id="93" w:name="_Toc23632"/>
      <w:bookmarkStart w:id="94" w:name="_Toc4914"/>
      <w:r>
        <w:rPr>
          <w:rFonts w:hint="eastAsia" w:ascii="宋体" w:hAnsi="宋体" w:eastAsia="宋体" w:cs="宋体"/>
          <w:color w:val="auto"/>
          <w:spacing w:val="-1"/>
          <w:sz w:val="24"/>
          <w:szCs w:val="24"/>
          <w:highlight w:val="none"/>
        </w:rPr>
        <w:t>（1）各分册是否按招标文件规定加盖电子印章。</w:t>
      </w:r>
      <w:bookmarkEnd w:id="91"/>
      <w:bookmarkEnd w:id="92"/>
      <w:bookmarkEnd w:id="93"/>
      <w:bookmarkEnd w:id="94"/>
    </w:p>
    <w:p w14:paraId="4E7DC2D0">
      <w:pPr>
        <w:pageBreakBefore w:val="0"/>
        <w:kinsoku/>
        <w:wordWrap w:val="0"/>
        <w:overflowPunct/>
        <w:topLinePunct w:val="0"/>
        <w:bidi w:val="0"/>
        <w:spacing w:before="15" w:line="360" w:lineRule="auto"/>
        <w:ind w:firstLine="464" w:firstLineChars="200"/>
        <w:outlineLvl w:val="9"/>
        <w:rPr>
          <w:rFonts w:hint="eastAsia" w:ascii="宋体" w:hAnsi="宋体" w:eastAsia="宋体" w:cs="宋体"/>
          <w:color w:val="auto"/>
          <w:spacing w:val="-1"/>
          <w:sz w:val="24"/>
          <w:szCs w:val="24"/>
          <w:highlight w:val="none"/>
          <w:lang w:eastAsia="zh-CN"/>
        </w:rPr>
      </w:pPr>
      <w:bookmarkStart w:id="95" w:name="_Toc27432"/>
      <w:bookmarkStart w:id="96" w:name="_Toc28409"/>
      <w:bookmarkStart w:id="97" w:name="_Toc10806"/>
      <w:bookmarkStart w:id="98" w:name="_Toc12756"/>
      <w:r>
        <w:rPr>
          <w:rFonts w:hint="eastAsia" w:ascii="宋体" w:hAnsi="宋体" w:eastAsia="宋体" w:cs="宋体"/>
          <w:color w:val="auto"/>
          <w:spacing w:val="-4"/>
          <w:sz w:val="24"/>
          <w:szCs w:val="24"/>
          <w:highlight w:val="none"/>
        </w:rPr>
        <w:t>（2）本节第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10.2.2 目、第</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10.3.2 目、第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10.4.</w:t>
      </w:r>
      <w:r>
        <w:rPr>
          <w:rFonts w:hint="eastAsia" w:ascii="宋体" w:hAnsi="宋体" w:eastAsia="宋体" w:cs="宋体"/>
          <w:color w:val="auto"/>
          <w:spacing w:val="-4"/>
          <w:sz w:val="24"/>
          <w:szCs w:val="24"/>
          <w:highlight w:val="none"/>
          <w:lang w:val="en-US" w:eastAsia="zh-CN"/>
        </w:rPr>
        <w:t>3</w:t>
      </w:r>
      <w:r>
        <w:rPr>
          <w:rFonts w:hint="eastAsia" w:ascii="宋体" w:hAnsi="宋体" w:eastAsia="宋体" w:cs="宋体"/>
          <w:color w:val="auto"/>
          <w:spacing w:val="-4"/>
          <w:sz w:val="24"/>
          <w:szCs w:val="24"/>
          <w:highlight w:val="none"/>
        </w:rPr>
        <w:t>目中规定</w:t>
      </w:r>
      <w:r>
        <w:rPr>
          <w:rFonts w:hint="eastAsia" w:ascii="宋体" w:hAnsi="宋体" w:eastAsia="宋体" w:cs="宋体"/>
          <w:color w:val="auto"/>
          <w:spacing w:val="-5"/>
          <w:sz w:val="24"/>
          <w:szCs w:val="24"/>
          <w:highlight w:val="none"/>
        </w:rPr>
        <w:t>的“所有投标人均应提</w:t>
      </w:r>
      <w:bookmarkEnd w:id="95"/>
      <w:bookmarkEnd w:id="96"/>
      <w:bookmarkEnd w:id="97"/>
      <w:r>
        <w:rPr>
          <w:rFonts w:hint="eastAsia" w:ascii="宋体" w:hAnsi="宋体" w:eastAsia="宋体" w:cs="宋体"/>
          <w:color w:val="auto"/>
          <w:spacing w:val="-1"/>
          <w:sz w:val="24"/>
          <w:szCs w:val="24"/>
          <w:highlight w:val="none"/>
        </w:rPr>
        <w:t>供</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”的组成内容（包括该组成内容的所附资料）是否完整、齐全</w:t>
      </w:r>
      <w:bookmarkEnd w:id="98"/>
      <w:r>
        <w:rPr>
          <w:rFonts w:hint="eastAsia" w:ascii="宋体" w:hAnsi="宋体" w:eastAsia="宋体" w:cs="宋体"/>
          <w:color w:val="auto"/>
          <w:spacing w:val="-1"/>
          <w:sz w:val="24"/>
          <w:szCs w:val="24"/>
          <w:highlight w:val="none"/>
          <w:lang w:eastAsia="zh-CN"/>
        </w:rPr>
        <w:t>。</w:t>
      </w:r>
    </w:p>
    <w:p w14:paraId="3D386574">
      <w:pPr>
        <w:pageBreakBefore w:val="0"/>
        <w:kinsoku/>
        <w:wordWrap w:val="0"/>
        <w:overflowPunct/>
        <w:topLinePunct w:val="0"/>
        <w:bidi w:val="0"/>
        <w:spacing w:before="15" w:line="360" w:lineRule="auto"/>
        <w:ind w:right="2" w:firstLine="474" w:firstLineChars="200"/>
        <w:jc w:val="both"/>
        <w:outlineLvl w:val="9"/>
        <w:rPr>
          <w:rFonts w:hint="eastAsia" w:ascii="宋体" w:hAnsi="宋体" w:eastAsia="宋体" w:cs="宋体"/>
          <w:color w:val="auto"/>
          <w:spacing w:val="2"/>
          <w:sz w:val="24"/>
          <w:szCs w:val="24"/>
          <w:highlight w:val="none"/>
        </w:rPr>
      </w:pPr>
      <w:bookmarkStart w:id="99" w:name="_Toc22562"/>
      <w:bookmarkStart w:id="100" w:name="_Toc16645"/>
      <w:bookmarkStart w:id="101" w:name="_Toc22642"/>
      <w:bookmarkStart w:id="102" w:name="_Toc14202"/>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.3  </w:t>
      </w:r>
      <w:r>
        <w:rPr>
          <w:rFonts w:hint="eastAsia" w:ascii="宋体" w:hAnsi="宋体" w:eastAsia="宋体" w:cs="宋体"/>
          <w:color w:val="auto"/>
          <w:spacing w:val="2"/>
          <w:sz w:val="24"/>
          <w:szCs w:val="24"/>
          <w:highlight w:val="none"/>
        </w:rPr>
        <w:t xml:space="preserve">响应性评审环节 </w:t>
      </w:r>
    </w:p>
    <w:p w14:paraId="7757D3BF">
      <w:pPr>
        <w:pageBreakBefore w:val="0"/>
        <w:kinsoku/>
        <w:wordWrap w:val="0"/>
        <w:overflowPunct/>
        <w:topLinePunct w:val="0"/>
        <w:bidi w:val="0"/>
        <w:spacing w:before="15" w:line="360" w:lineRule="auto"/>
        <w:ind w:right="2" w:firstLine="488"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响应性评项包括：</w:t>
      </w:r>
      <w:bookmarkEnd w:id="99"/>
      <w:bookmarkEnd w:id="100"/>
      <w:bookmarkEnd w:id="101"/>
      <w:bookmarkEnd w:id="102"/>
    </w:p>
    <w:p w14:paraId="533C330C">
      <w:pPr>
        <w:keepNext w:val="0"/>
        <w:keepLines w:val="0"/>
        <w:pageBreakBefore w:val="0"/>
        <w:widowControl/>
        <w:kinsoku/>
        <w:wordWrap w:val="0"/>
        <w:overflowPunct/>
        <w:topLinePunct w:val="0"/>
        <w:autoSpaceDE w:val="0"/>
        <w:autoSpaceDN w:val="0"/>
        <w:bidi w:val="0"/>
        <w:adjustRightInd w:val="0"/>
        <w:snapToGrid w:val="0"/>
        <w:spacing w:line="360" w:lineRule="auto"/>
        <w:ind w:left="11"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（1）投标有效期、质量标准、工期等是否响应招标文件实</w:t>
      </w:r>
      <w:r>
        <w:rPr>
          <w:rFonts w:hint="eastAsia" w:ascii="宋体" w:hAnsi="宋体" w:eastAsia="宋体" w:cs="宋体"/>
          <w:color w:val="auto"/>
          <w:spacing w:val="1"/>
          <w:sz w:val="24"/>
          <w:szCs w:val="24"/>
          <w:highlight w:val="none"/>
        </w:rPr>
        <w:t>质性要求；是否擅自</w:t>
      </w:r>
      <w:r>
        <w:rPr>
          <w:rFonts w:hint="eastAsia" w:ascii="宋体" w:hAnsi="宋体" w:eastAsia="宋体" w:cs="宋体"/>
          <w:color w:val="auto"/>
          <w:spacing w:val="-1"/>
          <w:sz w:val="24"/>
          <w:szCs w:val="24"/>
          <w:highlight w:val="none"/>
        </w:rPr>
        <w:t>修改、遗漏《投标函》《各项承诺一览表》的实质性内容。</w:t>
      </w:r>
    </w:p>
    <w:p w14:paraId="0D517F12">
      <w:pPr>
        <w:keepNext w:val="0"/>
        <w:keepLines w:val="0"/>
        <w:pageBreakBefore w:val="0"/>
        <w:widowControl/>
        <w:kinsoku/>
        <w:wordWrap w:val="0"/>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（2）编制《投标总价》的造价工程师，其注册证书是否合法、有效。</w:t>
      </w:r>
    </w:p>
    <w:p w14:paraId="4ACD1433">
      <w:pPr>
        <w:keepNext w:val="0"/>
        <w:keepLines w:val="0"/>
        <w:pageBreakBefore w:val="0"/>
        <w:widowControl/>
        <w:kinsoku/>
        <w:wordWrap w:val="0"/>
        <w:overflowPunct/>
        <w:topLinePunct w:val="0"/>
        <w:autoSpaceDE w:val="0"/>
        <w:autoSpaceDN w:val="0"/>
        <w:bidi w:val="0"/>
        <w:adjustRightInd w:val="0"/>
        <w:snapToGrid w:val="0"/>
        <w:spacing w:line="360" w:lineRule="auto"/>
        <w:ind w:left="23" w:right="0" w:firstLine="482"/>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rPr>
        <w:t>（3）投标人委托造价咨询单位编制《投标总价》的，是否在《投标总价扉页》“投标人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”栏目加盖造价咨询人公章；是否提供</w:t>
      </w:r>
      <w:r>
        <w:rPr>
          <w:rFonts w:hint="eastAsia" w:ascii="宋体" w:hAnsi="宋体" w:eastAsia="宋体" w:cs="宋体"/>
          <w:color w:val="auto"/>
          <w:sz w:val="24"/>
          <w:szCs w:val="24"/>
          <w:highlight w:val="none"/>
        </w:rPr>
        <w:t>造价咨询人的营业执照</w:t>
      </w:r>
      <w:r>
        <w:rPr>
          <w:rFonts w:hint="eastAsia" w:ascii="宋体" w:hAnsi="宋体" w:eastAsia="宋体" w:cs="宋体"/>
          <w:color w:val="auto"/>
          <w:spacing w:val="-2"/>
          <w:sz w:val="24"/>
          <w:szCs w:val="24"/>
          <w:highlight w:val="none"/>
        </w:rPr>
        <w:t>副本彩色扫描件</w:t>
      </w:r>
      <w:r>
        <w:rPr>
          <w:rFonts w:hint="eastAsia" w:ascii="宋体" w:hAnsi="宋体" w:eastAsia="宋体" w:cs="宋体"/>
          <w:color w:val="auto"/>
          <w:spacing w:val="-2"/>
          <w:sz w:val="24"/>
          <w:szCs w:val="24"/>
          <w:highlight w:val="none"/>
          <w:lang w:eastAsia="zh-CN"/>
        </w:rPr>
        <w:t>。</w:t>
      </w:r>
    </w:p>
    <w:p w14:paraId="028B5C07">
      <w:pPr>
        <w:keepNext w:val="0"/>
        <w:keepLines w:val="0"/>
        <w:pageBreakBefore w:val="0"/>
        <w:widowControl/>
        <w:kinsoku/>
        <w:wordWrap w:val="0"/>
        <w:overflowPunct/>
        <w:topLinePunct w:val="0"/>
        <w:autoSpaceDE w:val="0"/>
        <w:autoSpaceDN w:val="0"/>
        <w:bidi w:val="0"/>
        <w:adjustRightInd w:val="0"/>
        <w:snapToGrid w:val="0"/>
        <w:spacing w:line="360" w:lineRule="auto"/>
        <w:ind w:left="11"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（4）投标总价是否唯一；投标总价是否超出</w:t>
      </w:r>
      <w:r>
        <w:rPr>
          <w:rFonts w:hint="eastAsia" w:ascii="宋体" w:hAnsi="宋体" w:eastAsia="宋体" w:cs="宋体"/>
          <w:b/>
          <w:bCs/>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w:t>
      </w:r>
      <w:r>
        <w:rPr>
          <w:rFonts w:hint="eastAsia" w:ascii="宋体" w:hAnsi="宋体" w:eastAsia="宋体" w:cs="宋体"/>
          <w:b/>
          <w:bCs/>
          <w:color w:val="auto"/>
          <w:spacing w:val="1"/>
          <w:sz w:val="24"/>
          <w:szCs w:val="24"/>
          <w:highlight w:val="none"/>
        </w:rPr>
        <w:t>安全生产措施费</w:t>
      </w:r>
      <w:r>
        <w:rPr>
          <w:rFonts w:hint="eastAsia" w:ascii="宋体" w:hAnsi="宋体" w:eastAsia="宋体" w:cs="宋体"/>
          <w:color w:val="auto"/>
          <w:spacing w:val="-1"/>
          <w:sz w:val="24"/>
          <w:szCs w:val="24"/>
          <w:highlight w:val="none"/>
        </w:rPr>
        <w:t>是否达到最低要求；暂列金额、暂估价是否按照招标工</w:t>
      </w:r>
      <w:r>
        <w:rPr>
          <w:rFonts w:hint="eastAsia" w:ascii="宋体" w:hAnsi="宋体" w:eastAsia="宋体" w:cs="宋体"/>
          <w:color w:val="auto"/>
          <w:spacing w:val="-2"/>
          <w:sz w:val="24"/>
          <w:szCs w:val="24"/>
          <w:highlight w:val="none"/>
        </w:rPr>
        <w:t>程量清单统一报价；投</w:t>
      </w:r>
      <w:r>
        <w:rPr>
          <w:rFonts w:hint="eastAsia" w:ascii="宋体" w:hAnsi="宋体" w:eastAsia="宋体" w:cs="宋体"/>
          <w:color w:val="auto"/>
          <w:spacing w:val="-1"/>
          <w:sz w:val="24"/>
          <w:szCs w:val="24"/>
          <w:highlight w:val="none"/>
        </w:rPr>
        <w:t>标人是否以低于成本的价格竞标。</w:t>
      </w:r>
    </w:p>
    <w:p w14:paraId="17DB6A5B">
      <w:pPr>
        <w:keepNext w:val="0"/>
        <w:keepLines w:val="0"/>
        <w:pageBreakBefore w:val="0"/>
        <w:widowControl/>
        <w:kinsoku/>
        <w:wordWrap w:val="0"/>
        <w:overflowPunct/>
        <w:topLinePunct w:val="0"/>
        <w:autoSpaceDE w:val="0"/>
        <w:autoSpaceDN w:val="0"/>
        <w:bidi w:val="0"/>
        <w:adjustRightInd w:val="0"/>
        <w:snapToGrid w:val="0"/>
        <w:spacing w:before="38" w:line="360" w:lineRule="auto"/>
        <w:ind w:right="0" w:firstLine="474" w:firstLineChars="200"/>
        <w:jc w:val="both"/>
        <w:textAlignment w:val="baseline"/>
        <w:rPr>
          <w:rFonts w:hint="eastAsia" w:ascii="宋体" w:hAnsi="宋体" w:eastAsia="宋体" w:cs="宋体"/>
          <w:color w:val="auto"/>
          <w:position w:val="-8"/>
          <w:sz w:val="24"/>
          <w:szCs w:val="24"/>
          <w:highlight w:val="none"/>
        </w:rPr>
      </w:pPr>
      <w:r>
        <w:rPr>
          <w:rFonts w:hint="eastAsia" w:ascii="宋体" w:hAnsi="宋体" w:eastAsia="宋体" w:cs="宋体"/>
          <w:b/>
          <w:bCs/>
          <w:color w:val="auto"/>
          <w:spacing w:val="-2"/>
          <w:sz w:val="24"/>
          <w:szCs w:val="24"/>
          <w:highlight w:val="none"/>
        </w:rPr>
        <w:t>注：如果某投标人的投标总价下浮率超过</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32"/>
          <w:sz w:val="24"/>
          <w:szCs w:val="24"/>
          <w:highlight w:val="none"/>
        </w:rPr>
        <w:t xml:space="preserve"> </w:t>
      </w:r>
      <w:r>
        <w:rPr>
          <w:rFonts w:hint="eastAsia" w:ascii="宋体" w:hAnsi="宋体" w:eastAsia="宋体" w:cs="宋体"/>
          <w:b/>
          <w:bCs/>
          <w:color w:val="auto"/>
          <w:spacing w:val="-2"/>
          <w:sz w:val="24"/>
          <w:szCs w:val="24"/>
          <w:highlight w:val="none"/>
        </w:rPr>
        <w:t>，又未提供</w:t>
      </w:r>
      <w:r>
        <w:rPr>
          <w:rFonts w:hint="eastAsia" w:ascii="宋体" w:hAnsi="宋体" w:eastAsia="宋体" w:cs="宋体"/>
          <w:b/>
          <w:bCs/>
          <w:color w:val="auto"/>
          <w:spacing w:val="-3"/>
          <w:sz w:val="24"/>
          <w:szCs w:val="24"/>
          <w:highlight w:val="none"/>
        </w:rPr>
        <w:t>相应书面说明和佐证</w:t>
      </w:r>
      <w:bookmarkStart w:id="103" w:name="bookmark127"/>
      <w:bookmarkEnd w:id="103"/>
      <w:r>
        <w:rPr>
          <w:rFonts w:hint="eastAsia" w:ascii="宋体" w:hAnsi="宋体" w:eastAsia="宋体" w:cs="宋体"/>
          <w:b/>
          <w:bCs/>
          <w:color w:val="auto"/>
          <w:spacing w:val="-4"/>
          <w:sz w:val="24"/>
          <w:szCs w:val="24"/>
          <w:highlight w:val="none"/>
        </w:rPr>
        <w:t>材料或提供的书面说明和佐证材料不能令人信服的，评标委员会应认定其以低于成本</w:t>
      </w:r>
      <w:r>
        <w:rPr>
          <w:rFonts w:hint="eastAsia" w:ascii="宋体" w:hAnsi="宋体" w:eastAsia="宋体" w:cs="宋体"/>
          <w:b/>
          <w:bCs/>
          <w:color w:val="auto"/>
          <w:spacing w:val="-9"/>
          <w:sz w:val="24"/>
          <w:szCs w:val="24"/>
          <w:highlight w:val="none"/>
        </w:rPr>
        <w:t>的价格竞标，并否决其投标。评</w:t>
      </w:r>
      <w:r>
        <w:rPr>
          <w:rFonts w:hint="eastAsia" w:ascii="宋体" w:hAnsi="宋体" w:eastAsia="宋体" w:cs="宋体"/>
          <w:b/>
          <w:bCs/>
          <w:color w:val="auto"/>
          <w:spacing w:val="-4"/>
          <w:sz w:val="24"/>
          <w:szCs w:val="24"/>
          <w:highlight w:val="none"/>
        </w:rPr>
        <w:t>标委员会接受该投标人的投标总价而未否决其投标的， 应在评标报告中说明判断理由。投标总价下浮率＝（1－投标总价÷</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）×100% 。</w:t>
      </w:r>
    </w:p>
    <w:p w14:paraId="143F3655">
      <w:pPr>
        <w:pageBreakBefore w:val="0"/>
        <w:kinsoku/>
        <w:wordWrap w:val="0"/>
        <w:overflowPunct/>
        <w:topLinePunct w:val="0"/>
        <w:bidi w:val="0"/>
        <w:spacing w:before="157" w:line="360" w:lineRule="auto"/>
        <w:ind w:left="11" w:right="114" w:firstLine="505" w:firstLineChars="20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（5）施工组织设计的质量、进度保障措施是否符合国</w:t>
      </w:r>
      <w:r>
        <w:rPr>
          <w:rFonts w:hint="eastAsia" w:ascii="宋体" w:hAnsi="宋体" w:eastAsia="宋体" w:cs="宋体"/>
          <w:color w:val="auto"/>
          <w:sz w:val="24"/>
          <w:szCs w:val="24"/>
          <w:highlight w:val="none"/>
        </w:rPr>
        <w:t>家和省市现行有关规</w:t>
      </w:r>
      <w:r>
        <w:rPr>
          <w:rFonts w:hint="eastAsia" w:ascii="宋体" w:hAnsi="宋体" w:eastAsia="宋体" w:cs="宋体"/>
          <w:color w:val="auto"/>
          <w:spacing w:val="-1"/>
          <w:sz w:val="24"/>
          <w:szCs w:val="24"/>
          <w:highlight w:val="none"/>
        </w:rPr>
        <w:t>范、规定、标准，是否能实现工程质量、进度管理目标。</w:t>
      </w:r>
    </w:p>
    <w:p w14:paraId="679B8419">
      <w:pPr>
        <w:pageBreakBefore w:val="0"/>
        <w:kinsoku/>
        <w:wordWrap w:val="0"/>
        <w:overflowPunct/>
        <w:topLinePunct w:val="0"/>
        <w:bidi w:val="0"/>
        <w:spacing w:before="82" w:line="211" w:lineRule="auto"/>
        <w:ind w:left="580"/>
        <w:outlineLvl w:val="9"/>
        <w:rPr>
          <w:rFonts w:hint="eastAsia" w:ascii="宋体" w:hAnsi="宋体" w:eastAsia="宋体" w:cs="宋体"/>
          <w:color w:val="auto"/>
          <w:sz w:val="25"/>
          <w:szCs w:val="25"/>
          <w:highlight w:val="none"/>
        </w:rPr>
      </w:pPr>
      <w:bookmarkStart w:id="104" w:name="_Toc32114"/>
      <w:bookmarkStart w:id="105" w:name="_Toc15367"/>
      <w:bookmarkStart w:id="106" w:name="_Toc18204"/>
      <w:bookmarkStart w:id="107" w:name="_Toc19814"/>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 xml:space="preserve">.4  </w:t>
      </w:r>
      <w:r>
        <w:rPr>
          <w:rFonts w:hint="eastAsia" w:ascii="宋体" w:hAnsi="宋体" w:eastAsia="宋体" w:cs="宋体"/>
          <w:color w:val="auto"/>
          <w:spacing w:val="-3"/>
          <w:sz w:val="24"/>
          <w:szCs w:val="24"/>
          <w:highlight w:val="none"/>
        </w:rPr>
        <w:t>否决投标说明</w:t>
      </w:r>
      <w:bookmarkEnd w:id="104"/>
      <w:bookmarkEnd w:id="105"/>
      <w:bookmarkEnd w:id="106"/>
      <w:bookmarkEnd w:id="107"/>
    </w:p>
    <w:p w14:paraId="7073C8F6">
      <w:pPr>
        <w:pageBreakBefore w:val="0"/>
        <w:kinsoku/>
        <w:wordWrap w:val="0"/>
        <w:overflowPunct/>
        <w:topLinePunct w:val="0"/>
        <w:bidi w:val="0"/>
        <w:spacing w:before="152" w:line="333" w:lineRule="auto"/>
        <w:ind w:left="11" w:right="175" w:firstLine="561"/>
        <w:rPr>
          <w:rFonts w:hint="eastAsia" w:ascii="宋体" w:hAnsi="宋体" w:eastAsia="宋体" w:cs="宋体"/>
          <w:color w:val="auto"/>
          <w:highlight w:val="none"/>
        </w:rPr>
      </w:pPr>
      <w:r>
        <w:rPr>
          <w:rFonts w:hint="eastAsia" w:ascii="宋体" w:hAnsi="宋体" w:eastAsia="宋体" w:cs="宋体"/>
          <w:color w:val="auto"/>
          <w:spacing w:val="-5"/>
          <w:sz w:val="24"/>
          <w:szCs w:val="24"/>
          <w:highlight w:val="none"/>
        </w:rPr>
        <w:t>初步评审阶段各个环节否决投标的全部条件，在本章第四节“否决投标条件</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b/>
          <w:bCs/>
          <w:color w:val="auto"/>
          <w:sz w:val="24"/>
          <w:szCs w:val="24"/>
          <w:highlight w:val="none"/>
        </w:rPr>
        <w:t>1</w:t>
      </w:r>
      <w:r>
        <w:rPr>
          <w:rFonts w:hint="eastAsia" w:ascii="宋体" w:hAnsi="宋体" w:eastAsia="宋体" w:cs="宋体"/>
          <w:color w:val="auto"/>
          <w:sz w:val="24"/>
          <w:szCs w:val="24"/>
          <w:highlight w:val="none"/>
        </w:rPr>
        <w:t>条至第</w:t>
      </w:r>
      <w:r>
        <w:rPr>
          <w:rFonts w:hint="eastAsia" w:ascii="宋体" w:hAnsi="宋体" w:eastAsia="宋体" w:cs="宋体"/>
          <w:color w:val="auto"/>
          <w:spacing w:val="-46"/>
          <w:sz w:val="24"/>
          <w:szCs w:val="24"/>
          <w:highlight w:val="none"/>
        </w:rPr>
        <w:t xml:space="preserve"> </w:t>
      </w:r>
      <w:r>
        <w:rPr>
          <w:rFonts w:hint="eastAsia" w:ascii="宋体" w:hAnsi="宋体" w:eastAsia="宋体" w:cs="宋体"/>
          <w:b/>
          <w:bCs/>
          <w:color w:val="auto"/>
          <w:sz w:val="24"/>
          <w:szCs w:val="24"/>
          <w:highlight w:val="none"/>
        </w:rPr>
        <w:t>4</w:t>
      </w:r>
      <w:r>
        <w:rPr>
          <w:rFonts w:hint="eastAsia" w:ascii="宋体" w:hAnsi="宋体" w:eastAsia="宋体" w:cs="宋体"/>
          <w:color w:val="auto"/>
          <w:sz w:val="24"/>
          <w:szCs w:val="24"/>
          <w:highlight w:val="none"/>
        </w:rPr>
        <w:t>条中集中列示。投标人有其中所列任何一种情形的，由评标委员会否决其</w:t>
      </w:r>
      <w:r>
        <w:rPr>
          <w:rFonts w:hint="eastAsia" w:ascii="宋体" w:hAnsi="宋体" w:eastAsia="宋体" w:cs="宋体"/>
          <w:color w:val="auto"/>
          <w:spacing w:val="-1"/>
          <w:sz w:val="24"/>
          <w:szCs w:val="24"/>
          <w:highlight w:val="none"/>
        </w:rPr>
        <w:t>投标。在初步评审阶段任何环节被否决的投标人，不进入下一环</w:t>
      </w:r>
      <w:r>
        <w:rPr>
          <w:rFonts w:hint="eastAsia" w:ascii="宋体" w:hAnsi="宋体" w:eastAsia="宋体" w:cs="宋体"/>
          <w:color w:val="auto"/>
          <w:spacing w:val="-2"/>
          <w:sz w:val="24"/>
          <w:szCs w:val="24"/>
          <w:highlight w:val="none"/>
        </w:rPr>
        <w:t>节（或阶段）评审。</w:t>
      </w:r>
      <w:r>
        <w:rPr>
          <w:rFonts w:hint="eastAsia" w:ascii="宋体" w:hAnsi="宋体" w:eastAsia="宋体" w:cs="宋体"/>
          <w:color w:val="auto"/>
          <w:spacing w:val="-1"/>
          <w:sz w:val="24"/>
          <w:szCs w:val="24"/>
          <w:highlight w:val="none"/>
        </w:rPr>
        <w:t>在初步评审阶段任何环节。</w:t>
      </w:r>
      <w:r>
        <w:rPr>
          <w:rFonts w:hint="eastAsia" w:ascii="宋体" w:hAnsi="宋体" w:eastAsia="宋体" w:cs="宋体"/>
          <w:color w:val="auto"/>
          <w:sz w:val="24"/>
          <w:szCs w:val="24"/>
          <w:highlight w:val="none"/>
        </w:rPr>
        <w:t>评标委员会经评审，认为所有投标都不符合招标文件要求的，可否决所有投标，项目的所有投标被否决的，招标人应依法重新组织招标。</w:t>
      </w:r>
    </w:p>
    <w:p w14:paraId="7FC0CEA6">
      <w:pPr>
        <w:pageBreakBefore w:val="0"/>
        <w:kinsoku/>
        <w:wordWrap w:val="0"/>
        <w:overflowPunct/>
        <w:topLinePunct w:val="0"/>
        <w:bidi w:val="0"/>
        <w:spacing w:before="78" w:line="221" w:lineRule="auto"/>
        <w:ind w:left="577"/>
        <w:rPr>
          <w:rFonts w:hint="eastAsia" w:ascii="宋体" w:hAnsi="宋体" w:eastAsia="宋体" w:cs="宋体"/>
          <w:color w:val="auto"/>
          <w:sz w:val="24"/>
          <w:szCs w:val="24"/>
          <w:highlight w:val="none"/>
        </w:rPr>
      </w:pPr>
      <w:r>
        <w:rPr>
          <w:rFonts w:hint="eastAsia" w:ascii="宋体" w:hAnsi="宋体" w:eastAsia="宋体" w:cs="宋体"/>
          <w:color w:val="auto"/>
          <w:highlight w:val="none"/>
        </w:rPr>
        <w:drawing>
          <wp:anchor distT="0" distB="0" distL="114300" distR="114300" simplePos="0" relativeHeight="251661312"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6"/>
                    <a:stretch>
                      <a:fillRect/>
                    </a:stretch>
                  </pic:blipFill>
                  <pic:spPr>
                    <a:xfrm>
                      <a:off x="0" y="0"/>
                      <a:ext cx="6350" cy="279400"/>
                    </a:xfrm>
                    <a:prstGeom prst="rect">
                      <a:avLst/>
                    </a:prstGeom>
                    <a:noFill/>
                    <a:ln>
                      <a:noFill/>
                    </a:ln>
                  </pic:spPr>
                </pic:pic>
              </a:graphicData>
            </a:graphic>
          </wp:anchor>
        </w:drawing>
      </w:r>
      <w:bookmarkStart w:id="108" w:name="bookmark128"/>
      <w:bookmarkEnd w:id="108"/>
      <w:r>
        <w:rPr>
          <w:rFonts w:hint="eastAsia" w:ascii="宋体" w:hAnsi="宋体" w:eastAsia="宋体" w:cs="宋体"/>
          <w:b/>
          <w:bCs/>
          <w:color w:val="auto"/>
          <w:spacing w:val="-2"/>
          <w:sz w:val="24"/>
          <w:szCs w:val="24"/>
          <w:highlight w:val="none"/>
        </w:rPr>
        <w:t>1</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w:t>
      </w:r>
      <w:r>
        <w:rPr>
          <w:rFonts w:hint="eastAsia" w:ascii="宋体" w:hAnsi="宋体" w:eastAsia="宋体" w:cs="宋体"/>
          <w:b/>
          <w:bCs/>
          <w:color w:val="auto"/>
          <w:spacing w:val="-2"/>
          <w:sz w:val="24"/>
          <w:szCs w:val="24"/>
          <w:highlight w:val="none"/>
          <w:lang w:val="en-US" w:eastAsia="zh-CN"/>
        </w:rPr>
        <w:t>6</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详细评审阶段</w:t>
      </w:r>
    </w:p>
    <w:p w14:paraId="6B0132D7">
      <w:pPr>
        <w:pageBreakBefore w:val="0"/>
        <w:kinsoku/>
        <w:wordWrap w:val="0"/>
        <w:overflowPunct/>
        <w:topLinePunct w:val="0"/>
        <w:bidi w:val="0"/>
        <w:spacing w:before="81" w:line="211" w:lineRule="auto"/>
        <w:ind w:left="498"/>
        <w:outlineLvl w:val="9"/>
        <w:rPr>
          <w:rFonts w:hint="eastAsia" w:ascii="宋体" w:hAnsi="宋体" w:eastAsia="宋体" w:cs="宋体"/>
          <w:color w:val="auto"/>
          <w:sz w:val="25"/>
          <w:szCs w:val="25"/>
          <w:highlight w:val="none"/>
        </w:rPr>
      </w:pPr>
      <w:bookmarkStart w:id="109" w:name="_Toc14991"/>
      <w:bookmarkStart w:id="110" w:name="_Toc28572"/>
      <w:bookmarkStart w:id="111" w:name="_Toc10503"/>
      <w:bookmarkStart w:id="112" w:name="_Toc4119"/>
      <w:r>
        <w:rPr>
          <w:rFonts w:hint="eastAsia" w:ascii="宋体" w:hAnsi="宋体" w:eastAsia="宋体" w:cs="宋体"/>
          <w:b/>
          <w:bCs/>
          <w:color w:val="auto"/>
          <w:spacing w:val="-3"/>
          <w:sz w:val="24"/>
          <w:szCs w:val="24"/>
          <w:highlight w:val="none"/>
          <w:lang w:val="en-US" w:eastAsia="zh-CN"/>
        </w:rPr>
        <w:t>15</w:t>
      </w:r>
      <w:r>
        <w:rPr>
          <w:rFonts w:hint="eastAsia" w:ascii="宋体" w:hAnsi="宋体" w:eastAsia="宋体" w:cs="宋体"/>
          <w:b/>
          <w:bCs/>
          <w:color w:val="auto"/>
          <w:spacing w:val="-3"/>
          <w:sz w:val="24"/>
          <w:szCs w:val="24"/>
          <w:highlight w:val="none"/>
        </w:rPr>
        <w:t>.</w:t>
      </w:r>
      <w:r>
        <w:rPr>
          <w:rFonts w:hint="eastAsia" w:ascii="宋体" w:hAnsi="宋体" w:eastAsia="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 xml:space="preserve">.1  </w:t>
      </w:r>
      <w:r>
        <w:rPr>
          <w:rFonts w:hint="eastAsia" w:ascii="宋体" w:hAnsi="宋体" w:eastAsia="宋体" w:cs="宋体"/>
          <w:color w:val="auto"/>
          <w:spacing w:val="-3"/>
          <w:sz w:val="24"/>
          <w:szCs w:val="24"/>
          <w:highlight w:val="none"/>
        </w:rPr>
        <w:t>“综合评估法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”评审程序</w:t>
      </w:r>
      <w:bookmarkEnd w:id="109"/>
      <w:bookmarkEnd w:id="110"/>
      <w:bookmarkEnd w:id="111"/>
      <w:bookmarkEnd w:id="112"/>
    </w:p>
    <w:p w14:paraId="52475F7B">
      <w:pPr>
        <w:keepNext w:val="0"/>
        <w:keepLines w:val="0"/>
        <w:pageBreakBefore w:val="0"/>
        <w:widowControl/>
        <w:kinsoku/>
        <w:wordWrap w:val="0"/>
        <w:overflowPunct/>
        <w:topLinePunct w:val="0"/>
        <w:autoSpaceDE w:val="0"/>
        <w:autoSpaceDN w:val="0"/>
        <w:bidi w:val="0"/>
        <w:adjustRightInd w:val="0"/>
        <w:snapToGrid w:val="0"/>
        <w:spacing w:before="152" w:line="329" w:lineRule="auto"/>
        <w:ind w:right="79"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评审内容分为商务技术和投标报价两大部分。其中，商</w:t>
      </w:r>
      <w:r>
        <w:rPr>
          <w:rFonts w:hint="eastAsia" w:ascii="宋体" w:hAnsi="宋体" w:eastAsia="宋体" w:cs="宋体"/>
          <w:color w:val="auto"/>
          <w:spacing w:val="-2"/>
          <w:sz w:val="24"/>
          <w:szCs w:val="24"/>
          <w:highlight w:val="none"/>
        </w:rPr>
        <w:t>务技术合计满分</w:t>
      </w:r>
      <w:r>
        <w:rPr>
          <w:rFonts w:hint="eastAsia" w:ascii="宋体" w:hAnsi="宋体" w:eastAsia="宋体" w:cs="宋体"/>
          <w:color w:val="auto"/>
          <w:spacing w:val="-2"/>
          <w:sz w:val="24"/>
          <w:szCs w:val="24"/>
          <w:highlight w:val="none"/>
          <w:lang w:eastAsia="zh-CN"/>
        </w:rPr>
        <w:t>100</w:t>
      </w:r>
      <w:r>
        <w:rPr>
          <w:rFonts w:hint="eastAsia" w:ascii="宋体" w:hAnsi="宋体" w:eastAsia="宋体" w:cs="宋体"/>
          <w:color w:val="auto"/>
          <w:spacing w:val="-2"/>
          <w:sz w:val="24"/>
          <w:szCs w:val="24"/>
          <w:highlight w:val="none"/>
        </w:rPr>
        <w:t>分，权重</w:t>
      </w:r>
      <w:r>
        <w:rPr>
          <w:rFonts w:hint="eastAsia"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lang w:eastAsia="zh-CN"/>
        </w:rPr>
        <w:t>40</w:t>
      </w:r>
      <w:r>
        <w:rPr>
          <w:rFonts w:hint="eastAsia" w:ascii="宋体" w:hAnsi="宋体" w:eastAsia="宋体" w:cs="宋体"/>
          <w:color w:val="auto"/>
          <w:spacing w:val="-3"/>
          <w:sz w:val="24"/>
          <w:szCs w:val="24"/>
          <w:highlight w:val="none"/>
        </w:rPr>
        <w:t>%；投标报价满分100分，权重为</w:t>
      </w:r>
      <w:r>
        <w:rPr>
          <w:rFonts w:hint="eastAsia" w:ascii="宋体" w:hAnsi="宋体" w:eastAsia="宋体" w:cs="宋体"/>
          <w:color w:val="auto"/>
          <w:spacing w:val="-3"/>
          <w:sz w:val="24"/>
          <w:szCs w:val="24"/>
          <w:highlight w:val="none"/>
          <w:lang w:eastAsia="zh-CN"/>
        </w:rPr>
        <w:t>60</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。两大部分权重之和应为</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100%。</w:t>
      </w:r>
    </w:p>
    <w:p w14:paraId="3464EFC3">
      <w:pPr>
        <w:pageBreakBefore w:val="0"/>
        <w:kinsoku/>
        <w:wordWrap w:val="0"/>
        <w:overflowPunct/>
        <w:topLinePunct w:val="0"/>
        <w:bidi w:val="0"/>
        <w:spacing w:before="153" w:line="324" w:lineRule="auto"/>
        <w:ind w:left="14"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除特别注明外，综合得分以及商务技术得分、投标报价得分的中间过程计算值和</w:t>
      </w:r>
      <w:r>
        <w:rPr>
          <w:rFonts w:hint="eastAsia" w:ascii="宋体" w:hAnsi="宋体" w:eastAsia="宋体" w:cs="宋体"/>
          <w:color w:val="auto"/>
          <w:spacing w:val="-4"/>
          <w:sz w:val="24"/>
          <w:szCs w:val="24"/>
          <w:highlight w:val="none"/>
        </w:rPr>
        <w:t>最终值，均按“</w:t>
      </w:r>
      <w:r>
        <w:rPr>
          <w:rFonts w:hint="eastAsia" w:ascii="宋体" w:hAnsi="宋体" w:eastAsia="宋体" w:cs="宋体"/>
          <w:color w:val="auto"/>
          <w:spacing w:val="-78"/>
          <w:sz w:val="24"/>
          <w:szCs w:val="24"/>
          <w:highlight w:val="none"/>
        </w:rPr>
        <w:t xml:space="preserve"> </w:t>
      </w:r>
      <w:r>
        <w:rPr>
          <w:rFonts w:hint="eastAsia" w:ascii="宋体" w:hAnsi="宋体" w:eastAsia="宋体" w:cs="宋体"/>
          <w:color w:val="auto"/>
          <w:spacing w:val="-4"/>
          <w:sz w:val="24"/>
          <w:szCs w:val="24"/>
          <w:highlight w:val="none"/>
        </w:rPr>
        <w:t>四舍五入</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”原则精确到两位小数。</w:t>
      </w:r>
    </w:p>
    <w:p w14:paraId="794BA0E0">
      <w:pPr>
        <w:pageBreakBefore w:val="0"/>
        <w:kinsoku/>
        <w:wordWrap w:val="0"/>
        <w:overflowPunct/>
        <w:topLinePunct w:val="0"/>
        <w:bidi w:val="0"/>
        <w:spacing w:before="38" w:line="220" w:lineRule="auto"/>
        <w:ind w:left="503"/>
        <w:outlineLvl w:val="9"/>
        <w:rPr>
          <w:rFonts w:hint="eastAsia" w:ascii="宋体" w:hAnsi="宋体" w:eastAsia="宋体" w:cs="宋体"/>
          <w:color w:val="auto"/>
          <w:sz w:val="24"/>
          <w:szCs w:val="24"/>
          <w:highlight w:val="none"/>
        </w:rPr>
      </w:pPr>
      <w:bookmarkStart w:id="113" w:name="_Toc17510"/>
      <w:bookmarkStart w:id="114" w:name="_Toc18029"/>
      <w:bookmarkStart w:id="115" w:name="_Toc22949"/>
      <w:bookmarkStart w:id="116" w:name="_Toc10398"/>
      <w:r>
        <w:rPr>
          <w:rFonts w:hint="eastAsia" w:ascii="宋体" w:hAnsi="宋体" w:eastAsia="宋体" w:cs="宋体"/>
          <w:color w:val="auto"/>
          <w:spacing w:val="-3"/>
          <w:sz w:val="24"/>
          <w:szCs w:val="24"/>
          <w:highlight w:val="none"/>
        </w:rPr>
        <w:t>（1）商务技术得分</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M</w:t>
      </w:r>
      <w:bookmarkEnd w:id="113"/>
      <w:bookmarkEnd w:id="114"/>
      <w:bookmarkEnd w:id="115"/>
      <w:bookmarkEnd w:id="116"/>
    </w:p>
    <w:p w14:paraId="1E12203A">
      <w:pPr>
        <w:pageBreakBefore w:val="0"/>
        <w:kinsoku/>
        <w:wordWrap w:val="0"/>
        <w:overflowPunct/>
        <w:topLinePunct w:val="0"/>
        <w:bidi w:val="0"/>
        <w:spacing w:before="153" w:line="279" w:lineRule="auto"/>
        <w:ind w:left="15" w:right="81"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color w:val="auto"/>
          <w:spacing w:val="1"/>
          <w:sz w:val="24"/>
          <w:szCs w:val="24"/>
          <w:highlight w:val="none"/>
        </w:rPr>
        <w:t>．评标委员会按照《综合评分表》商务部分指定的评分标准对各评分因素进行</w:t>
      </w:r>
      <w:r>
        <w:rPr>
          <w:rFonts w:hint="eastAsia" w:ascii="宋体" w:hAnsi="宋体" w:eastAsia="宋体" w:cs="宋体"/>
          <w:color w:val="auto"/>
          <w:spacing w:val="-1"/>
          <w:sz w:val="24"/>
          <w:szCs w:val="24"/>
          <w:highlight w:val="none"/>
        </w:rPr>
        <w:t>打分。各评分因素得分之和即为某投标人的商务得分</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
          <w:sz w:val="24"/>
          <w:szCs w:val="24"/>
          <w:highlight w:val="none"/>
        </w:rPr>
        <w:t>。</w:t>
      </w:r>
    </w:p>
    <w:p w14:paraId="2C906367">
      <w:pPr>
        <w:pageBreakBefore w:val="0"/>
        <w:kinsoku/>
        <w:wordWrap w:val="0"/>
        <w:overflowPunct/>
        <w:topLinePunct w:val="0"/>
        <w:bidi w:val="0"/>
        <w:spacing w:before="154" w:line="299" w:lineRule="auto"/>
        <w:ind w:left="12" w:right="8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
          <w:sz w:val="24"/>
          <w:szCs w:val="24"/>
          <w:highlight w:val="none"/>
        </w:rPr>
        <w:t>．评标委员会各成员独立按照《综合评分表》技术部分（施工组织设</w:t>
      </w:r>
      <w:r>
        <w:rPr>
          <w:rFonts w:hint="eastAsia" w:ascii="宋体" w:hAnsi="宋体" w:eastAsia="宋体" w:cs="宋体"/>
          <w:color w:val="auto"/>
          <w:sz w:val="24"/>
          <w:szCs w:val="24"/>
          <w:highlight w:val="none"/>
        </w:rPr>
        <w:t>计）指定</w:t>
      </w:r>
      <w:r>
        <w:rPr>
          <w:rFonts w:hint="eastAsia" w:ascii="宋体" w:hAnsi="宋体" w:eastAsia="宋体" w:cs="宋体"/>
          <w:color w:val="auto"/>
          <w:spacing w:val="-1"/>
          <w:sz w:val="24"/>
          <w:szCs w:val="24"/>
          <w:highlight w:val="none"/>
        </w:rPr>
        <w:t>的评分标准对各评分因素进行打分，累加后得出技术评分。</w:t>
      </w:r>
      <w:r>
        <w:rPr>
          <w:rFonts w:hint="eastAsia" w:ascii="宋体" w:hAnsi="宋体" w:eastAsia="宋体" w:cs="宋体"/>
          <w:color w:val="auto"/>
          <w:spacing w:val="-2"/>
          <w:sz w:val="24"/>
          <w:szCs w:val="24"/>
          <w:highlight w:val="none"/>
        </w:rPr>
        <w:t>将评标委员会所有成员的</w:t>
      </w:r>
      <w:r>
        <w:rPr>
          <w:rFonts w:hint="eastAsia" w:ascii="宋体" w:hAnsi="宋体" w:eastAsia="宋体" w:cs="宋体"/>
          <w:color w:val="auto"/>
          <w:sz w:val="24"/>
          <w:szCs w:val="24"/>
          <w:highlight w:val="none"/>
        </w:rPr>
        <w:t>技术评分去掉最高分和最低分后，取算术平均值，即</w:t>
      </w:r>
      <w:r>
        <w:rPr>
          <w:rFonts w:hint="eastAsia" w:ascii="宋体" w:hAnsi="宋体" w:eastAsia="宋体" w:cs="宋体"/>
          <w:color w:val="auto"/>
          <w:spacing w:val="-1"/>
          <w:sz w:val="24"/>
          <w:szCs w:val="24"/>
          <w:highlight w:val="none"/>
        </w:rPr>
        <w:t>为某投标人的技术得分</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
          <w:sz w:val="24"/>
          <w:szCs w:val="24"/>
          <w:highlight w:val="none"/>
        </w:rPr>
        <w:t>。</w:t>
      </w:r>
    </w:p>
    <w:p w14:paraId="520DD2F5">
      <w:pPr>
        <w:pageBreakBefore w:val="0"/>
        <w:kinsoku/>
        <w:wordWrap w:val="0"/>
        <w:overflowPunct/>
        <w:topLinePunct w:val="0"/>
        <w:bidi w:val="0"/>
        <w:spacing w:before="155" w:line="231" w:lineRule="auto"/>
        <w:ind w:left="491"/>
        <w:rPr>
          <w:rFonts w:hint="eastAsia" w:ascii="宋体" w:hAnsi="宋体" w:eastAsia="宋体" w:cs="宋体"/>
          <w:color w:val="auto"/>
          <w:sz w:val="15"/>
          <w:szCs w:val="15"/>
          <w:highlight w:val="none"/>
        </w:rPr>
      </w:pPr>
      <w:r>
        <w:rPr>
          <w:rFonts w:hint="eastAsia" w:ascii="宋体" w:hAnsi="宋体" w:eastAsia="宋体" w:cs="宋体"/>
          <w:b/>
          <w:bCs/>
          <w:color w:val="auto"/>
          <w:spacing w:val="-12"/>
          <w:sz w:val="24"/>
          <w:szCs w:val="24"/>
          <w:highlight w:val="none"/>
        </w:rPr>
        <w:t>c</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12"/>
          <w:position w:val="-1"/>
          <w:sz w:val="15"/>
          <w:szCs w:val="15"/>
          <w:highlight w:val="none"/>
        </w:rPr>
        <w:t>1</w:t>
      </w:r>
      <w:r>
        <w:rPr>
          <w:rFonts w:hint="eastAsia" w:ascii="宋体" w:hAnsi="宋体" w:eastAsia="宋体" w:cs="宋体"/>
          <w:color w:val="auto"/>
          <w:sz w:val="24"/>
          <w:szCs w:val="24"/>
          <w:highlight w:val="none"/>
        </w:rPr>
        <w:t>＋M</w:t>
      </w:r>
      <w:r>
        <w:rPr>
          <w:rFonts w:hint="eastAsia" w:ascii="宋体" w:hAnsi="宋体" w:eastAsia="宋体" w:cs="宋体"/>
          <w:color w:val="auto"/>
          <w:position w:val="-1"/>
          <w:sz w:val="15"/>
          <w:szCs w:val="15"/>
          <w:highlight w:val="none"/>
        </w:rPr>
        <w:t>2</w:t>
      </w:r>
    </w:p>
    <w:p w14:paraId="76688D82">
      <w:pPr>
        <w:pageBreakBefore w:val="0"/>
        <w:kinsoku/>
        <w:wordWrap w:val="0"/>
        <w:overflowPunct/>
        <w:topLinePunct w:val="0"/>
        <w:bidi w:val="0"/>
        <w:spacing w:before="139" w:line="220" w:lineRule="auto"/>
        <w:ind w:left="49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2"/>
          <w:w w:val="101"/>
          <w:position w:val="-1"/>
          <w:sz w:val="15"/>
          <w:szCs w:val="15"/>
          <w:highlight w:val="none"/>
        </w:rPr>
        <w:t xml:space="preserve"> </w:t>
      </w:r>
      <w:r>
        <w:rPr>
          <w:rFonts w:hint="eastAsia" w:ascii="宋体" w:hAnsi="宋体" w:eastAsia="宋体" w:cs="宋体"/>
          <w:color w:val="auto"/>
          <w:spacing w:val="-1"/>
          <w:sz w:val="24"/>
          <w:szCs w:val="24"/>
          <w:highlight w:val="none"/>
        </w:rPr>
        <w:t>为某投标人的商务得分，M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1"/>
          <w:sz w:val="24"/>
          <w:szCs w:val="24"/>
          <w:highlight w:val="none"/>
        </w:rPr>
        <w:t>为某投标人的</w:t>
      </w:r>
      <w:r>
        <w:rPr>
          <w:rFonts w:hint="eastAsia" w:ascii="宋体" w:hAnsi="宋体" w:eastAsia="宋体" w:cs="宋体"/>
          <w:color w:val="auto"/>
          <w:spacing w:val="-2"/>
          <w:sz w:val="24"/>
          <w:szCs w:val="24"/>
          <w:highlight w:val="none"/>
        </w:rPr>
        <w:t>技术得分。</w:t>
      </w:r>
    </w:p>
    <w:p w14:paraId="24BE1853">
      <w:pPr>
        <w:pageBreakBefore w:val="0"/>
        <w:kinsoku/>
        <w:wordWrap w:val="0"/>
        <w:overflowPunct/>
        <w:topLinePunct w:val="0"/>
        <w:bidi w:val="0"/>
        <w:spacing w:before="153" w:line="219" w:lineRule="auto"/>
        <w:ind w:left="503"/>
        <w:outlineLvl w:val="9"/>
        <w:rPr>
          <w:rFonts w:hint="eastAsia" w:ascii="宋体" w:hAnsi="宋体" w:eastAsia="宋体" w:cs="宋体"/>
          <w:color w:val="auto"/>
          <w:sz w:val="24"/>
          <w:szCs w:val="24"/>
          <w:highlight w:val="none"/>
        </w:rPr>
      </w:pPr>
      <w:bookmarkStart w:id="117" w:name="_Toc27609"/>
      <w:bookmarkStart w:id="118" w:name="_Toc16136"/>
      <w:bookmarkStart w:id="119" w:name="_Toc3958"/>
      <w:bookmarkStart w:id="120" w:name="_Toc14059"/>
      <w:r>
        <w:rPr>
          <w:rFonts w:hint="eastAsia" w:ascii="宋体" w:hAnsi="宋体" w:eastAsia="宋体" w:cs="宋体"/>
          <w:color w:val="auto"/>
          <w:spacing w:val="-2"/>
          <w:sz w:val="24"/>
          <w:szCs w:val="24"/>
          <w:highlight w:val="none"/>
        </w:rPr>
        <w:t>（2）投标报价得分</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2"/>
          <w:sz w:val="24"/>
          <w:szCs w:val="24"/>
          <w:highlight w:val="none"/>
        </w:rPr>
        <w:t>N</w:t>
      </w:r>
      <w:bookmarkEnd w:id="117"/>
      <w:bookmarkEnd w:id="118"/>
      <w:bookmarkEnd w:id="119"/>
      <w:bookmarkEnd w:id="120"/>
    </w:p>
    <w:p w14:paraId="5F9BE99E">
      <w:pPr>
        <w:pageBreakBefore w:val="0"/>
        <w:kinsoku/>
        <w:wordWrap w:val="0"/>
        <w:overflowPunct/>
        <w:topLinePunct w:val="0"/>
        <w:bidi w:val="0"/>
        <w:spacing w:before="157" w:line="219" w:lineRule="auto"/>
        <w:ind w:firstLine="470"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a</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color w:val="auto"/>
          <w:spacing w:val="-3"/>
          <w:sz w:val="24"/>
          <w:szCs w:val="24"/>
          <w:highlight w:val="none"/>
        </w:rPr>
        <w:t>．评标委员会按照《综合评分表》投标报价部分指定的方法计</w:t>
      </w:r>
      <w:r>
        <w:rPr>
          <w:rFonts w:hint="eastAsia" w:ascii="宋体" w:hAnsi="宋体" w:eastAsia="宋体" w:cs="宋体"/>
          <w:color w:val="auto"/>
          <w:spacing w:val="-4"/>
          <w:sz w:val="24"/>
          <w:szCs w:val="24"/>
          <w:highlight w:val="none"/>
        </w:rPr>
        <w:t>算评标基准价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4"/>
          <w:sz w:val="24"/>
          <w:szCs w:val="24"/>
          <w:highlight w:val="none"/>
        </w:rPr>
        <w:t>D。</w:t>
      </w:r>
    </w:p>
    <w:p w14:paraId="27C7C653">
      <w:pPr>
        <w:pageBreakBefore w:val="0"/>
        <w:kinsoku/>
        <w:wordWrap w:val="0"/>
        <w:overflowPunct/>
        <w:topLinePunct w:val="0"/>
        <w:bidi w:val="0"/>
        <w:spacing w:before="155" w:line="299" w:lineRule="auto"/>
        <w:ind w:left="12" w:right="83"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b</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z w:val="24"/>
          <w:szCs w:val="24"/>
          <w:highlight w:val="none"/>
        </w:rPr>
        <w:t>．采用内插法计算某投标人的投标报价得分</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z w:val="24"/>
          <w:szCs w:val="24"/>
          <w:highlight w:val="none"/>
        </w:rPr>
        <w:t>N</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，即当投标人的投标总价等于评</w:t>
      </w:r>
      <w:r>
        <w:rPr>
          <w:rFonts w:hint="eastAsia" w:ascii="宋体" w:hAnsi="宋体" w:eastAsia="宋体" w:cs="宋体"/>
          <w:color w:val="auto"/>
          <w:spacing w:val="-1"/>
          <w:sz w:val="24"/>
          <w:szCs w:val="24"/>
          <w:highlight w:val="none"/>
        </w:rPr>
        <w:t>标基准价时得</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100分，每高于评标基准价一个百分点扣</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1"/>
          <w:sz w:val="24"/>
          <w:szCs w:val="24"/>
          <w:highlight w:val="none"/>
        </w:rPr>
        <w:t xml:space="preserve">1分,  </w:t>
      </w:r>
      <w:r>
        <w:rPr>
          <w:rFonts w:hint="eastAsia" w:ascii="宋体" w:hAnsi="宋体" w:eastAsia="宋体" w:cs="宋体"/>
          <w:color w:val="auto"/>
          <w:spacing w:val="-2"/>
          <w:sz w:val="24"/>
          <w:szCs w:val="24"/>
          <w:highlight w:val="none"/>
        </w:rPr>
        <w:t>每低于评标基准价一个百分点扣</w:t>
      </w:r>
      <w:r>
        <w:rPr>
          <w:rFonts w:hint="eastAsia" w:ascii="宋体" w:hAnsi="宋体" w:eastAsia="宋体" w:cs="宋体"/>
          <w:color w:val="auto"/>
          <w:spacing w:val="-34"/>
          <w:sz w:val="24"/>
          <w:szCs w:val="24"/>
          <w:highlight w:val="none"/>
        </w:rPr>
        <w:t xml:space="preserve"> </w:t>
      </w:r>
      <w:r>
        <w:rPr>
          <w:rFonts w:hint="eastAsia" w:ascii="宋体" w:hAnsi="宋体" w:eastAsia="宋体" w:cs="宋体"/>
          <w:b/>
          <w:bCs/>
          <w:color w:val="auto"/>
          <w:spacing w:val="-2"/>
          <w:sz w:val="24"/>
          <w:szCs w:val="24"/>
          <w:highlight w:val="none"/>
        </w:rPr>
        <w:t>0.5 分</w:t>
      </w:r>
      <w:r>
        <w:rPr>
          <w:rFonts w:hint="eastAsia" w:ascii="宋体" w:hAnsi="宋体" w:eastAsia="宋体" w:cs="宋体"/>
          <w:color w:val="auto"/>
          <w:spacing w:val="-2"/>
          <w:sz w:val="24"/>
          <w:szCs w:val="24"/>
          <w:highlight w:val="none"/>
        </w:rPr>
        <w:t>，扣完为止。公式如下：</w:t>
      </w:r>
    </w:p>
    <w:p w14:paraId="4FAFC48E">
      <w:pPr>
        <w:pageBreakBefore w:val="0"/>
        <w:kinsoku/>
        <w:wordWrap w:val="0"/>
        <w:overflowPunct/>
        <w:topLinePunct w:val="0"/>
        <w:bidi w:val="0"/>
        <w:spacing w:before="118" w:line="333" w:lineRule="exact"/>
        <w:ind w:left="2418"/>
        <w:rPr>
          <w:rFonts w:hint="eastAsia" w:ascii="宋体" w:hAnsi="宋体" w:eastAsia="宋体" w:cs="宋体"/>
          <w:color w:val="auto"/>
          <w:sz w:val="24"/>
          <w:szCs w:val="24"/>
          <w:highlight w:val="none"/>
        </w:rPr>
      </w:pPr>
      <w:r>
        <w:rPr>
          <w:rFonts w:hint="eastAsia" w:ascii="宋体" w:hAnsi="宋体" w:eastAsia="宋体" w:cs="宋体"/>
          <w:color w:val="auto"/>
          <w:spacing w:val="-6"/>
          <w:position w:val="3"/>
          <w:sz w:val="24"/>
          <w:szCs w:val="24"/>
          <w:highlight w:val="none"/>
        </w:rPr>
        <w:t>N</w:t>
      </w:r>
      <w:r>
        <w:rPr>
          <w:rFonts w:hint="eastAsia" w:ascii="宋体" w:hAnsi="宋体" w:eastAsia="宋体" w:cs="宋体"/>
          <w:color w:val="auto"/>
          <w:spacing w:val="-27"/>
          <w:position w:val="3"/>
          <w:sz w:val="24"/>
          <w:szCs w:val="24"/>
          <w:highlight w:val="none"/>
        </w:rPr>
        <w:t xml:space="preserve"> </w:t>
      </w:r>
      <w:r>
        <w:rPr>
          <w:rFonts w:hint="eastAsia" w:ascii="宋体" w:hAnsi="宋体" w:eastAsia="宋体" w:cs="宋体"/>
          <w:color w:val="auto"/>
          <w:spacing w:val="-6"/>
          <w:position w:val="3"/>
          <w:sz w:val="24"/>
          <w:szCs w:val="24"/>
          <w:highlight w:val="none"/>
        </w:rPr>
        <w:t>＝100</w:t>
      </w:r>
      <w:r>
        <w:rPr>
          <w:rFonts w:hint="eastAsia" w:ascii="宋体" w:hAnsi="宋体" w:eastAsia="宋体" w:cs="宋体"/>
          <w:color w:val="auto"/>
          <w:spacing w:val="-12"/>
          <w:position w:val="3"/>
          <w:sz w:val="24"/>
          <w:szCs w:val="24"/>
          <w:highlight w:val="none"/>
        </w:rPr>
        <w:t>－（</w:t>
      </w:r>
      <w:r>
        <w:rPr>
          <w:rFonts w:hint="eastAsia" w:ascii="宋体" w:hAnsi="宋体" w:eastAsia="宋体" w:cs="宋体"/>
          <w:color w:val="auto"/>
          <w:spacing w:val="-6"/>
          <w:position w:val="3"/>
          <w:sz w:val="24"/>
          <w:szCs w:val="24"/>
          <w:highlight w:val="none"/>
        </w:rPr>
        <w:t>|  Di－D</w:t>
      </w:r>
      <w:r>
        <w:rPr>
          <w:rFonts w:hint="eastAsia" w:ascii="宋体" w:hAnsi="宋体" w:eastAsia="宋体" w:cs="宋体"/>
          <w:color w:val="auto"/>
          <w:spacing w:val="9"/>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17"/>
          <w:position w:val="3"/>
          <w:sz w:val="24"/>
          <w:szCs w:val="24"/>
          <w:highlight w:val="none"/>
        </w:rPr>
        <w:t xml:space="preserve">  </w:t>
      </w:r>
      <w:r>
        <w:rPr>
          <w:rFonts w:hint="eastAsia" w:ascii="宋体" w:hAnsi="宋体" w:eastAsia="宋体" w:cs="宋体"/>
          <w:color w:val="auto"/>
          <w:spacing w:val="-6"/>
          <w:position w:val="3"/>
          <w:sz w:val="24"/>
          <w:szCs w:val="24"/>
          <w:highlight w:val="none"/>
        </w:rPr>
        <w:t>÷D）</w:t>
      </w:r>
      <w:r>
        <w:rPr>
          <w:rFonts w:hint="eastAsia" w:ascii="宋体" w:hAnsi="宋体" w:eastAsia="宋体" w:cs="宋体"/>
          <w:color w:val="auto"/>
          <w:spacing w:val="-75"/>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92"/>
          <w:position w:val="3"/>
          <w:sz w:val="24"/>
          <w:szCs w:val="24"/>
          <w:highlight w:val="none"/>
        </w:rPr>
        <w:t xml:space="preserve"> </w:t>
      </w:r>
      <w:r>
        <w:rPr>
          <w:rFonts w:hint="eastAsia" w:ascii="宋体" w:hAnsi="宋体" w:eastAsia="宋体" w:cs="宋体"/>
          <w:color w:val="auto"/>
          <w:spacing w:val="-6"/>
          <w:position w:val="3"/>
          <w:sz w:val="24"/>
          <w:szCs w:val="24"/>
          <w:highlight w:val="none"/>
        </w:rPr>
        <w:t>100×E</w:t>
      </w:r>
    </w:p>
    <w:p w14:paraId="484CC48A">
      <w:pPr>
        <w:pageBreakBefore w:val="0"/>
        <w:kinsoku/>
        <w:wordWrap w:val="0"/>
        <w:overflowPunct/>
        <w:topLinePunct w:val="0"/>
        <w:bidi w:val="0"/>
        <w:spacing w:before="106" w:line="316" w:lineRule="auto"/>
        <w:ind w:left="7" w:right="17" w:firstLine="48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式中：D 为评标基准价；Di</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为某投标人的投标总价；E</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为扣分因子，当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9"/>
          <w:sz w:val="24"/>
          <w:szCs w:val="24"/>
          <w:highlight w:val="none"/>
        </w:rPr>
        <w:t>Di＞D</w:t>
      </w:r>
      <w:r>
        <w:rPr>
          <w:rFonts w:hint="eastAsia" w:ascii="宋体" w:hAnsi="宋体" w:eastAsia="宋体" w:cs="宋体"/>
          <w:color w:val="auto"/>
          <w:spacing w:val="22"/>
          <w:w w:val="101"/>
          <w:sz w:val="24"/>
          <w:szCs w:val="24"/>
          <w:highlight w:val="none"/>
        </w:rPr>
        <w:t xml:space="preserve"> </w:t>
      </w:r>
      <w:r>
        <w:rPr>
          <w:rFonts w:hint="eastAsia" w:ascii="宋体" w:hAnsi="宋体" w:eastAsia="宋体" w:cs="宋体"/>
          <w:color w:val="auto"/>
          <w:spacing w:val="-10"/>
          <w:sz w:val="24"/>
          <w:szCs w:val="24"/>
          <w:highlight w:val="none"/>
        </w:rPr>
        <w:t>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E</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8"/>
          <w:sz w:val="24"/>
          <w:szCs w:val="24"/>
          <w:highlight w:val="none"/>
        </w:rPr>
        <w:t>＝</w:t>
      </w:r>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30"/>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color w:val="auto"/>
          <w:spacing w:val="-8"/>
          <w:sz w:val="24"/>
          <w:szCs w:val="24"/>
          <w:highlight w:val="none"/>
        </w:rPr>
        <w:t>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Di＜D</w:t>
      </w:r>
      <w:r>
        <w:rPr>
          <w:rFonts w:hint="eastAsia" w:ascii="宋体" w:hAnsi="宋体" w:eastAsia="宋体" w:cs="宋体"/>
          <w:color w:val="auto"/>
          <w:spacing w:val="20"/>
          <w:w w:val="101"/>
          <w:sz w:val="24"/>
          <w:szCs w:val="24"/>
          <w:highlight w:val="none"/>
        </w:rPr>
        <w:t xml:space="preserve"> </w:t>
      </w:r>
      <w:r>
        <w:rPr>
          <w:rFonts w:hint="eastAsia" w:ascii="宋体" w:hAnsi="宋体" w:eastAsia="宋体" w:cs="宋体"/>
          <w:color w:val="auto"/>
          <w:spacing w:val="-8"/>
          <w:sz w:val="24"/>
          <w:szCs w:val="24"/>
          <w:highlight w:val="none"/>
        </w:rPr>
        <w:t>时，E</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＝0.5。</w:t>
      </w:r>
    </w:p>
    <w:p w14:paraId="62416271">
      <w:pPr>
        <w:pageBreakBefore w:val="0"/>
        <w:kinsoku/>
        <w:wordWrap w:val="0"/>
        <w:overflowPunct/>
        <w:topLinePunct w:val="0"/>
        <w:bidi w:val="0"/>
        <w:spacing w:before="95" w:line="220" w:lineRule="auto"/>
        <w:ind w:left="503"/>
        <w:outlineLvl w:val="9"/>
        <w:rPr>
          <w:rFonts w:hint="eastAsia" w:ascii="宋体" w:hAnsi="宋体" w:eastAsia="宋体" w:cs="宋体"/>
          <w:color w:val="auto"/>
          <w:sz w:val="24"/>
          <w:szCs w:val="24"/>
          <w:highlight w:val="none"/>
        </w:rPr>
      </w:pPr>
      <w:bookmarkStart w:id="121" w:name="_Toc7915"/>
      <w:bookmarkStart w:id="122" w:name="_Toc4990"/>
      <w:bookmarkStart w:id="123" w:name="_Toc3861"/>
      <w:bookmarkStart w:id="124" w:name="_Toc576"/>
      <w:r>
        <w:rPr>
          <w:rFonts w:hint="eastAsia" w:ascii="宋体" w:hAnsi="宋体" w:eastAsia="宋体" w:cs="宋体"/>
          <w:color w:val="auto"/>
          <w:spacing w:val="-3"/>
          <w:sz w:val="24"/>
          <w:szCs w:val="24"/>
          <w:highlight w:val="none"/>
        </w:rPr>
        <w:t>（3）综合得分</w:t>
      </w:r>
      <w:bookmarkEnd w:id="121"/>
      <w:bookmarkEnd w:id="122"/>
      <w:bookmarkEnd w:id="123"/>
      <w:bookmarkEnd w:id="124"/>
    </w:p>
    <w:p w14:paraId="16428BA2">
      <w:pPr>
        <w:pageBreakBefore w:val="0"/>
        <w:kinsoku/>
        <w:wordWrap w:val="0"/>
        <w:overflowPunct/>
        <w:topLinePunct w:val="0"/>
        <w:bidi w:val="0"/>
        <w:spacing w:before="153" w:line="220" w:lineRule="auto"/>
        <w:ind w:left="49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综合得分换算为百分制，满分</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100 分，公式如下：</w:t>
      </w:r>
    </w:p>
    <w:p w14:paraId="147A726B">
      <w:pPr>
        <w:pageBreakBefore w:val="0"/>
        <w:kinsoku/>
        <w:wordWrap w:val="0"/>
        <w:overflowPunct/>
        <w:topLinePunct w:val="0"/>
        <w:bidi w:val="0"/>
        <w:spacing w:before="155" w:line="324" w:lineRule="auto"/>
        <w:ind w:left="496" w:right="532" w:hanging="33"/>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t>综合得分＝M÷商务技术合计满分×100</w:t>
      </w:r>
      <w:r>
        <w:rPr>
          <w:rFonts w:hint="eastAsia" w:ascii="宋体" w:hAnsi="宋体" w:eastAsia="宋体" w:cs="宋体"/>
          <w:color w:val="auto"/>
          <w:spacing w:val="-1"/>
          <w:sz w:val="24"/>
          <w:szCs w:val="24"/>
          <w:highlight w:val="none"/>
        </w:rPr>
        <w:t>×商务技术权重＋N×投标报价权重</w:t>
      </w:r>
    </w:p>
    <w:p w14:paraId="07AC6F79">
      <w:pPr>
        <w:pageBreakBefore w:val="0"/>
        <w:kinsoku/>
        <w:wordWrap w:val="0"/>
        <w:overflowPunct/>
        <w:topLinePunct w:val="0"/>
        <w:bidi w:val="0"/>
        <w:spacing w:before="155" w:line="324" w:lineRule="auto"/>
        <w:ind w:left="496" w:right="532" w:hanging="3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 为商务技术得分，N 为投标报价得分。</w:t>
      </w:r>
    </w:p>
    <w:p w14:paraId="00D9077E">
      <w:pPr>
        <w:keepNext w:val="0"/>
        <w:keepLines w:val="0"/>
        <w:pageBreakBefore w:val="0"/>
        <w:widowControl/>
        <w:kinsoku/>
        <w:wordWrap w:val="0"/>
        <w:overflowPunct/>
        <w:topLinePunct w:val="0"/>
        <w:autoSpaceDE w:val="0"/>
        <w:autoSpaceDN w:val="0"/>
        <w:bidi w:val="0"/>
        <w:adjustRightInd w:val="0"/>
        <w:snapToGrid w:val="0"/>
        <w:spacing w:before="78" w:line="329" w:lineRule="auto"/>
        <w:ind w:left="17" w:leftChars="0" w:right="261" w:firstLine="261" w:firstLineChars="0"/>
        <w:jc w:val="both"/>
        <w:textAlignment w:val="baseline"/>
        <w:rPr>
          <w:rFonts w:hint="eastAsia" w:ascii="宋体" w:hAnsi="宋体" w:eastAsia="宋体" w:cs="宋体"/>
          <w:b/>
          <w:bCs/>
          <w:color w:val="auto"/>
          <w:spacing w:val="2"/>
          <w:sz w:val="24"/>
          <w:szCs w:val="24"/>
          <w:highlight w:val="none"/>
        </w:rPr>
      </w:pPr>
      <w:bookmarkStart w:id="125" w:name="_Toc2885"/>
      <w:bookmarkStart w:id="126" w:name="_Toc32384"/>
      <w:bookmarkStart w:id="127" w:name="_Toc30671"/>
      <w:bookmarkStart w:id="128" w:name="_Toc25214"/>
      <w:r>
        <w:rPr>
          <w:rFonts w:hint="eastAsia" w:ascii="宋体" w:hAnsi="宋体" w:eastAsia="宋体" w:cs="宋体"/>
          <w:b/>
          <w:bCs/>
          <w:color w:val="auto"/>
          <w:spacing w:val="2"/>
          <w:sz w:val="24"/>
          <w:szCs w:val="24"/>
          <w:highlight w:val="none"/>
        </w:rPr>
        <w:t>（4）</w:t>
      </w:r>
      <w:bookmarkEnd w:id="125"/>
      <w:bookmarkEnd w:id="126"/>
      <w:bookmarkEnd w:id="127"/>
      <w:bookmarkEnd w:id="128"/>
      <w:r>
        <w:rPr>
          <w:rFonts w:hint="eastAsia" w:ascii="宋体" w:hAnsi="宋体" w:eastAsia="宋体" w:cs="宋体"/>
          <w:b/>
          <w:bCs/>
          <w:color w:val="auto"/>
          <w:spacing w:val="2"/>
          <w:sz w:val="24"/>
          <w:szCs w:val="24"/>
          <w:highlight w:val="none"/>
        </w:rPr>
        <w:t>评标委员会根据招标文件规定的评分细则，对招标文件中的各评审因素进行评审、比较、打分，将得分前5名不排序（按企业统一社会信用代码后4位</w:t>
      </w:r>
      <w:r>
        <w:rPr>
          <w:rFonts w:hint="eastAsia" w:ascii="宋体" w:hAnsi="宋体" w:eastAsia="宋体" w:cs="宋体"/>
          <w:b/>
          <w:bCs/>
          <w:color w:val="auto"/>
          <w:spacing w:val="2"/>
          <w:sz w:val="24"/>
          <w:szCs w:val="24"/>
          <w:highlight w:val="none"/>
          <w:lang w:val="en-US" w:eastAsia="zh-CN"/>
        </w:rPr>
        <w:t>由</w:t>
      </w:r>
      <w:r>
        <w:rPr>
          <w:rFonts w:hint="eastAsia" w:ascii="宋体" w:hAnsi="宋体" w:eastAsia="宋体" w:cs="宋体"/>
          <w:b/>
          <w:bCs/>
          <w:color w:val="auto"/>
          <w:spacing w:val="2"/>
          <w:sz w:val="24"/>
          <w:szCs w:val="24"/>
          <w:highlight w:val="none"/>
        </w:rPr>
        <w:t>大</w:t>
      </w:r>
      <w:r>
        <w:rPr>
          <w:rFonts w:hint="eastAsia" w:ascii="宋体" w:hAnsi="宋体" w:eastAsia="宋体" w:cs="宋体"/>
          <w:b/>
          <w:bCs/>
          <w:color w:val="auto"/>
          <w:spacing w:val="2"/>
          <w:sz w:val="24"/>
          <w:szCs w:val="24"/>
          <w:highlight w:val="none"/>
          <w:lang w:val="en-US" w:eastAsia="zh-CN"/>
        </w:rPr>
        <w:t>到</w:t>
      </w:r>
      <w:r>
        <w:rPr>
          <w:rFonts w:hint="eastAsia" w:ascii="宋体" w:hAnsi="宋体" w:eastAsia="宋体" w:cs="宋体"/>
          <w:b/>
          <w:bCs/>
          <w:color w:val="auto"/>
          <w:spacing w:val="2"/>
          <w:sz w:val="24"/>
          <w:szCs w:val="24"/>
          <w:highlight w:val="none"/>
        </w:rPr>
        <w:t>小排位</w:t>
      </w:r>
      <w:r>
        <w:rPr>
          <w:rFonts w:hint="eastAsia" w:ascii="宋体" w:hAnsi="宋体" w:eastAsia="宋体" w:cs="宋体"/>
          <w:b/>
          <w:bCs/>
          <w:color w:val="auto"/>
          <w:spacing w:val="2"/>
          <w:sz w:val="24"/>
          <w:szCs w:val="24"/>
          <w:highlight w:val="none"/>
          <w:lang w:eastAsia="zh-CN"/>
        </w:rPr>
        <w:t>，如统一社会信用代码后4位出现字母情况的，字母以“0”进行代替</w:t>
      </w:r>
      <w:r>
        <w:rPr>
          <w:rFonts w:hint="eastAsia" w:ascii="宋体" w:hAnsi="宋体" w:eastAsia="宋体" w:cs="宋体"/>
          <w:b/>
          <w:bCs/>
          <w:color w:val="auto"/>
          <w:spacing w:val="2"/>
          <w:sz w:val="24"/>
          <w:szCs w:val="24"/>
          <w:highlight w:val="none"/>
        </w:rPr>
        <w:t>）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797C2B9A">
      <w:pPr>
        <w:pageBreakBefore w:val="0"/>
        <w:kinsoku/>
        <w:wordWrap w:val="0"/>
        <w:overflowPunct/>
        <w:topLinePunct w:val="0"/>
        <w:bidi w:val="0"/>
        <w:spacing w:before="78" w:line="329" w:lineRule="auto"/>
        <w:ind w:right="263" w:firstLine="490"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定标候选人得分只作为评标委员会的推荐依据，不作为定标委员会对中标候选人排序的依据。当有效投标人数量不足5名但满足法定要求时，所有通过评审的有效投标人均应作为定标候选人。</w:t>
      </w:r>
    </w:p>
    <w:p w14:paraId="546BA234">
      <w:pPr>
        <w:pStyle w:val="9"/>
        <w:pageBreakBefore w:val="0"/>
        <w:kinsoku/>
        <w:wordWrap w:val="0"/>
        <w:overflowPunct/>
        <w:topLinePunct w:val="0"/>
        <w:bidi w:val="0"/>
        <w:rPr>
          <w:rFonts w:hint="eastAsia"/>
          <w:color w:val="auto"/>
          <w:highlight w:val="none"/>
        </w:rPr>
      </w:pPr>
    </w:p>
    <w:p w14:paraId="5CFDD726">
      <w:pPr>
        <w:pageBreakBefore w:val="0"/>
        <w:kinsoku/>
        <w:wordWrap w:val="0"/>
        <w:overflowPunct/>
        <w:topLinePunct w:val="0"/>
        <w:bidi w:val="0"/>
        <w:rPr>
          <w:rFonts w:hint="eastAsia" w:ascii="宋体" w:hAnsi="宋体" w:eastAsia="宋体" w:cs="宋体"/>
          <w:b/>
          <w:bCs/>
          <w:color w:val="auto"/>
          <w:spacing w:val="-6"/>
          <w:sz w:val="30"/>
          <w:szCs w:val="30"/>
          <w:highlight w:val="none"/>
        </w:rPr>
      </w:pPr>
      <w:bookmarkStart w:id="129" w:name="_Toc3020"/>
      <w:bookmarkStart w:id="130" w:name="_Toc16801"/>
      <w:bookmarkStart w:id="131" w:name="_Toc17375"/>
    </w:p>
    <w:p w14:paraId="201B68C0">
      <w:pPr>
        <w:pageBreakBefore w:val="0"/>
        <w:kinsoku/>
        <w:wordWrap w:val="0"/>
        <w:overflowPunct/>
        <w:topLinePunct w:val="0"/>
        <w:bidi w:val="0"/>
        <w:rPr>
          <w:rFonts w:hint="eastAsia" w:ascii="宋体" w:hAnsi="宋体" w:eastAsia="宋体" w:cs="宋体"/>
          <w:b/>
          <w:bCs/>
          <w:color w:val="auto"/>
          <w:spacing w:val="-6"/>
          <w:sz w:val="30"/>
          <w:szCs w:val="30"/>
          <w:highlight w:val="none"/>
        </w:rPr>
      </w:pPr>
      <w:r>
        <w:rPr>
          <w:rFonts w:hint="eastAsia" w:ascii="宋体" w:hAnsi="宋体" w:eastAsia="宋体" w:cs="宋体"/>
          <w:b/>
          <w:bCs/>
          <w:color w:val="auto"/>
          <w:spacing w:val="-6"/>
          <w:sz w:val="30"/>
          <w:szCs w:val="30"/>
          <w:highlight w:val="none"/>
        </w:rPr>
        <w:br w:type="page"/>
      </w:r>
    </w:p>
    <w:p w14:paraId="76620637">
      <w:pPr>
        <w:pageBreakBefore w:val="0"/>
        <w:kinsoku/>
        <w:wordWrap w:val="0"/>
        <w:overflowPunct/>
        <w:topLinePunct w:val="0"/>
        <w:bidi w:val="0"/>
        <w:spacing w:before="98" w:line="221" w:lineRule="auto"/>
        <w:ind w:left="4248"/>
        <w:outlineLvl w:val="9"/>
        <w:rPr>
          <w:rFonts w:hint="eastAsia" w:ascii="宋体" w:hAnsi="宋体" w:eastAsia="宋体" w:cs="宋体"/>
          <w:b/>
          <w:bCs/>
          <w:color w:val="auto"/>
          <w:spacing w:val="-6"/>
          <w:sz w:val="30"/>
          <w:szCs w:val="30"/>
          <w:highlight w:val="none"/>
        </w:rPr>
      </w:pPr>
      <w:r>
        <w:rPr>
          <w:rFonts w:hint="eastAsia" w:ascii="宋体" w:hAnsi="宋体" w:eastAsia="宋体" w:cs="宋体"/>
          <w:b/>
          <w:bCs/>
          <w:color w:val="auto"/>
          <w:spacing w:val="-6"/>
          <w:sz w:val="30"/>
          <w:szCs w:val="30"/>
          <w:highlight w:val="none"/>
        </w:rPr>
        <w:t>综合评分表</w:t>
      </w:r>
      <w:bookmarkEnd w:id="129"/>
      <w:bookmarkEnd w:id="130"/>
      <w:bookmarkEnd w:id="131"/>
    </w:p>
    <w:tbl>
      <w:tblPr>
        <w:tblStyle w:val="14"/>
        <w:tblW w:w="104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95"/>
        <w:gridCol w:w="264"/>
        <w:gridCol w:w="4100"/>
        <w:gridCol w:w="4665"/>
      </w:tblGrid>
      <w:tr w14:paraId="588DC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0424" w:type="dxa"/>
            <w:gridSpan w:val="4"/>
            <w:tcBorders>
              <w:top w:val="single" w:color="auto" w:sz="4" w:space="0"/>
              <w:left w:val="single" w:color="auto" w:sz="4" w:space="0"/>
              <w:bottom w:val="single" w:color="auto" w:sz="4" w:space="0"/>
              <w:right w:val="single" w:color="auto" w:sz="4" w:space="0"/>
            </w:tcBorders>
            <w:shd w:val="clear" w:color="auto" w:fill="D7D7D7"/>
            <w:noWrap w:val="0"/>
            <w:vAlign w:val="center"/>
          </w:tcPr>
          <w:p w14:paraId="4B86A688">
            <w:pPr>
              <w:pStyle w:val="3"/>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both"/>
              <w:textAlignment w:val="auto"/>
              <w:rPr>
                <w:rFonts w:hint="eastAsia" w:ascii="宋体" w:hAnsi="宋体" w:eastAsia="宋体" w:cs="宋体"/>
                <w:b/>
                <w:bCs/>
                <w:caps w:val="0"/>
                <w:smallCaps w:val="0"/>
                <w:snapToGrid w:val="0"/>
                <w:color w:val="auto"/>
                <w:spacing w:val="0"/>
                <w:kern w:val="0"/>
                <w:sz w:val="24"/>
                <w:szCs w:val="24"/>
                <w:highlight w:val="none"/>
                <w:lang w:eastAsia="zh-CN"/>
              </w:rPr>
            </w:pPr>
            <w:bookmarkStart w:id="132" w:name="_Toc17436"/>
            <w:bookmarkStart w:id="133" w:name="_Toc9725"/>
            <w:bookmarkStart w:id="134" w:name="_Toc31744"/>
            <w:bookmarkStart w:id="135" w:name="_Toc5769"/>
            <w:r>
              <w:rPr>
                <w:rFonts w:hint="eastAsia" w:ascii="宋体" w:hAnsi="宋体" w:eastAsia="宋体" w:cs="宋体"/>
                <w:b/>
                <w:bCs/>
                <w:caps w:val="0"/>
                <w:smallCaps w:val="0"/>
                <w:snapToGrid w:val="0"/>
                <w:color w:val="auto"/>
                <w:spacing w:val="0"/>
                <w:kern w:val="0"/>
                <w:sz w:val="24"/>
                <w:szCs w:val="24"/>
                <w:highlight w:val="none"/>
                <w:lang w:eastAsia="zh-CN"/>
              </w:rPr>
              <w:t>商务部分，满分：</w:t>
            </w:r>
            <w:r>
              <w:rPr>
                <w:rFonts w:hint="eastAsia" w:ascii="宋体" w:hAnsi="宋体" w:eastAsia="宋体" w:cs="宋体"/>
                <w:b/>
                <w:bCs/>
                <w:caps w:val="0"/>
                <w:smallCaps w:val="0"/>
                <w:snapToGrid w:val="0"/>
                <w:color w:val="auto"/>
                <w:spacing w:val="0"/>
                <w:kern w:val="0"/>
                <w:sz w:val="24"/>
                <w:szCs w:val="24"/>
                <w:highlight w:val="none"/>
                <w:u w:val="single"/>
                <w:lang w:val="en-US" w:eastAsia="zh-CN"/>
              </w:rPr>
              <w:t xml:space="preserve"> 80 </w:t>
            </w:r>
            <w:r>
              <w:rPr>
                <w:rFonts w:hint="eastAsia" w:ascii="宋体" w:hAnsi="宋体" w:eastAsia="宋体" w:cs="宋体"/>
                <w:b/>
                <w:bCs/>
                <w:caps w:val="0"/>
                <w:smallCaps w:val="0"/>
                <w:snapToGrid w:val="0"/>
                <w:color w:val="auto"/>
                <w:spacing w:val="0"/>
                <w:kern w:val="0"/>
                <w:sz w:val="24"/>
                <w:szCs w:val="24"/>
                <w:highlight w:val="none"/>
                <w:lang w:val="en-US" w:eastAsia="zh-CN"/>
              </w:rPr>
              <w:t>分。</w:t>
            </w:r>
          </w:p>
        </w:tc>
      </w:tr>
      <w:tr w14:paraId="28F4C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exact"/>
          <w:jc w:val="center"/>
        </w:trPr>
        <w:tc>
          <w:tcPr>
            <w:tcW w:w="1395" w:type="dxa"/>
            <w:tcBorders>
              <w:top w:val="single" w:color="auto" w:sz="4" w:space="0"/>
              <w:left w:val="single" w:color="auto" w:sz="4" w:space="0"/>
              <w:bottom w:val="single" w:color="auto" w:sz="4" w:space="0"/>
              <w:right w:val="single" w:color="auto" w:sz="4" w:space="0"/>
            </w:tcBorders>
            <w:noWrap w:val="0"/>
            <w:vAlign w:val="center"/>
          </w:tcPr>
          <w:p w14:paraId="18871C20">
            <w:pPr>
              <w:pStyle w:val="3"/>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rPr>
                <w:rFonts w:hint="eastAsia" w:ascii="宋体" w:hAnsi="宋体" w:eastAsia="宋体" w:cs="宋体"/>
                <w:b/>
                <w:bCs/>
                <w:caps w:val="0"/>
                <w:smallCaps w:val="0"/>
                <w:snapToGrid w:val="0"/>
                <w:color w:val="auto"/>
                <w:spacing w:val="0"/>
                <w:kern w:val="0"/>
                <w:sz w:val="24"/>
                <w:szCs w:val="24"/>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eastAsia="zh-CN"/>
              </w:rPr>
              <w:t>评分因素</w:t>
            </w:r>
          </w:p>
        </w:tc>
        <w:tc>
          <w:tcPr>
            <w:tcW w:w="4364" w:type="dxa"/>
            <w:gridSpan w:val="2"/>
            <w:tcBorders>
              <w:top w:val="single" w:color="auto" w:sz="4" w:space="0"/>
              <w:left w:val="single" w:color="auto" w:sz="4" w:space="0"/>
              <w:bottom w:val="single" w:color="auto" w:sz="4" w:space="0"/>
              <w:right w:val="single" w:color="auto" w:sz="4" w:space="0"/>
            </w:tcBorders>
            <w:noWrap w:val="0"/>
            <w:vAlign w:val="center"/>
          </w:tcPr>
          <w:p w14:paraId="08340D9B">
            <w:pPr>
              <w:pStyle w:val="3"/>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rPr>
                <w:rFonts w:hint="eastAsia" w:ascii="宋体" w:hAnsi="宋体" w:eastAsia="宋体" w:cs="宋体"/>
                <w:b/>
                <w:bCs/>
                <w:caps w:val="0"/>
                <w:smallCaps w:val="0"/>
                <w:snapToGrid w:val="0"/>
                <w:color w:val="auto"/>
                <w:spacing w:val="0"/>
                <w:kern w:val="0"/>
                <w:sz w:val="24"/>
                <w:szCs w:val="24"/>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eastAsia="zh-CN"/>
              </w:rPr>
              <w:t>评分标准</w:t>
            </w:r>
          </w:p>
        </w:tc>
        <w:tc>
          <w:tcPr>
            <w:tcW w:w="4665" w:type="dxa"/>
            <w:tcBorders>
              <w:top w:val="single" w:color="auto" w:sz="4" w:space="0"/>
              <w:left w:val="single" w:color="auto" w:sz="4" w:space="0"/>
              <w:bottom w:val="single" w:color="auto" w:sz="4" w:space="0"/>
              <w:right w:val="single" w:color="auto" w:sz="4" w:space="0"/>
            </w:tcBorders>
            <w:noWrap w:val="0"/>
            <w:vAlign w:val="center"/>
          </w:tcPr>
          <w:p w14:paraId="19FE0A3D">
            <w:pPr>
              <w:pStyle w:val="3"/>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rPr>
                <w:rFonts w:hint="eastAsia" w:ascii="宋体" w:hAnsi="宋体" w:eastAsia="宋体" w:cs="宋体"/>
                <w:b/>
                <w:bCs/>
                <w:caps w:val="0"/>
                <w:smallCaps w:val="0"/>
                <w:snapToGrid w:val="0"/>
                <w:color w:val="auto"/>
                <w:spacing w:val="0"/>
                <w:kern w:val="0"/>
                <w:sz w:val="24"/>
                <w:szCs w:val="24"/>
                <w:highlight w:val="none"/>
                <w:lang w:val="en-US"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备注</w:t>
            </w:r>
          </w:p>
        </w:tc>
      </w:tr>
      <w:tr w14:paraId="29A57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2" w:hRule="atLeast"/>
          <w:jc w:val="center"/>
        </w:trPr>
        <w:tc>
          <w:tcPr>
            <w:tcW w:w="1395" w:type="dxa"/>
            <w:tcBorders>
              <w:top w:val="single" w:color="auto" w:sz="4" w:space="0"/>
              <w:left w:val="single" w:color="auto" w:sz="4" w:space="0"/>
              <w:bottom w:val="single" w:color="auto" w:sz="4" w:space="0"/>
              <w:right w:val="single" w:color="auto" w:sz="4" w:space="0"/>
            </w:tcBorders>
            <w:noWrap w:val="0"/>
            <w:vAlign w:val="center"/>
          </w:tcPr>
          <w:p w14:paraId="3414601B">
            <w:pPr>
              <w:pStyle w:val="49"/>
              <w:jc w:val="center"/>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olor w:val="auto"/>
                <w:kern w:val="0"/>
                <w:sz w:val="24"/>
                <w:szCs w:val="24"/>
                <w:highlight w:val="none"/>
              </w:rPr>
              <w:t>项目经理综合素质（10分）</w:t>
            </w:r>
          </w:p>
        </w:tc>
        <w:tc>
          <w:tcPr>
            <w:tcW w:w="4364" w:type="dxa"/>
            <w:gridSpan w:val="2"/>
            <w:tcBorders>
              <w:top w:val="single" w:color="auto" w:sz="4" w:space="0"/>
              <w:left w:val="single" w:color="auto" w:sz="4" w:space="0"/>
              <w:bottom w:val="single" w:color="auto" w:sz="4" w:space="0"/>
              <w:right w:val="single" w:color="auto" w:sz="4" w:space="0"/>
            </w:tcBorders>
            <w:noWrap w:val="0"/>
            <w:vAlign w:val="center"/>
          </w:tcPr>
          <w:p w14:paraId="2E50089E">
            <w:pPr>
              <w:pStyle w:val="3"/>
              <w:wordWrap w:val="0"/>
              <w:adjustRightInd w:val="0"/>
              <w:snapToGrid w:val="0"/>
              <w:spacing w:after="0" w:line="276"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项目经理工程类技术职称情况：</w:t>
            </w:r>
          </w:p>
          <w:p w14:paraId="6E826208">
            <w:pPr>
              <w:pStyle w:val="3"/>
              <w:wordWrap w:val="0"/>
              <w:adjustRightInd w:val="0"/>
              <w:snapToGrid w:val="0"/>
              <w:spacing w:after="0" w:line="276"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1.具备工程师或以上职称的，得10分。</w:t>
            </w:r>
          </w:p>
          <w:p w14:paraId="2DBE545E">
            <w:pPr>
              <w:pStyle w:val="3"/>
              <w:wordWrap w:val="0"/>
              <w:adjustRightInd w:val="0"/>
              <w:snapToGrid w:val="0"/>
              <w:spacing w:after="0" w:line="276"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2.具备助理工程师职称的，得5分。</w:t>
            </w:r>
          </w:p>
          <w:p w14:paraId="70F643E2">
            <w:pPr>
              <w:pStyle w:val="3"/>
              <w:wordWrap w:val="0"/>
              <w:adjustRightInd w:val="0"/>
              <w:snapToGrid w:val="0"/>
              <w:spacing w:after="0" w:line="276"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3.其他情形的，不予计分。</w:t>
            </w:r>
          </w:p>
          <w:p w14:paraId="61327D3A">
            <w:pPr>
              <w:pStyle w:val="3"/>
              <w:wordWrap w:val="0"/>
              <w:adjustRightInd w:val="0"/>
              <w:snapToGrid w:val="0"/>
              <w:spacing w:after="0" w:line="276" w:lineRule="auto"/>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rPr>
              <w:t>本项最高得10分。</w:t>
            </w:r>
          </w:p>
        </w:tc>
        <w:tc>
          <w:tcPr>
            <w:tcW w:w="4665" w:type="dxa"/>
            <w:tcBorders>
              <w:top w:val="single" w:color="auto" w:sz="4" w:space="0"/>
              <w:left w:val="single" w:color="auto" w:sz="4" w:space="0"/>
              <w:bottom w:val="single" w:color="auto" w:sz="4" w:space="0"/>
              <w:right w:val="single" w:color="auto" w:sz="4" w:space="0"/>
            </w:tcBorders>
            <w:noWrap w:val="0"/>
            <w:vAlign w:val="center"/>
          </w:tcPr>
          <w:p w14:paraId="4AA9CF64">
            <w:pPr>
              <w:pStyle w:val="3"/>
              <w:wordWrap w:val="0"/>
              <w:adjustRightInd w:val="0"/>
              <w:snapToGrid w:val="0"/>
              <w:spacing w:after="0" w:line="276" w:lineRule="auto"/>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需附项目经理职称证彩色扫描件</w:t>
            </w:r>
            <w:r>
              <w:rPr>
                <w:rFonts w:hint="eastAsia" w:ascii="宋体" w:hAnsi="宋体" w:eastAsia="宋体" w:cs="宋体"/>
                <w:b/>
                <w:snapToGrid w:val="0"/>
                <w:color w:val="auto"/>
                <w:kern w:val="0"/>
                <w:sz w:val="24"/>
                <w:szCs w:val="24"/>
                <w:highlight w:val="none"/>
                <w:lang w:val="en-US" w:eastAsia="zh-CN"/>
              </w:rPr>
              <w:t>。</w:t>
            </w:r>
          </w:p>
        </w:tc>
      </w:tr>
      <w:tr w14:paraId="7745E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395" w:type="dxa"/>
            <w:tcBorders>
              <w:top w:val="single" w:color="auto" w:sz="4" w:space="0"/>
              <w:left w:val="single" w:color="auto" w:sz="4" w:space="0"/>
              <w:bottom w:val="single" w:color="auto" w:sz="4" w:space="0"/>
              <w:right w:val="single" w:color="auto" w:sz="4" w:space="0"/>
            </w:tcBorders>
            <w:noWrap w:val="0"/>
            <w:vAlign w:val="center"/>
          </w:tcPr>
          <w:p w14:paraId="682774CD">
            <w:pPr>
              <w:pStyle w:val="3"/>
              <w:wordWrap w:val="0"/>
              <w:adjustRightInd w:val="0"/>
              <w:snapToGrid w:val="0"/>
              <w:spacing w:after="0" w:line="276" w:lineRule="auto"/>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企业业绩</w:t>
            </w:r>
          </w:p>
          <w:p w14:paraId="70278D3F">
            <w:pPr>
              <w:pStyle w:val="3"/>
              <w:wordWrap w:val="0"/>
              <w:adjustRightInd w:val="0"/>
              <w:snapToGrid w:val="0"/>
              <w:spacing w:after="0" w:line="276"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（15分）</w:t>
            </w:r>
          </w:p>
        </w:tc>
        <w:tc>
          <w:tcPr>
            <w:tcW w:w="4364" w:type="dxa"/>
            <w:gridSpan w:val="2"/>
            <w:tcBorders>
              <w:top w:val="single" w:color="auto" w:sz="4" w:space="0"/>
              <w:left w:val="single" w:color="auto" w:sz="4" w:space="0"/>
              <w:bottom w:val="single" w:color="auto" w:sz="4" w:space="0"/>
              <w:right w:val="single" w:color="auto" w:sz="4" w:space="0"/>
            </w:tcBorders>
            <w:noWrap w:val="0"/>
            <w:vAlign w:val="center"/>
          </w:tcPr>
          <w:p w14:paraId="027DD871">
            <w:pPr>
              <w:pStyle w:val="3"/>
              <w:wordWrap w:val="0"/>
              <w:adjustRightInd w:val="0"/>
              <w:snapToGrid w:val="0"/>
              <w:spacing w:after="0" w:line="276"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企业近年来（2021年1月1日至今）业绩情况：</w:t>
            </w:r>
          </w:p>
          <w:p w14:paraId="00BB5509">
            <w:pPr>
              <w:pStyle w:val="3"/>
              <w:wordWrap w:val="0"/>
              <w:adjustRightInd w:val="0"/>
              <w:snapToGrid w:val="0"/>
              <w:spacing w:after="0" w:line="276"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1.承接过类似工程的，每个得 5分；</w:t>
            </w:r>
          </w:p>
          <w:p w14:paraId="60C92E0E">
            <w:pPr>
              <w:pStyle w:val="3"/>
              <w:wordWrap w:val="0"/>
              <w:adjustRightInd w:val="0"/>
              <w:snapToGrid w:val="0"/>
              <w:spacing w:after="0" w:line="276"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2.未承接过类似工程的，不予计分；</w:t>
            </w:r>
          </w:p>
          <w:p w14:paraId="0F7E19C2">
            <w:pPr>
              <w:pStyle w:val="3"/>
              <w:wordWrap w:val="0"/>
              <w:adjustRightInd w:val="0"/>
              <w:snapToGrid w:val="0"/>
              <w:spacing w:after="0" w:line="276"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rPr>
              <w:t>本项最高得15分。</w:t>
            </w:r>
          </w:p>
        </w:tc>
        <w:tc>
          <w:tcPr>
            <w:tcW w:w="4665" w:type="dxa"/>
            <w:tcBorders>
              <w:top w:val="single" w:color="auto" w:sz="4" w:space="0"/>
              <w:left w:val="single" w:color="auto" w:sz="4" w:space="0"/>
              <w:bottom w:val="single" w:color="auto" w:sz="4" w:space="0"/>
              <w:right w:val="single" w:color="auto" w:sz="4" w:space="0"/>
            </w:tcBorders>
            <w:noWrap w:val="0"/>
            <w:vAlign w:val="center"/>
          </w:tcPr>
          <w:p w14:paraId="579A13FE">
            <w:pPr>
              <w:pStyle w:val="3"/>
              <w:wordWrap w:val="0"/>
              <w:adjustRightInd w:val="0"/>
              <w:snapToGrid w:val="0"/>
              <w:spacing w:after="0" w:line="276"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1.类似工程指：市政工程建设项目。</w:t>
            </w:r>
          </w:p>
          <w:p w14:paraId="42935FF1">
            <w:pPr>
              <w:pStyle w:val="3"/>
              <w:wordWrap w:val="0"/>
              <w:adjustRightInd w:val="0"/>
              <w:snapToGrid w:val="0"/>
              <w:spacing w:after="0" w:line="276"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2.需附有关业绩合同或协议书的彩色扫描件</w:t>
            </w:r>
            <w:r>
              <w:rPr>
                <w:rFonts w:hint="eastAsia" w:ascii="宋体" w:hAnsi="宋体" w:eastAsia="宋体" w:cs="宋体"/>
                <w:b/>
                <w:bCs/>
                <w:snapToGrid w:val="0"/>
                <w:color w:val="auto"/>
                <w:kern w:val="0"/>
                <w:sz w:val="24"/>
                <w:szCs w:val="24"/>
                <w:highlight w:val="none"/>
                <w:lang w:val="en-US" w:eastAsia="zh-CN"/>
              </w:rPr>
              <w:t>。</w:t>
            </w:r>
          </w:p>
          <w:p w14:paraId="7E854648">
            <w:pPr>
              <w:pStyle w:val="3"/>
              <w:wordWrap w:val="0"/>
              <w:adjustRightInd w:val="0"/>
              <w:snapToGrid w:val="0"/>
              <w:spacing w:after="0" w:line="276"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3.业绩时间以合同或协议书日期为准。</w:t>
            </w:r>
          </w:p>
          <w:p w14:paraId="6525806D">
            <w:pPr>
              <w:pStyle w:val="3"/>
              <w:wordWrap w:val="0"/>
              <w:adjustRightInd w:val="0"/>
              <w:snapToGrid w:val="0"/>
              <w:spacing w:after="0" w:line="276"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4.任一业绩有以下情形之一的，该业绩视为无效，不予计分：</w:t>
            </w:r>
          </w:p>
          <w:p w14:paraId="5EE3C212">
            <w:pPr>
              <w:pStyle w:val="3"/>
              <w:wordWrap w:val="0"/>
              <w:adjustRightInd w:val="0"/>
              <w:snapToGrid w:val="0"/>
              <w:spacing w:after="0" w:line="276"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①业绩不属于类似工程的；</w:t>
            </w:r>
          </w:p>
          <w:p w14:paraId="3689DC66">
            <w:pPr>
              <w:pStyle w:val="3"/>
              <w:wordWrap w:val="0"/>
              <w:adjustRightInd w:val="0"/>
              <w:snapToGrid w:val="0"/>
              <w:spacing w:after="0" w:line="276"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②业绩时间不符合要求的。</w:t>
            </w:r>
          </w:p>
        </w:tc>
      </w:tr>
      <w:tr w14:paraId="77998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1" w:hRule="atLeast"/>
          <w:jc w:val="center"/>
        </w:trPr>
        <w:tc>
          <w:tcPr>
            <w:tcW w:w="1395" w:type="dxa"/>
            <w:tcBorders>
              <w:top w:val="single" w:color="auto" w:sz="4" w:space="0"/>
              <w:left w:val="single" w:color="auto" w:sz="4" w:space="0"/>
              <w:bottom w:val="single" w:color="auto" w:sz="4" w:space="0"/>
              <w:right w:val="single" w:color="auto" w:sz="4" w:space="0"/>
            </w:tcBorders>
            <w:noWrap w:val="0"/>
            <w:vAlign w:val="center"/>
          </w:tcPr>
          <w:p w14:paraId="4AE7BA07">
            <w:pPr>
              <w:pStyle w:val="3"/>
              <w:wordWrap w:val="0"/>
              <w:adjustRightInd w:val="0"/>
              <w:snapToGrid w:val="0"/>
              <w:spacing w:after="0" w:line="276" w:lineRule="auto"/>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企业获得体系认证证书</w:t>
            </w:r>
          </w:p>
          <w:p w14:paraId="465CB2E6">
            <w:pPr>
              <w:pStyle w:val="3"/>
              <w:wordWrap w:val="0"/>
              <w:adjustRightInd w:val="0"/>
              <w:snapToGrid w:val="0"/>
              <w:spacing w:after="0" w:line="276"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（10分）</w:t>
            </w:r>
          </w:p>
        </w:tc>
        <w:tc>
          <w:tcPr>
            <w:tcW w:w="4364" w:type="dxa"/>
            <w:gridSpan w:val="2"/>
            <w:tcBorders>
              <w:top w:val="single" w:color="auto" w:sz="4" w:space="0"/>
              <w:left w:val="single" w:color="auto" w:sz="4" w:space="0"/>
              <w:bottom w:val="single" w:color="auto" w:sz="4" w:space="0"/>
              <w:right w:val="single" w:color="auto" w:sz="4" w:space="0"/>
            </w:tcBorders>
            <w:noWrap w:val="0"/>
            <w:vAlign w:val="center"/>
          </w:tcPr>
          <w:p w14:paraId="677E9E2E">
            <w:pPr>
              <w:pStyle w:val="3"/>
              <w:wordWrap w:val="0"/>
              <w:adjustRightInd w:val="0"/>
              <w:snapToGrid w:val="0"/>
              <w:spacing w:after="0" w:line="276"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投标人获得质量管理体系认证证书、职业健康安全管理体系认证证书、环境管理体系认证证书中：</w:t>
            </w:r>
          </w:p>
          <w:p w14:paraId="16D01AA6">
            <w:pPr>
              <w:pStyle w:val="3"/>
              <w:wordWrap w:val="0"/>
              <w:adjustRightInd w:val="0"/>
              <w:snapToGrid w:val="0"/>
              <w:spacing w:after="0" w:line="276"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1.企业获得3项证书的得10分；</w:t>
            </w:r>
          </w:p>
          <w:p w14:paraId="57903D72">
            <w:pPr>
              <w:pStyle w:val="3"/>
              <w:wordWrap w:val="0"/>
              <w:adjustRightInd w:val="0"/>
              <w:snapToGrid w:val="0"/>
              <w:spacing w:after="0" w:line="276"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2.企业获得其中2项证书的得5分；</w:t>
            </w:r>
          </w:p>
          <w:p w14:paraId="67B3FFF2">
            <w:pPr>
              <w:pStyle w:val="3"/>
              <w:wordWrap w:val="0"/>
              <w:adjustRightInd w:val="0"/>
              <w:snapToGrid w:val="0"/>
              <w:spacing w:after="0" w:line="276"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3.企业获得其中1项证书的得1分；</w:t>
            </w:r>
          </w:p>
          <w:p w14:paraId="7CEFB0B0">
            <w:pPr>
              <w:pStyle w:val="50"/>
              <w:spacing w:line="276" w:lineRule="auto"/>
              <w:jc w:val="both"/>
              <w:rPr>
                <w:rFonts w:hint="eastAsia" w:ascii="宋体" w:hAnsi="宋体" w:eastAsia="宋体" w:cs="宋体"/>
                <w:b w:val="0"/>
                <w:snapToGrid w:val="0"/>
                <w:color w:val="auto"/>
                <w:kern w:val="0"/>
                <w:sz w:val="24"/>
                <w:szCs w:val="24"/>
                <w:highlight w:val="none"/>
              </w:rPr>
            </w:pPr>
            <w:r>
              <w:rPr>
                <w:rFonts w:hint="eastAsia" w:ascii="宋体" w:hAnsi="宋体" w:eastAsia="宋体" w:cs="宋体"/>
                <w:b w:val="0"/>
                <w:snapToGrid w:val="0"/>
                <w:color w:val="auto"/>
                <w:kern w:val="0"/>
                <w:sz w:val="24"/>
                <w:szCs w:val="24"/>
                <w:highlight w:val="none"/>
              </w:rPr>
              <w:t>4.未获得以上认证证书的，不予计分。</w:t>
            </w:r>
          </w:p>
          <w:p w14:paraId="3C7F50B9">
            <w:pP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rPr>
              <w:t>本项最高得10分。</w:t>
            </w:r>
          </w:p>
        </w:tc>
        <w:tc>
          <w:tcPr>
            <w:tcW w:w="4665" w:type="dxa"/>
            <w:tcBorders>
              <w:top w:val="single" w:color="auto" w:sz="4" w:space="0"/>
              <w:left w:val="single" w:color="auto" w:sz="4" w:space="0"/>
              <w:bottom w:val="single" w:color="auto" w:sz="4" w:space="0"/>
              <w:right w:val="single" w:color="auto" w:sz="4" w:space="0"/>
            </w:tcBorders>
            <w:noWrap w:val="0"/>
            <w:vAlign w:val="center"/>
          </w:tcPr>
          <w:p w14:paraId="3E783E4C">
            <w:pPr>
              <w:pStyle w:val="3"/>
              <w:wordWrap w:val="0"/>
              <w:adjustRightInd w:val="0"/>
              <w:snapToGrid w:val="0"/>
              <w:spacing w:after="0" w:line="276"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1.证书有效性在国家认证认可监督管理委员会官网（http://www.cnca.gov.cn/)可查，需附在有效期内的认证证书彩色扫描件及网上查询截图</w:t>
            </w:r>
            <w:r>
              <w:rPr>
                <w:rFonts w:hint="eastAsia" w:ascii="宋体" w:hAnsi="宋体" w:eastAsia="宋体" w:cs="宋体"/>
                <w:b/>
                <w:bCs/>
                <w:snapToGrid w:val="0"/>
                <w:color w:val="auto"/>
                <w:kern w:val="0"/>
                <w:sz w:val="24"/>
                <w:szCs w:val="24"/>
                <w:highlight w:val="none"/>
                <w:lang w:val="en-US" w:eastAsia="zh-CN"/>
              </w:rPr>
              <w:t>。</w:t>
            </w:r>
          </w:p>
          <w:p w14:paraId="6A57251A">
            <w:pPr>
              <w:pStyle w:val="3"/>
              <w:wordWrap w:val="0"/>
              <w:adjustRightInd w:val="0"/>
              <w:snapToGrid w:val="0"/>
              <w:spacing w:after="0" w:line="276" w:lineRule="auto"/>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2.认证证书不在有效期内的该认证证书视为无效，不予计分。</w:t>
            </w:r>
          </w:p>
        </w:tc>
      </w:tr>
      <w:tr w14:paraId="37C15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4" w:hRule="atLeast"/>
          <w:jc w:val="center"/>
        </w:trPr>
        <w:tc>
          <w:tcPr>
            <w:tcW w:w="1395" w:type="dxa"/>
            <w:tcBorders>
              <w:top w:val="single" w:color="auto" w:sz="4" w:space="0"/>
              <w:left w:val="single" w:color="auto" w:sz="4" w:space="0"/>
              <w:right w:val="single" w:color="auto" w:sz="4" w:space="0"/>
            </w:tcBorders>
            <w:noWrap w:val="0"/>
            <w:vAlign w:val="center"/>
          </w:tcPr>
          <w:p w14:paraId="6DFE8062">
            <w:pPr>
              <w:pStyle w:val="3"/>
              <w:wordWrap w:val="0"/>
              <w:adjustRightInd w:val="0"/>
              <w:snapToGrid w:val="0"/>
              <w:spacing w:after="0" w:line="276"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企业财务状况</w:t>
            </w:r>
          </w:p>
          <w:p w14:paraId="1F38ED63">
            <w:pPr>
              <w:pStyle w:val="3"/>
              <w:wordWrap w:val="0"/>
              <w:adjustRightInd w:val="0"/>
              <w:snapToGrid w:val="0"/>
              <w:spacing w:after="0" w:line="276"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lang w:val="en-US" w:eastAsia="zh-CN"/>
              </w:rPr>
              <w:t>（10分）</w:t>
            </w:r>
          </w:p>
        </w:tc>
        <w:tc>
          <w:tcPr>
            <w:tcW w:w="4364" w:type="dxa"/>
            <w:gridSpan w:val="2"/>
            <w:tcBorders>
              <w:top w:val="single" w:color="auto" w:sz="4" w:space="0"/>
              <w:left w:val="single" w:color="auto" w:sz="4" w:space="0"/>
              <w:bottom w:val="single" w:color="auto" w:sz="4" w:space="0"/>
              <w:right w:val="single" w:color="auto" w:sz="4" w:space="0"/>
            </w:tcBorders>
            <w:noWrap w:val="0"/>
            <w:vAlign w:val="center"/>
          </w:tcPr>
          <w:p w14:paraId="4826AE18">
            <w:pPr>
              <w:pStyle w:val="3"/>
              <w:wordWrap w:val="0"/>
              <w:adjustRightInd w:val="0"/>
              <w:snapToGrid w:val="0"/>
              <w:spacing w:after="0" w:line="276" w:lineRule="auto"/>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提供投标人基本账户在本项目招标公告发布之日起至投标截止时间期间出现过至少连续3日不少于100万元存款余额资金流水证明的，得10分。</w:t>
            </w:r>
          </w:p>
          <w:p w14:paraId="7BD98399">
            <w:pPr>
              <w:pStyle w:val="3"/>
              <w:wordWrap w:val="0"/>
              <w:adjustRightInd w:val="0"/>
              <w:snapToGrid w:val="0"/>
              <w:spacing w:after="0" w:line="276"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rPr>
              <w:t>本项最高得10分。</w:t>
            </w:r>
          </w:p>
        </w:tc>
        <w:tc>
          <w:tcPr>
            <w:tcW w:w="4665" w:type="dxa"/>
            <w:tcBorders>
              <w:top w:val="single" w:color="auto" w:sz="4" w:space="0"/>
              <w:left w:val="single" w:color="auto" w:sz="4" w:space="0"/>
              <w:bottom w:val="single" w:color="auto" w:sz="4" w:space="0"/>
              <w:right w:val="single" w:color="auto" w:sz="4" w:space="0"/>
            </w:tcBorders>
            <w:noWrap w:val="0"/>
            <w:vAlign w:val="center"/>
          </w:tcPr>
          <w:p w14:paraId="3E0AEEF0">
            <w:pPr>
              <w:pStyle w:val="3"/>
              <w:wordWrap w:val="0"/>
              <w:adjustRightInd w:val="0"/>
              <w:snapToGrid w:val="0"/>
              <w:spacing w:after="0" w:line="276"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需附存款余额资金流水证明扫描件，有以下情形之一的，视为无效，不予计分：</w:t>
            </w:r>
          </w:p>
          <w:p w14:paraId="33FE9D97">
            <w:pPr>
              <w:pStyle w:val="3"/>
              <w:wordWrap w:val="0"/>
              <w:adjustRightInd w:val="0"/>
              <w:snapToGrid w:val="0"/>
              <w:spacing w:after="0" w:line="276"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①存款账户不是基本账户的；</w:t>
            </w:r>
          </w:p>
          <w:p w14:paraId="4E585368">
            <w:pPr>
              <w:pStyle w:val="3"/>
              <w:wordWrap w:val="0"/>
              <w:adjustRightInd w:val="0"/>
              <w:snapToGrid w:val="0"/>
              <w:spacing w:after="0" w:line="276"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②存款时间不符合要求的；</w:t>
            </w:r>
          </w:p>
          <w:p w14:paraId="3AFD7FB9">
            <w:pPr>
              <w:pStyle w:val="3"/>
              <w:wordWrap w:val="0"/>
              <w:adjustRightInd w:val="0"/>
              <w:snapToGrid w:val="0"/>
              <w:spacing w:after="0" w:line="276" w:lineRule="auto"/>
              <w:jc w:val="left"/>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color w:val="auto"/>
                <w:sz w:val="24"/>
                <w:szCs w:val="24"/>
                <w:highlight w:val="none"/>
                <w:lang w:val="en-US" w:eastAsia="zh-CN"/>
              </w:rPr>
              <w:t>③存款额度不符合要求的。</w:t>
            </w:r>
          </w:p>
        </w:tc>
      </w:tr>
      <w:tr w14:paraId="57B3D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6" w:hRule="atLeast"/>
          <w:jc w:val="center"/>
        </w:trPr>
        <w:tc>
          <w:tcPr>
            <w:tcW w:w="1395" w:type="dxa"/>
            <w:tcBorders>
              <w:top w:val="single" w:color="auto" w:sz="4" w:space="0"/>
              <w:left w:val="single" w:color="auto" w:sz="4" w:space="0"/>
              <w:bottom w:val="single" w:color="auto" w:sz="4" w:space="0"/>
              <w:right w:val="single" w:color="auto" w:sz="4" w:space="0"/>
            </w:tcBorders>
            <w:noWrap w:val="0"/>
            <w:vAlign w:val="center"/>
          </w:tcPr>
          <w:p w14:paraId="4A2F40A5">
            <w:pPr>
              <w:pStyle w:val="3"/>
              <w:wordWrap w:val="0"/>
              <w:adjustRightInd w:val="0"/>
              <w:snapToGrid w:val="0"/>
              <w:spacing w:after="0" w:line="276"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企业银行</w:t>
            </w:r>
          </w:p>
          <w:p w14:paraId="20C53E74">
            <w:pPr>
              <w:pStyle w:val="3"/>
              <w:wordWrap w:val="0"/>
              <w:adjustRightInd w:val="0"/>
              <w:snapToGrid w:val="0"/>
              <w:spacing w:after="0" w:line="276"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资信评级</w:t>
            </w:r>
          </w:p>
          <w:p w14:paraId="7967B2C9">
            <w:pPr>
              <w:pStyle w:val="3"/>
              <w:wordWrap w:val="0"/>
              <w:adjustRightInd w:val="0"/>
              <w:snapToGrid w:val="0"/>
              <w:spacing w:after="0" w:line="276"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（10分）</w:t>
            </w:r>
          </w:p>
        </w:tc>
        <w:tc>
          <w:tcPr>
            <w:tcW w:w="4364" w:type="dxa"/>
            <w:gridSpan w:val="2"/>
            <w:tcBorders>
              <w:top w:val="single" w:color="auto" w:sz="4" w:space="0"/>
              <w:left w:val="single" w:color="auto" w:sz="4" w:space="0"/>
              <w:bottom w:val="single" w:color="auto" w:sz="4" w:space="0"/>
              <w:right w:val="single" w:color="auto" w:sz="4" w:space="0"/>
            </w:tcBorders>
            <w:noWrap w:val="0"/>
            <w:vAlign w:val="center"/>
          </w:tcPr>
          <w:p w14:paraId="13FF8985">
            <w:pPr>
              <w:pStyle w:val="3"/>
              <w:wordWrap w:val="0"/>
              <w:adjustRightInd w:val="0"/>
              <w:snapToGrid w:val="0"/>
              <w:spacing w:after="0" w:line="276"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1．银行资信评级AAA的，得 10 分；</w:t>
            </w:r>
          </w:p>
          <w:p w14:paraId="024B31E3">
            <w:pPr>
              <w:pStyle w:val="3"/>
              <w:wordWrap w:val="0"/>
              <w:adjustRightInd w:val="0"/>
              <w:snapToGrid w:val="0"/>
              <w:spacing w:after="0" w:line="276"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2．银行资信评级AA（含AA＋、AA－）的，得 6 分。</w:t>
            </w:r>
          </w:p>
          <w:p w14:paraId="34653FA1">
            <w:pPr>
              <w:pStyle w:val="3"/>
              <w:wordWrap w:val="0"/>
              <w:adjustRightInd w:val="0"/>
              <w:snapToGrid w:val="0"/>
              <w:spacing w:after="0" w:line="276"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3．银行资信评级A（含A＋、A－）的，得 2 分。</w:t>
            </w:r>
          </w:p>
          <w:p w14:paraId="3A88BE62">
            <w:pPr>
              <w:pStyle w:val="3"/>
              <w:wordWrap w:val="0"/>
              <w:adjustRightInd w:val="0"/>
              <w:snapToGrid w:val="0"/>
              <w:spacing w:after="0" w:line="276"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4．未获得过以上评级的，或评级证书无效的，不予计分。</w:t>
            </w:r>
          </w:p>
          <w:p w14:paraId="66C63D87">
            <w:pPr>
              <w:pStyle w:val="3"/>
              <w:wordWrap w:val="0"/>
              <w:adjustRightInd w:val="0"/>
              <w:snapToGrid w:val="0"/>
              <w:spacing w:after="0" w:line="276"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本项最高得10分。</w:t>
            </w:r>
          </w:p>
        </w:tc>
        <w:tc>
          <w:tcPr>
            <w:tcW w:w="4665" w:type="dxa"/>
            <w:tcBorders>
              <w:top w:val="single" w:color="auto" w:sz="4" w:space="0"/>
              <w:left w:val="single" w:color="auto" w:sz="4" w:space="0"/>
              <w:bottom w:val="single" w:color="auto" w:sz="4" w:space="0"/>
              <w:right w:val="single" w:color="auto" w:sz="4" w:space="0"/>
            </w:tcBorders>
            <w:noWrap w:val="0"/>
            <w:vAlign w:val="center"/>
          </w:tcPr>
          <w:p w14:paraId="41491876">
            <w:pPr>
              <w:pStyle w:val="3"/>
              <w:wordWrap w:val="0"/>
              <w:adjustRightInd w:val="0"/>
              <w:snapToGrid w:val="0"/>
              <w:spacing w:after="0" w:line="276"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1．需附在有效期内的资信评级证书（证明）</w:t>
            </w:r>
            <w:r>
              <w:rPr>
                <w:rFonts w:hint="eastAsia" w:ascii="宋体" w:hAnsi="宋体" w:eastAsia="宋体" w:cs="宋体"/>
                <w:snapToGrid w:val="0"/>
                <w:color w:val="auto"/>
                <w:kern w:val="0"/>
                <w:sz w:val="24"/>
                <w:szCs w:val="24"/>
                <w:highlight w:val="none"/>
                <w:lang w:val="en-US" w:eastAsia="zh-CN"/>
              </w:rPr>
              <w:t>彩色扫描件。</w:t>
            </w:r>
          </w:p>
          <w:p w14:paraId="2167BB34">
            <w:pPr>
              <w:pStyle w:val="3"/>
              <w:wordWrap w:val="0"/>
              <w:adjustRightInd w:val="0"/>
              <w:snapToGrid w:val="0"/>
              <w:spacing w:after="0" w:line="276"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2．评级证书（证明）须由</w:t>
            </w:r>
            <w:r>
              <w:rPr>
                <w:rFonts w:hint="eastAsia" w:ascii="宋体" w:hAnsi="宋体" w:eastAsia="宋体" w:cs="宋体"/>
                <w:color w:val="auto"/>
                <w:sz w:val="24"/>
                <w:szCs w:val="24"/>
                <w:highlight w:val="none"/>
                <w:u w:val="none"/>
                <w:lang w:val="en-US" w:eastAsia="zh-CN"/>
              </w:rPr>
              <w:t>金融机构</w:t>
            </w:r>
            <w:r>
              <w:rPr>
                <w:rFonts w:hint="eastAsia" w:ascii="宋体" w:hAnsi="宋体" w:eastAsia="宋体" w:cs="宋体"/>
                <w:color w:val="auto"/>
                <w:sz w:val="24"/>
                <w:szCs w:val="24"/>
                <w:highlight w:val="none"/>
                <w:lang w:val="en-US" w:eastAsia="zh-CN"/>
              </w:rPr>
              <w:t>出具。</w:t>
            </w:r>
          </w:p>
          <w:p w14:paraId="142B0626">
            <w:pPr>
              <w:pStyle w:val="3"/>
              <w:wordWrap w:val="0"/>
              <w:adjustRightInd w:val="0"/>
              <w:snapToGrid w:val="0"/>
              <w:spacing w:after="0" w:line="276"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3．评级证书（证明）有以下情形之一的，视为无效：</w:t>
            </w:r>
          </w:p>
          <w:p w14:paraId="60A29A3D">
            <w:pPr>
              <w:pStyle w:val="3"/>
              <w:wordWrap w:val="0"/>
              <w:adjustRightInd w:val="0"/>
              <w:snapToGrid w:val="0"/>
              <w:spacing w:after="0" w:line="276"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①评级证书（证明）不在有效期内的；</w:t>
            </w:r>
          </w:p>
          <w:p w14:paraId="60974E67">
            <w:pPr>
              <w:pStyle w:val="3"/>
              <w:wordWrap w:val="0"/>
              <w:adjustRightInd w:val="0"/>
              <w:snapToGrid w:val="0"/>
              <w:spacing w:after="0" w:line="276"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②出具机构不符合要求的。</w:t>
            </w:r>
          </w:p>
        </w:tc>
      </w:tr>
      <w:tr w14:paraId="1F6CB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 w:hRule="atLeast"/>
          <w:jc w:val="center"/>
        </w:trPr>
        <w:tc>
          <w:tcPr>
            <w:tcW w:w="1395" w:type="dxa"/>
            <w:tcBorders>
              <w:top w:val="single" w:color="auto" w:sz="4" w:space="0"/>
              <w:left w:val="single" w:color="auto" w:sz="4" w:space="0"/>
              <w:right w:val="single" w:color="auto" w:sz="4" w:space="0"/>
            </w:tcBorders>
            <w:noWrap w:val="0"/>
            <w:vAlign w:val="center"/>
          </w:tcPr>
          <w:p w14:paraId="4440AE5B">
            <w:pPr>
              <w:pStyle w:val="3"/>
              <w:wordWrap w:val="0"/>
              <w:adjustRightInd w:val="0"/>
              <w:snapToGrid w:val="0"/>
              <w:spacing w:after="0" w:line="276" w:lineRule="auto"/>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其他管理人员</w:t>
            </w:r>
          </w:p>
          <w:p w14:paraId="49DD7FE6">
            <w:pPr>
              <w:pStyle w:val="3"/>
              <w:wordWrap w:val="0"/>
              <w:adjustRightInd w:val="0"/>
              <w:snapToGrid w:val="0"/>
              <w:spacing w:after="0" w:line="276" w:lineRule="auto"/>
              <w:jc w:val="center"/>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rPr>
              <w:t>（10分）</w:t>
            </w:r>
          </w:p>
        </w:tc>
        <w:tc>
          <w:tcPr>
            <w:tcW w:w="436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9E1B933">
            <w:pPr>
              <w:pStyle w:val="38"/>
              <w:wordWrap w:val="0"/>
              <w:adjustRightInd w:val="0"/>
              <w:snapToGrid w:val="0"/>
              <w:spacing w:line="276"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投标人拟投入人员（项目经理及技术负责人除外）中:</w:t>
            </w:r>
          </w:p>
          <w:p w14:paraId="46334FEE">
            <w:pPr>
              <w:pStyle w:val="38"/>
              <w:wordWrap w:val="0"/>
              <w:adjustRightInd w:val="0"/>
              <w:snapToGrid w:val="0"/>
              <w:spacing w:line="276"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1.具有施工员、质量员、材料员、资料员各1名（以上人员不得兼任），每人得2.5分。</w:t>
            </w:r>
          </w:p>
          <w:p w14:paraId="21E28CB2">
            <w:pPr>
              <w:pStyle w:val="38"/>
              <w:wordWrap w:val="0"/>
              <w:adjustRightInd w:val="0"/>
              <w:snapToGrid w:val="0"/>
              <w:spacing w:line="276"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2.其他情形的，不予计分。</w:t>
            </w:r>
          </w:p>
          <w:p w14:paraId="44757459">
            <w:pPr>
              <w:pStyle w:val="38"/>
              <w:wordWrap w:val="0"/>
              <w:adjustRightInd w:val="0"/>
              <w:snapToGrid w:val="0"/>
              <w:spacing w:line="276"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本项最高得10分。</w:t>
            </w:r>
          </w:p>
        </w:tc>
        <w:tc>
          <w:tcPr>
            <w:tcW w:w="46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A767C7">
            <w:pPr>
              <w:pStyle w:val="3"/>
              <w:wordWrap w:val="0"/>
              <w:adjustRightInd w:val="0"/>
              <w:snapToGrid w:val="0"/>
              <w:spacing w:after="0" w:line="276" w:lineRule="auto"/>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拟投入项目的所有人员须1人1岗不得重复任职，提供相关证书彩色扫描件，否则不得分。</w:t>
            </w:r>
          </w:p>
        </w:tc>
      </w:tr>
      <w:tr w14:paraId="200F0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6" w:hRule="atLeast"/>
          <w:jc w:val="center"/>
        </w:trPr>
        <w:tc>
          <w:tcPr>
            <w:tcW w:w="1395" w:type="dxa"/>
            <w:vMerge w:val="restart"/>
            <w:tcBorders>
              <w:top w:val="single" w:color="auto" w:sz="4" w:space="0"/>
              <w:left w:val="single" w:color="auto" w:sz="4" w:space="0"/>
              <w:right w:val="single" w:color="auto" w:sz="4" w:space="0"/>
            </w:tcBorders>
            <w:noWrap w:val="0"/>
            <w:vAlign w:val="center"/>
          </w:tcPr>
          <w:p w14:paraId="21237775">
            <w:pPr>
              <w:pStyle w:val="3"/>
              <w:wordWrap w:val="0"/>
              <w:adjustRightInd w:val="0"/>
              <w:snapToGrid w:val="0"/>
              <w:spacing w:after="0" w:line="276" w:lineRule="auto"/>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招标人自拟项</w:t>
            </w:r>
          </w:p>
          <w:p w14:paraId="162362CB">
            <w:pPr>
              <w:pStyle w:val="3"/>
              <w:wordWrap w:val="0"/>
              <w:adjustRightInd w:val="0"/>
              <w:snapToGrid w:val="0"/>
              <w:spacing w:after="0" w:line="276" w:lineRule="auto"/>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（15分）</w:t>
            </w:r>
          </w:p>
        </w:tc>
        <w:tc>
          <w:tcPr>
            <w:tcW w:w="4364" w:type="dxa"/>
            <w:gridSpan w:val="2"/>
            <w:tcBorders>
              <w:top w:val="single" w:color="auto" w:sz="4" w:space="0"/>
              <w:left w:val="single" w:color="auto" w:sz="4" w:space="0"/>
              <w:right w:val="single" w:color="auto" w:sz="4" w:space="0"/>
            </w:tcBorders>
            <w:noWrap w:val="0"/>
            <w:vAlign w:val="center"/>
          </w:tcPr>
          <w:p w14:paraId="21A7B557">
            <w:pPr>
              <w:pStyle w:val="38"/>
              <w:wordWrap w:val="0"/>
              <w:adjustRightInd w:val="0"/>
              <w:snapToGrid w:val="0"/>
              <w:spacing w:line="276"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1.近 3 年来（</w:t>
            </w:r>
            <w:r>
              <w:rPr>
                <w:rFonts w:hint="eastAsia" w:ascii="宋体" w:hAnsi="宋体" w:eastAsia="宋体" w:cs="宋体"/>
                <w:color w:val="auto"/>
                <w:kern w:val="0"/>
                <w:sz w:val="24"/>
                <w:szCs w:val="24"/>
                <w:highlight w:val="none"/>
                <w:lang w:val="en-US" w:eastAsia="zh-CN" w:bidi="ar-SA"/>
              </w:rPr>
              <w:t>2023年1月1日至今</w:t>
            </w:r>
            <w:r>
              <w:rPr>
                <w:rFonts w:hint="eastAsia" w:ascii="宋体" w:hAnsi="宋体" w:eastAsia="宋体" w:cs="宋体"/>
                <w:snapToGrid w:val="0"/>
                <w:color w:val="auto"/>
                <w:kern w:val="0"/>
                <w:sz w:val="24"/>
                <w:szCs w:val="24"/>
                <w:highlight w:val="none"/>
              </w:rPr>
              <w:t>）投标人未发生事故等级为一般事故及以上的生产安全事故、一般质量事故及以上的工程质量事故的，得</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分；</w:t>
            </w:r>
          </w:p>
          <w:p w14:paraId="50E99105">
            <w:pPr>
              <w:pStyle w:val="38"/>
              <w:wordWrap w:val="0"/>
              <w:adjustRightInd w:val="0"/>
              <w:snapToGrid w:val="0"/>
              <w:spacing w:line="276"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2.其他情形的，不予计分。</w:t>
            </w:r>
          </w:p>
          <w:p w14:paraId="4D494D7D">
            <w:pPr>
              <w:pStyle w:val="38"/>
              <w:wordWrap w:val="0"/>
              <w:adjustRightInd w:val="0"/>
              <w:snapToGrid w:val="0"/>
              <w:spacing w:line="276"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rPr>
              <w:t>本项最高得10分。</w:t>
            </w:r>
          </w:p>
        </w:tc>
        <w:tc>
          <w:tcPr>
            <w:tcW w:w="4665" w:type="dxa"/>
            <w:tcBorders>
              <w:top w:val="single" w:color="auto" w:sz="4" w:space="0"/>
              <w:left w:val="single" w:color="auto" w:sz="4" w:space="0"/>
              <w:bottom w:val="single" w:color="auto" w:sz="4" w:space="0"/>
              <w:right w:val="single" w:color="auto" w:sz="4" w:space="0"/>
            </w:tcBorders>
            <w:noWrap w:val="0"/>
            <w:vAlign w:val="center"/>
          </w:tcPr>
          <w:p w14:paraId="6F9BBB0B">
            <w:pPr>
              <w:pStyle w:val="3"/>
              <w:wordWrap w:val="0"/>
              <w:adjustRightInd w:val="0"/>
              <w:snapToGrid w:val="0"/>
              <w:spacing w:after="0" w:line="276"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1.需提供本单位承诺书（格式自定）并加盖本单位公章。</w:t>
            </w:r>
          </w:p>
          <w:p w14:paraId="4625EF58">
            <w:pPr>
              <w:pStyle w:val="3"/>
              <w:wordWrap w:val="0"/>
              <w:adjustRightInd w:val="0"/>
              <w:snapToGrid w:val="0"/>
              <w:spacing w:after="0" w:line="276" w:lineRule="auto"/>
              <w:rPr>
                <w:rFonts w:hint="eastAsia" w:ascii="宋体" w:hAnsi="宋体" w:eastAsia="宋体" w:cs="宋体"/>
                <w:b w:val="0"/>
                <w:bCs w:val="0"/>
                <w:snapToGrid w:val="0"/>
                <w:color w:val="auto"/>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2.未提供本单位承诺书并加盖本单位公章的，按第2项标准处理。</w:t>
            </w:r>
          </w:p>
        </w:tc>
      </w:tr>
      <w:tr w14:paraId="0BCF6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30" w:hRule="atLeast"/>
          <w:jc w:val="center"/>
        </w:trPr>
        <w:tc>
          <w:tcPr>
            <w:tcW w:w="1395" w:type="dxa"/>
            <w:vMerge w:val="continue"/>
            <w:tcBorders>
              <w:left w:val="single" w:color="auto" w:sz="4" w:space="0"/>
              <w:right w:val="single" w:color="auto" w:sz="4" w:space="0"/>
            </w:tcBorders>
            <w:noWrap w:val="0"/>
            <w:vAlign w:val="center"/>
          </w:tcPr>
          <w:p w14:paraId="34044243">
            <w:pPr>
              <w:pStyle w:val="3"/>
              <w:wordWrap w:val="0"/>
              <w:adjustRightInd w:val="0"/>
              <w:snapToGrid w:val="0"/>
              <w:spacing w:after="0" w:line="276" w:lineRule="auto"/>
              <w:jc w:val="center"/>
              <w:rPr>
                <w:rFonts w:hint="eastAsia" w:ascii="宋体" w:hAnsi="宋体" w:eastAsia="宋体" w:cs="宋体"/>
                <w:snapToGrid w:val="0"/>
                <w:color w:val="auto"/>
                <w:kern w:val="0"/>
                <w:sz w:val="24"/>
                <w:szCs w:val="24"/>
                <w:highlight w:val="none"/>
                <w:lang w:val="en-US" w:eastAsia="zh-CN" w:bidi="ar"/>
              </w:rPr>
            </w:pPr>
          </w:p>
        </w:tc>
        <w:tc>
          <w:tcPr>
            <w:tcW w:w="4364" w:type="dxa"/>
            <w:gridSpan w:val="2"/>
            <w:tcBorders>
              <w:top w:val="single" w:color="auto" w:sz="4" w:space="0"/>
              <w:left w:val="single" w:color="auto" w:sz="4" w:space="0"/>
              <w:bottom w:val="single" w:color="auto" w:sz="4" w:space="0"/>
              <w:right w:val="single" w:color="auto" w:sz="4" w:space="0"/>
            </w:tcBorders>
            <w:noWrap w:val="0"/>
            <w:vAlign w:val="center"/>
          </w:tcPr>
          <w:p w14:paraId="426BF6B3">
            <w:pPr>
              <w:pStyle w:val="38"/>
              <w:wordWrap w:val="0"/>
              <w:adjustRightInd w:val="0"/>
              <w:snapToGrid w:val="0"/>
              <w:spacing w:line="276"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1.投标人202</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年1月1日至今获得过纳税信用</w:t>
            </w:r>
            <w:r>
              <w:rPr>
                <w:rFonts w:hint="eastAsia" w:ascii="宋体" w:hAnsi="宋体" w:eastAsia="宋体" w:cs="宋体"/>
                <w:snapToGrid w:val="0"/>
                <w:color w:val="auto"/>
                <w:kern w:val="0"/>
                <w:sz w:val="24"/>
                <w:szCs w:val="24"/>
                <w:highlight w:val="none"/>
                <w:lang w:val="en-US" w:eastAsia="zh-CN"/>
              </w:rPr>
              <w:t>A</w:t>
            </w:r>
            <w:r>
              <w:rPr>
                <w:rFonts w:hint="eastAsia" w:ascii="宋体" w:hAnsi="宋体" w:eastAsia="宋体" w:cs="宋体"/>
                <w:snapToGrid w:val="0"/>
                <w:color w:val="auto"/>
                <w:kern w:val="0"/>
                <w:sz w:val="24"/>
                <w:szCs w:val="24"/>
                <w:highlight w:val="none"/>
              </w:rPr>
              <w:t>级及以上纳税人的</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得</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分；</w:t>
            </w:r>
          </w:p>
          <w:p w14:paraId="60825D45">
            <w:pPr>
              <w:pStyle w:val="38"/>
              <w:wordWrap w:val="0"/>
              <w:adjustRightInd w:val="0"/>
              <w:snapToGrid w:val="0"/>
              <w:spacing w:line="276"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2.其他情形的，不予计分。</w:t>
            </w:r>
          </w:p>
          <w:p w14:paraId="27DA3825">
            <w:pPr>
              <w:pStyle w:val="38"/>
              <w:wordWrap w:val="0"/>
              <w:adjustRightInd w:val="0"/>
              <w:snapToGrid w:val="0"/>
              <w:spacing w:line="276"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本项最高得5分。</w:t>
            </w:r>
          </w:p>
        </w:tc>
        <w:tc>
          <w:tcPr>
            <w:tcW w:w="4665" w:type="dxa"/>
            <w:tcBorders>
              <w:top w:val="single" w:color="auto" w:sz="4" w:space="0"/>
              <w:left w:val="single" w:color="auto" w:sz="4" w:space="0"/>
              <w:bottom w:val="single" w:color="auto" w:sz="4" w:space="0"/>
              <w:right w:val="single" w:color="auto" w:sz="4" w:space="0"/>
            </w:tcBorders>
            <w:noWrap w:val="0"/>
            <w:vAlign w:val="center"/>
          </w:tcPr>
          <w:p w14:paraId="1431C67F">
            <w:pPr>
              <w:pStyle w:val="38"/>
              <w:wordWrap w:val="0"/>
              <w:adjustRightInd w:val="0"/>
              <w:snapToGrid w:val="0"/>
              <w:spacing w:line="276"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1.须提供国家税务总局（或省级电子税务局）网页查询截图，否则不得分。</w:t>
            </w:r>
          </w:p>
          <w:p w14:paraId="117EFEB4">
            <w:pPr>
              <w:pStyle w:val="38"/>
              <w:wordWrap w:val="0"/>
              <w:adjustRightInd w:val="0"/>
              <w:snapToGrid w:val="0"/>
              <w:spacing w:line="276"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2.只计算投标人自身（不计算投标人的分公司、子公司及分支机构）。</w:t>
            </w:r>
          </w:p>
        </w:tc>
      </w:tr>
      <w:tr w14:paraId="53107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exact"/>
          <w:jc w:val="center"/>
        </w:trPr>
        <w:tc>
          <w:tcPr>
            <w:tcW w:w="10424"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68E33F75">
            <w:pPr>
              <w:pStyle w:val="3"/>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left"/>
              <w:textAlignment w:val="auto"/>
              <w:outlineLvl w:val="9"/>
              <w:rPr>
                <w:rFonts w:hint="eastAsia" w:ascii="宋体" w:hAnsi="宋体" w:eastAsia="宋体" w:cs="宋体"/>
                <w:b/>
                <w:bCs/>
                <w:caps w:val="0"/>
                <w:smallCaps w:val="0"/>
                <w:snapToGrid w:val="0"/>
                <w:color w:val="auto"/>
                <w:spacing w:val="0"/>
                <w:kern w:val="0"/>
                <w:sz w:val="24"/>
                <w:szCs w:val="24"/>
                <w:highlight w:val="none"/>
              </w:rPr>
            </w:pPr>
            <w:r>
              <w:rPr>
                <w:rFonts w:hint="eastAsia" w:ascii="宋体" w:hAnsi="宋体" w:eastAsia="宋体" w:cs="宋体"/>
                <w:b/>
                <w:bCs/>
                <w:caps w:val="0"/>
                <w:smallCaps w:val="0"/>
                <w:snapToGrid w:val="0"/>
                <w:color w:val="auto"/>
                <w:spacing w:val="0"/>
                <w:kern w:val="0"/>
                <w:sz w:val="24"/>
                <w:szCs w:val="24"/>
                <w:highlight w:val="none"/>
                <w:lang w:eastAsia="zh-CN"/>
              </w:rPr>
              <w:t>技术部分（施工组织设计），满分：</w:t>
            </w:r>
            <w:r>
              <w:rPr>
                <w:rFonts w:hint="eastAsia" w:ascii="宋体" w:hAnsi="宋体" w:eastAsia="宋体" w:cs="宋体"/>
                <w:b/>
                <w:bCs/>
                <w:caps w:val="0"/>
                <w:smallCaps w:val="0"/>
                <w:snapToGrid w:val="0"/>
                <w:color w:val="auto"/>
                <w:spacing w:val="0"/>
                <w:kern w:val="0"/>
                <w:sz w:val="24"/>
                <w:szCs w:val="24"/>
                <w:highlight w:val="none"/>
                <w:u w:val="single"/>
                <w:lang w:val="en-US" w:eastAsia="zh-CN"/>
              </w:rPr>
              <w:t xml:space="preserve">  20  </w:t>
            </w:r>
            <w:r>
              <w:rPr>
                <w:rFonts w:hint="eastAsia" w:ascii="宋体" w:hAnsi="宋体" w:eastAsia="宋体" w:cs="宋体"/>
                <w:b/>
                <w:bCs/>
                <w:caps w:val="0"/>
                <w:smallCaps w:val="0"/>
                <w:snapToGrid w:val="0"/>
                <w:color w:val="auto"/>
                <w:spacing w:val="0"/>
                <w:kern w:val="0"/>
                <w:sz w:val="24"/>
                <w:szCs w:val="24"/>
                <w:highlight w:val="none"/>
                <w:lang w:val="en-US" w:eastAsia="zh-CN"/>
              </w:rPr>
              <w:t>分。</w:t>
            </w:r>
          </w:p>
        </w:tc>
      </w:tr>
      <w:tr w14:paraId="11363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exact"/>
          <w:jc w:val="center"/>
        </w:trPr>
        <w:tc>
          <w:tcPr>
            <w:tcW w:w="1395" w:type="dxa"/>
            <w:tcBorders>
              <w:top w:val="single" w:color="auto" w:sz="4" w:space="0"/>
              <w:left w:val="single" w:color="auto" w:sz="4" w:space="0"/>
              <w:bottom w:val="single" w:color="auto" w:sz="4" w:space="0"/>
              <w:right w:val="single" w:color="auto" w:sz="4" w:space="0"/>
            </w:tcBorders>
            <w:noWrap w:val="0"/>
            <w:vAlign w:val="center"/>
          </w:tcPr>
          <w:p w14:paraId="6C4DBCF7">
            <w:pPr>
              <w:pStyle w:val="3"/>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宋体" w:hAnsi="宋体" w:eastAsia="宋体" w:cs="宋体"/>
                <w:b/>
                <w:bCs/>
                <w:caps w:val="0"/>
                <w:smallCaps w:val="0"/>
                <w:snapToGrid w:val="0"/>
                <w:color w:val="auto"/>
                <w:spacing w:val="0"/>
                <w:kern w:val="0"/>
                <w:sz w:val="24"/>
                <w:szCs w:val="24"/>
                <w:highlight w:val="none"/>
              </w:rPr>
            </w:pPr>
            <w:r>
              <w:rPr>
                <w:rFonts w:hint="eastAsia" w:ascii="宋体" w:hAnsi="宋体" w:eastAsia="宋体" w:cs="宋体"/>
                <w:b/>
                <w:bCs/>
                <w:caps w:val="0"/>
                <w:smallCaps w:val="0"/>
                <w:snapToGrid w:val="0"/>
                <w:color w:val="auto"/>
                <w:spacing w:val="0"/>
                <w:kern w:val="0"/>
                <w:sz w:val="24"/>
                <w:szCs w:val="24"/>
                <w:highlight w:val="none"/>
              </w:rPr>
              <w:t>评分因素</w:t>
            </w:r>
          </w:p>
        </w:tc>
        <w:tc>
          <w:tcPr>
            <w:tcW w:w="4364" w:type="dxa"/>
            <w:gridSpan w:val="2"/>
            <w:tcBorders>
              <w:top w:val="single" w:color="auto" w:sz="4" w:space="0"/>
              <w:left w:val="single" w:color="auto" w:sz="4" w:space="0"/>
              <w:bottom w:val="single" w:color="auto" w:sz="4" w:space="0"/>
              <w:right w:val="single" w:color="auto" w:sz="4" w:space="0"/>
            </w:tcBorders>
            <w:noWrap w:val="0"/>
            <w:vAlign w:val="center"/>
          </w:tcPr>
          <w:p w14:paraId="723CBDC2">
            <w:pPr>
              <w:pStyle w:val="3"/>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宋体" w:hAnsi="宋体" w:eastAsia="宋体" w:cs="宋体"/>
                <w:b/>
                <w:bCs/>
                <w:caps w:val="0"/>
                <w:smallCaps w:val="0"/>
                <w:snapToGrid w:val="0"/>
                <w:color w:val="auto"/>
                <w:spacing w:val="0"/>
                <w:kern w:val="0"/>
                <w:sz w:val="24"/>
                <w:szCs w:val="24"/>
                <w:highlight w:val="none"/>
              </w:rPr>
            </w:pPr>
            <w:r>
              <w:rPr>
                <w:rFonts w:hint="eastAsia" w:ascii="宋体" w:hAnsi="宋体" w:eastAsia="宋体" w:cs="宋体"/>
                <w:b/>
                <w:bCs/>
                <w:caps w:val="0"/>
                <w:smallCaps w:val="0"/>
                <w:snapToGrid w:val="0"/>
                <w:color w:val="auto"/>
                <w:spacing w:val="0"/>
                <w:kern w:val="0"/>
                <w:sz w:val="24"/>
                <w:szCs w:val="24"/>
                <w:highlight w:val="none"/>
              </w:rPr>
              <w:t>评分标准</w:t>
            </w:r>
          </w:p>
        </w:tc>
        <w:tc>
          <w:tcPr>
            <w:tcW w:w="4665" w:type="dxa"/>
            <w:tcBorders>
              <w:top w:val="single" w:color="auto" w:sz="4" w:space="0"/>
              <w:left w:val="single" w:color="auto" w:sz="4" w:space="0"/>
              <w:bottom w:val="single" w:color="auto" w:sz="4" w:space="0"/>
              <w:right w:val="single" w:color="auto" w:sz="4" w:space="0"/>
            </w:tcBorders>
            <w:noWrap w:val="0"/>
            <w:vAlign w:val="center"/>
          </w:tcPr>
          <w:p w14:paraId="43B2C099">
            <w:pPr>
              <w:pStyle w:val="3"/>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宋体" w:hAnsi="宋体" w:eastAsia="宋体" w:cs="宋体"/>
                <w:b/>
                <w:bCs/>
                <w:caps w:val="0"/>
                <w:smallCaps w:val="0"/>
                <w:snapToGrid w:val="0"/>
                <w:color w:val="auto"/>
                <w:spacing w:val="0"/>
                <w:kern w:val="0"/>
                <w:sz w:val="24"/>
                <w:szCs w:val="24"/>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eastAsia="zh-CN"/>
              </w:rPr>
              <w:t>备注</w:t>
            </w:r>
          </w:p>
        </w:tc>
      </w:tr>
      <w:tr w14:paraId="3A26A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3" w:hRule="atLeast"/>
          <w:jc w:val="center"/>
        </w:trPr>
        <w:tc>
          <w:tcPr>
            <w:tcW w:w="1395" w:type="dxa"/>
            <w:tcBorders>
              <w:top w:val="single" w:color="auto" w:sz="4" w:space="0"/>
              <w:left w:val="single" w:color="auto" w:sz="4" w:space="0"/>
              <w:bottom w:val="single" w:color="auto" w:sz="4" w:space="0"/>
              <w:right w:val="single" w:color="auto" w:sz="4" w:space="0"/>
            </w:tcBorders>
            <w:noWrap w:val="0"/>
            <w:vAlign w:val="center"/>
          </w:tcPr>
          <w:p w14:paraId="79D5A45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 xml:space="preserve"> 总体概述</w:t>
            </w:r>
          </w:p>
          <w:p w14:paraId="563E4185">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center"/>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w:t>
            </w:r>
            <w:r>
              <w:rPr>
                <w:rFonts w:hint="eastAsia" w:ascii="宋体" w:hAnsi="宋体" w:eastAsia="宋体" w:cs="宋体"/>
                <w:caps w:val="0"/>
                <w:smallCaps w:val="0"/>
                <w:snapToGrid w:val="0"/>
                <w:color w:val="auto"/>
                <w:spacing w:val="0"/>
                <w:kern w:val="0"/>
                <w:sz w:val="24"/>
                <w:szCs w:val="24"/>
                <w:highlight w:val="none"/>
                <w:u w:val="single"/>
                <w:lang w:val="en-US" w:eastAsia="zh-CN" w:bidi="ar-SA"/>
              </w:rPr>
              <w:t xml:space="preserve"> 3 </w:t>
            </w:r>
            <w:r>
              <w:rPr>
                <w:rFonts w:hint="eastAsia" w:ascii="宋体" w:hAnsi="宋体" w:eastAsia="宋体" w:cs="宋体"/>
                <w:caps w:val="0"/>
                <w:smallCaps w:val="0"/>
                <w:snapToGrid w:val="0"/>
                <w:color w:val="auto"/>
                <w:spacing w:val="0"/>
                <w:kern w:val="0"/>
                <w:sz w:val="24"/>
                <w:szCs w:val="24"/>
                <w:highlight w:val="none"/>
                <w:lang w:val="en-US" w:eastAsia="zh-CN" w:bidi="ar-SA"/>
              </w:rPr>
              <w:t>分）</w:t>
            </w:r>
          </w:p>
        </w:tc>
        <w:tc>
          <w:tcPr>
            <w:tcW w:w="4364" w:type="dxa"/>
            <w:gridSpan w:val="2"/>
            <w:tcBorders>
              <w:top w:val="single" w:color="auto" w:sz="4" w:space="0"/>
              <w:left w:val="single" w:color="auto" w:sz="4" w:space="0"/>
              <w:bottom w:val="single" w:color="auto" w:sz="4" w:space="0"/>
              <w:right w:val="single" w:color="auto" w:sz="4" w:space="0"/>
            </w:tcBorders>
            <w:noWrap w:val="0"/>
            <w:vAlign w:val="center"/>
          </w:tcPr>
          <w:p w14:paraId="09BB9D6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【优】得该项评分因素分值的90%～100%（含90%）。</w:t>
            </w:r>
          </w:p>
          <w:p w14:paraId="2969552C">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【良】得该项评分因素分值的80%～90%（含80%）。</w:t>
            </w:r>
          </w:p>
          <w:p w14:paraId="0202346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【中】得该项评分因素分值的70%～80%（含70%）。</w:t>
            </w:r>
          </w:p>
          <w:p w14:paraId="062EA0F5">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【差】得该项评分因素分值的60～70%（含60%）。</w:t>
            </w:r>
          </w:p>
        </w:tc>
        <w:tc>
          <w:tcPr>
            <w:tcW w:w="4665" w:type="dxa"/>
            <w:tcBorders>
              <w:top w:val="single" w:color="auto" w:sz="4" w:space="0"/>
              <w:left w:val="single" w:color="auto" w:sz="4" w:space="0"/>
              <w:bottom w:val="single" w:color="auto" w:sz="4" w:space="0"/>
              <w:right w:val="single" w:color="auto" w:sz="4" w:space="0"/>
            </w:tcBorders>
            <w:noWrap w:val="0"/>
            <w:vAlign w:val="center"/>
          </w:tcPr>
          <w:p w14:paraId="44902ABC">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【优】对项目总体有深刻认识，表述清晰、完整、严谨、合理，措施先进、具体、有效、成熟，采用了新技术、新工艺、新材料、新设备；施工段划分呼应总体表述，划分清晰、合理，符合规范要求。</w:t>
            </w:r>
          </w:p>
          <w:p w14:paraId="7CF0F710">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【良】对项目总体有一定认识，表述清晰、完整，措施具体有效；施工段划分呼应总体表述，划分清晰，符合规范要求。</w:t>
            </w:r>
          </w:p>
          <w:p w14:paraId="7A7D211A">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【中】对项目总体有认识，有一定的措施但部分不具体；施工段划分较合理，符合规范要求。</w:t>
            </w:r>
          </w:p>
          <w:p w14:paraId="239C6F9B">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【差】对项目认识不足，表述不清晰，措施不具体；施工段划分不合理。</w:t>
            </w:r>
          </w:p>
        </w:tc>
      </w:tr>
      <w:tr w14:paraId="494D4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6" w:hRule="atLeast"/>
          <w:jc w:val="center"/>
        </w:trPr>
        <w:tc>
          <w:tcPr>
            <w:tcW w:w="1395" w:type="dxa"/>
            <w:tcBorders>
              <w:top w:val="single" w:color="auto" w:sz="4" w:space="0"/>
              <w:left w:val="single" w:color="auto" w:sz="4" w:space="0"/>
              <w:bottom w:val="single" w:color="auto" w:sz="4" w:space="0"/>
              <w:right w:val="single" w:color="auto" w:sz="4" w:space="0"/>
            </w:tcBorders>
            <w:noWrap w:val="0"/>
            <w:vAlign w:val="center"/>
          </w:tcPr>
          <w:p w14:paraId="4313651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施工总进</w:t>
            </w:r>
          </w:p>
          <w:p w14:paraId="5D9FBDE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度计划及</w:t>
            </w:r>
          </w:p>
          <w:p w14:paraId="27A9D014">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保证措施</w:t>
            </w:r>
          </w:p>
          <w:p w14:paraId="46B39BD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w:t>
            </w:r>
            <w:r>
              <w:rPr>
                <w:rFonts w:hint="eastAsia" w:ascii="宋体" w:hAnsi="宋体" w:eastAsia="宋体" w:cs="宋体"/>
                <w:caps w:val="0"/>
                <w:smallCaps w:val="0"/>
                <w:snapToGrid w:val="0"/>
                <w:color w:val="auto"/>
                <w:spacing w:val="0"/>
                <w:kern w:val="0"/>
                <w:sz w:val="24"/>
                <w:szCs w:val="24"/>
                <w:highlight w:val="none"/>
                <w:u w:val="single"/>
                <w:lang w:val="en-US" w:eastAsia="zh-CN" w:bidi="ar-SA"/>
              </w:rPr>
              <w:t xml:space="preserve"> 3 </w:t>
            </w:r>
            <w:r>
              <w:rPr>
                <w:rFonts w:hint="eastAsia" w:ascii="宋体" w:hAnsi="宋体" w:eastAsia="宋体" w:cs="宋体"/>
                <w:caps w:val="0"/>
                <w:smallCaps w:val="0"/>
                <w:snapToGrid w:val="0"/>
                <w:color w:val="auto"/>
                <w:spacing w:val="0"/>
                <w:kern w:val="0"/>
                <w:sz w:val="24"/>
                <w:szCs w:val="24"/>
                <w:highlight w:val="none"/>
                <w:lang w:val="en-US" w:eastAsia="zh-CN" w:bidi="ar-SA"/>
              </w:rPr>
              <w:t>分）</w:t>
            </w:r>
          </w:p>
        </w:tc>
        <w:tc>
          <w:tcPr>
            <w:tcW w:w="4364" w:type="dxa"/>
            <w:gridSpan w:val="2"/>
            <w:tcBorders>
              <w:top w:val="single" w:color="auto" w:sz="4" w:space="0"/>
              <w:left w:val="single" w:color="auto" w:sz="4" w:space="0"/>
              <w:bottom w:val="single" w:color="auto" w:sz="4" w:space="0"/>
              <w:right w:val="single" w:color="auto" w:sz="4" w:space="0"/>
            </w:tcBorders>
            <w:noWrap w:val="0"/>
            <w:vAlign w:val="center"/>
          </w:tcPr>
          <w:p w14:paraId="3D1C69E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【优】得该项评分因素分值的90%～100%（含90%）。</w:t>
            </w:r>
          </w:p>
          <w:p w14:paraId="19627AD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【良】得该项评分因素分值的80%～90%（含80%）。</w:t>
            </w:r>
          </w:p>
          <w:p w14:paraId="31515B6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【中】得该项评分因素分值的70%～80%（含70%）。</w:t>
            </w:r>
          </w:p>
          <w:p w14:paraId="3A1CDEEF">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【差】得该项评分因素分值的60～70%（含60%）。</w:t>
            </w:r>
          </w:p>
        </w:tc>
        <w:tc>
          <w:tcPr>
            <w:tcW w:w="4665" w:type="dxa"/>
            <w:tcBorders>
              <w:top w:val="single" w:color="auto" w:sz="4" w:space="0"/>
              <w:left w:val="single" w:color="auto" w:sz="4" w:space="0"/>
              <w:bottom w:val="single" w:color="auto" w:sz="4" w:space="0"/>
              <w:right w:val="single" w:color="auto" w:sz="4" w:space="0"/>
            </w:tcBorders>
            <w:noWrap w:val="0"/>
            <w:vAlign w:val="center"/>
          </w:tcPr>
          <w:p w14:paraId="50328AF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cs="宋体"/>
                <w:b/>
                <w:bCs/>
                <w:caps w:val="0"/>
                <w:smallCaps w:val="0"/>
                <w:strike w:val="0"/>
                <w:dstrike w:val="0"/>
                <w:snapToGrid w:val="0"/>
                <w:color w:val="auto"/>
                <w:spacing w:val="0"/>
                <w:kern w:val="0"/>
                <w:sz w:val="24"/>
                <w:szCs w:val="24"/>
                <w:highlight w:val="none"/>
                <w:lang w:val="en-US" w:eastAsia="zh-CN" w:bidi="ar-SA"/>
              </w:rPr>
              <w:t>经济赔偿合理。</w:t>
            </w:r>
          </w:p>
          <w:p w14:paraId="39A0B7E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cs="宋体"/>
                <w:b/>
                <w:bCs/>
                <w:caps w:val="0"/>
                <w:smallCaps w:val="0"/>
                <w:strike w:val="0"/>
                <w:dstrike w:val="0"/>
                <w:snapToGrid w:val="0"/>
                <w:color w:val="auto"/>
                <w:spacing w:val="0"/>
                <w:kern w:val="0"/>
                <w:sz w:val="24"/>
                <w:szCs w:val="24"/>
                <w:highlight w:val="none"/>
                <w:lang w:val="en-US" w:eastAsia="zh-CN" w:bidi="ar-SA"/>
              </w:rPr>
              <w:t>经济赔偿较合理。</w:t>
            </w:r>
          </w:p>
          <w:p w14:paraId="6DEF355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【中】关键线路基本准确，计划编制基本合理。关键节点的控制措施基本可行。人、材、机需求和进场计划与进度计划相呼应，基本满足施工需要，调配投入计划基本合理。进度违约责任承诺具体。</w:t>
            </w:r>
          </w:p>
          <w:p w14:paraId="415A5EB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【差】关键线路不准确，计划编制不合理。关键节点的控制不可行。人、材、机需求和进场计划与进度计划不相呼应，不能满足施工需要。没有违约责任承诺。</w:t>
            </w:r>
          </w:p>
        </w:tc>
      </w:tr>
      <w:tr w14:paraId="0A5CA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jc w:val="center"/>
        </w:trPr>
        <w:tc>
          <w:tcPr>
            <w:tcW w:w="1395" w:type="dxa"/>
            <w:tcBorders>
              <w:top w:val="single" w:color="auto" w:sz="4" w:space="0"/>
              <w:left w:val="single" w:color="auto" w:sz="4" w:space="0"/>
              <w:bottom w:val="single" w:color="auto" w:sz="4" w:space="0"/>
              <w:right w:val="single" w:color="auto" w:sz="4" w:space="0"/>
            </w:tcBorders>
            <w:noWrap w:val="0"/>
            <w:vAlign w:val="center"/>
          </w:tcPr>
          <w:p w14:paraId="1D981D56">
            <w:pPr>
              <w:pStyle w:val="27"/>
              <w:pageBreakBefore w:val="0"/>
              <w:kinsoku/>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质量</w:t>
            </w:r>
          </w:p>
          <w:p w14:paraId="282E3DFC">
            <w:pPr>
              <w:pStyle w:val="27"/>
              <w:pageBreakBefore w:val="0"/>
              <w:kinsoku/>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保证措施</w:t>
            </w:r>
          </w:p>
          <w:p w14:paraId="36F4E74A">
            <w:pPr>
              <w:pStyle w:val="27"/>
              <w:pageBreakBefore w:val="0"/>
              <w:kinsoku/>
              <w:wordWrap w:val="0"/>
              <w:overflowPunct/>
              <w:topLinePunct w:val="0"/>
              <w:bidi w:val="0"/>
              <w:spacing w:line="400" w:lineRule="exact"/>
              <w:jc w:val="center"/>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snapToGrid w:val="0"/>
                <w:color w:val="auto"/>
                <w:kern w:val="0"/>
                <w:sz w:val="24"/>
                <w:szCs w:val="24"/>
                <w:highlight w:val="none"/>
              </w:rPr>
              <w:t>（</w:t>
            </w:r>
            <w:r>
              <w:rPr>
                <w:rFonts w:hint="eastAsia" w:ascii="宋体" w:hAnsi="宋体" w:eastAsia="宋体" w:cs="宋体"/>
                <w:caps w:val="0"/>
                <w:smallCaps w:val="0"/>
                <w:snapToGrid w:val="0"/>
                <w:color w:val="auto"/>
                <w:spacing w:val="0"/>
                <w:kern w:val="0"/>
                <w:sz w:val="24"/>
                <w:szCs w:val="24"/>
                <w:highlight w:val="none"/>
                <w:u w:val="single"/>
                <w:lang w:val="en-US" w:eastAsia="zh-CN" w:bidi="ar-SA"/>
              </w:rPr>
              <w:t xml:space="preserve"> 4 </w:t>
            </w:r>
            <w:r>
              <w:rPr>
                <w:rFonts w:hint="eastAsia" w:ascii="宋体" w:hAnsi="宋体" w:eastAsia="宋体" w:cs="宋体"/>
                <w:snapToGrid w:val="0"/>
                <w:color w:val="auto"/>
                <w:kern w:val="0"/>
                <w:sz w:val="24"/>
                <w:szCs w:val="24"/>
                <w:highlight w:val="none"/>
              </w:rPr>
              <w:t>分）</w:t>
            </w:r>
          </w:p>
        </w:tc>
        <w:tc>
          <w:tcPr>
            <w:tcW w:w="4364" w:type="dxa"/>
            <w:gridSpan w:val="2"/>
            <w:tcBorders>
              <w:top w:val="single" w:color="auto" w:sz="4" w:space="0"/>
              <w:left w:val="single" w:color="auto" w:sz="4" w:space="0"/>
              <w:bottom w:val="single" w:color="auto" w:sz="4" w:space="0"/>
              <w:right w:val="single" w:color="auto" w:sz="4" w:space="0"/>
            </w:tcBorders>
            <w:noWrap w:val="0"/>
            <w:vAlign w:val="center"/>
          </w:tcPr>
          <w:p w14:paraId="237A1794">
            <w:pPr>
              <w:pStyle w:val="26"/>
              <w:pageBreakBefore w:val="0"/>
              <w:kinsoku/>
              <w:wordWrap w:val="0"/>
              <w:overflowPunct/>
              <w:topLinePunct w:val="0"/>
              <w:bidi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14:paraId="27F11C4C">
            <w:pPr>
              <w:pStyle w:val="26"/>
              <w:pageBreakBefore w:val="0"/>
              <w:kinsoku/>
              <w:wordWrap w:val="0"/>
              <w:overflowPunct/>
              <w:topLinePunct w:val="0"/>
              <w:bidi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14:paraId="4FE2DB57">
            <w:pPr>
              <w:pStyle w:val="26"/>
              <w:pageBreakBefore w:val="0"/>
              <w:kinsoku/>
              <w:wordWrap w:val="0"/>
              <w:overflowPunct/>
              <w:topLinePunct w:val="0"/>
              <w:bidi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14:paraId="74EE3771">
            <w:pPr>
              <w:pStyle w:val="28"/>
              <w:pageBreakBefore w:val="0"/>
              <w:kinsoku/>
              <w:wordWrap w:val="0"/>
              <w:overflowPunct/>
              <w:topLinePunct w:val="0"/>
              <w:bidi w:val="0"/>
              <w:spacing w:line="400" w:lineRule="exact"/>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snapToGrid w:val="0"/>
                <w:color w:val="auto"/>
                <w:kern w:val="0"/>
                <w:sz w:val="24"/>
                <w:szCs w:val="24"/>
                <w:highlight w:val="none"/>
              </w:rPr>
              <w:t>【差】得该项评分因素分值的60～70%（含60%）。</w:t>
            </w:r>
          </w:p>
        </w:tc>
        <w:tc>
          <w:tcPr>
            <w:tcW w:w="4665" w:type="dxa"/>
            <w:tcBorders>
              <w:top w:val="single" w:color="auto" w:sz="4" w:space="0"/>
              <w:left w:val="single" w:color="auto" w:sz="4" w:space="0"/>
              <w:bottom w:val="single" w:color="auto" w:sz="4" w:space="0"/>
              <w:right w:val="single" w:color="auto" w:sz="4" w:space="0"/>
            </w:tcBorders>
            <w:noWrap w:val="0"/>
            <w:vAlign w:val="center"/>
          </w:tcPr>
          <w:p w14:paraId="640E334A">
            <w:pPr>
              <w:pStyle w:val="28"/>
              <w:pageBreakBefore w:val="0"/>
              <w:kinsoku/>
              <w:wordWrap w:val="0"/>
              <w:overflowPunct/>
              <w:topLinePunct w:val="0"/>
              <w:bidi w:val="0"/>
              <w:spacing w:line="400" w:lineRule="exact"/>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rPr>
              <w:t>【优】应用新技术、新工艺、新材料、新设备，针对项目实际提出先进、可行、具体的保证措施。超过招标文件的质量要求。</w:t>
            </w:r>
          </w:p>
          <w:p w14:paraId="063EA934">
            <w:pPr>
              <w:pStyle w:val="28"/>
              <w:pageBreakBefore w:val="0"/>
              <w:kinsoku/>
              <w:wordWrap w:val="0"/>
              <w:overflowPunct/>
              <w:topLinePunct w:val="0"/>
              <w:bidi w:val="0"/>
              <w:spacing w:line="400" w:lineRule="exact"/>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rPr>
              <w:t>【良】针对项目实际提出先进、可行、具体的保证措施。满足招标文件的质量要求。【中】具体措施可行。满足招标文件的质量要求。</w:t>
            </w:r>
          </w:p>
          <w:p w14:paraId="6F32B929">
            <w:pPr>
              <w:pStyle w:val="28"/>
              <w:pageBreakBefore w:val="0"/>
              <w:kinsoku/>
              <w:wordWrap w:val="0"/>
              <w:overflowPunct/>
              <w:topLinePunct w:val="0"/>
              <w:bidi w:val="0"/>
              <w:spacing w:line="400" w:lineRule="exact"/>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rPr>
              <w:t>【差】措施不可行，没有质量违约责任承诺。</w:t>
            </w:r>
          </w:p>
        </w:tc>
      </w:tr>
      <w:tr w14:paraId="20C0F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395" w:type="dxa"/>
            <w:tcBorders>
              <w:top w:val="single" w:color="auto" w:sz="4" w:space="0"/>
              <w:left w:val="single" w:color="auto" w:sz="4" w:space="0"/>
              <w:bottom w:val="single" w:color="auto" w:sz="4" w:space="0"/>
              <w:right w:val="single" w:color="auto" w:sz="4" w:space="0"/>
            </w:tcBorders>
            <w:noWrap w:val="0"/>
            <w:vAlign w:val="center"/>
          </w:tcPr>
          <w:p w14:paraId="77E62CE4">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施工</w:t>
            </w:r>
          </w:p>
          <w:p w14:paraId="0A26859D">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技术措施</w:t>
            </w:r>
          </w:p>
          <w:p w14:paraId="7808922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val="en-US" w:eastAsia="zh-CN" w:bidi="ar-SA"/>
              </w:rPr>
              <w:t>（</w:t>
            </w:r>
            <w:r>
              <w:rPr>
                <w:rFonts w:hint="eastAsia" w:ascii="宋体" w:hAnsi="宋体" w:eastAsia="宋体" w:cs="宋体"/>
                <w:caps w:val="0"/>
                <w:smallCaps w:val="0"/>
                <w:snapToGrid w:val="0"/>
                <w:color w:val="auto"/>
                <w:spacing w:val="0"/>
                <w:kern w:val="0"/>
                <w:sz w:val="24"/>
                <w:szCs w:val="24"/>
                <w:highlight w:val="none"/>
                <w:u w:val="single"/>
                <w:lang w:val="en-US" w:eastAsia="zh-CN" w:bidi="ar-SA"/>
              </w:rPr>
              <w:t xml:space="preserve"> 2 </w:t>
            </w:r>
            <w:r>
              <w:rPr>
                <w:rFonts w:hint="eastAsia" w:ascii="宋体" w:hAnsi="宋体" w:eastAsia="宋体" w:cs="宋体"/>
                <w:caps w:val="0"/>
                <w:smallCaps w:val="0"/>
                <w:snapToGrid w:val="0"/>
                <w:color w:val="auto"/>
                <w:spacing w:val="0"/>
                <w:kern w:val="0"/>
                <w:sz w:val="24"/>
                <w:szCs w:val="24"/>
                <w:highlight w:val="none"/>
                <w:lang w:val="en-US" w:eastAsia="zh-CN" w:bidi="ar-SA"/>
              </w:rPr>
              <w:t>分）</w:t>
            </w:r>
          </w:p>
        </w:tc>
        <w:tc>
          <w:tcPr>
            <w:tcW w:w="4364" w:type="dxa"/>
            <w:gridSpan w:val="2"/>
            <w:tcBorders>
              <w:top w:val="single" w:color="auto" w:sz="4" w:space="0"/>
              <w:left w:val="single" w:color="auto" w:sz="4" w:space="0"/>
              <w:bottom w:val="single" w:color="auto" w:sz="4" w:space="0"/>
              <w:right w:val="single" w:color="auto" w:sz="4" w:space="0"/>
            </w:tcBorders>
            <w:noWrap w:val="0"/>
            <w:vAlign w:val="center"/>
          </w:tcPr>
          <w:p w14:paraId="04E751E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【优】得该项评分因素分值的90%～100%（含90%）。</w:t>
            </w:r>
          </w:p>
          <w:p w14:paraId="131A24E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【良】得该项评分因素分值的80%～90%（含80%）。</w:t>
            </w:r>
          </w:p>
          <w:p w14:paraId="6E41A58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【中】得该项评分因素分值的70%～80%（含70%）。</w:t>
            </w:r>
          </w:p>
          <w:p w14:paraId="377CBE74">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【差】得该项评分因素分值的60～70%（含60%）。</w:t>
            </w:r>
          </w:p>
        </w:tc>
        <w:tc>
          <w:tcPr>
            <w:tcW w:w="4665" w:type="dxa"/>
            <w:tcBorders>
              <w:top w:val="single" w:color="auto" w:sz="4" w:space="0"/>
              <w:left w:val="single" w:color="auto" w:sz="4" w:space="0"/>
              <w:bottom w:val="single" w:color="auto" w:sz="4" w:space="0"/>
              <w:right w:val="single" w:color="auto" w:sz="4" w:space="0"/>
            </w:tcBorders>
            <w:noWrap w:val="0"/>
            <w:vAlign w:val="center"/>
          </w:tcPr>
          <w:p w14:paraId="5342A16F">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cs="宋体"/>
                <w:b/>
                <w:bCs/>
                <w:caps w:val="0"/>
                <w:smallCaps w:val="0"/>
                <w:strike w:val="0"/>
                <w:dstrike w:val="0"/>
                <w:snapToGrid w:val="0"/>
                <w:color w:val="auto"/>
                <w:spacing w:val="0"/>
                <w:kern w:val="0"/>
                <w:sz w:val="24"/>
                <w:szCs w:val="24"/>
                <w:highlight w:val="none"/>
                <w:lang w:val="en-US" w:eastAsia="zh-CN" w:bidi="ar-SA"/>
              </w:rPr>
              <w:t>经济赔偿合理。</w:t>
            </w:r>
          </w:p>
          <w:p w14:paraId="0F410B7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cs="宋体"/>
                <w:b/>
                <w:bCs/>
                <w:caps w:val="0"/>
                <w:smallCaps w:val="0"/>
                <w:strike w:val="0"/>
                <w:dstrike w:val="0"/>
                <w:snapToGrid w:val="0"/>
                <w:color w:val="auto"/>
                <w:spacing w:val="0"/>
                <w:kern w:val="0"/>
                <w:sz w:val="24"/>
                <w:szCs w:val="24"/>
                <w:highlight w:val="none"/>
                <w:lang w:val="en-US" w:eastAsia="zh-CN" w:bidi="ar-SA"/>
              </w:rPr>
              <w:t>经济赔偿较合理。</w:t>
            </w:r>
          </w:p>
          <w:p w14:paraId="4D8F0C6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089C422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val="en-US" w:eastAsia="zh-CN" w:bidi="ar-SA"/>
              </w:rPr>
              <w:t>【差】对项目关键技术有表述，对重点、难点有建议，解决方案不可行。采用的新技术针对性不强或验证材料不可靠，对节约投资、工期没有具体收益。无违约责任承诺。</w:t>
            </w:r>
          </w:p>
        </w:tc>
      </w:tr>
      <w:tr w14:paraId="2CB14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3" w:hRule="atLeast"/>
          <w:jc w:val="center"/>
        </w:trPr>
        <w:tc>
          <w:tcPr>
            <w:tcW w:w="1395" w:type="dxa"/>
            <w:tcBorders>
              <w:top w:val="single" w:color="auto" w:sz="4" w:space="0"/>
              <w:left w:val="single" w:color="auto" w:sz="4" w:space="0"/>
              <w:bottom w:val="single" w:color="auto" w:sz="4" w:space="0"/>
              <w:right w:val="single" w:color="auto" w:sz="4" w:space="0"/>
            </w:tcBorders>
            <w:noWrap w:val="0"/>
            <w:vAlign w:val="center"/>
          </w:tcPr>
          <w:p w14:paraId="612ABDA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绿色施工、</w:t>
            </w:r>
          </w:p>
          <w:p w14:paraId="3D1025C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安全防护、</w:t>
            </w:r>
          </w:p>
          <w:p w14:paraId="735E5C7D">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文明施工</w:t>
            </w:r>
          </w:p>
          <w:p w14:paraId="204C191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措施计划</w:t>
            </w:r>
          </w:p>
          <w:p w14:paraId="5AE13F7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w:t>
            </w:r>
            <w:r>
              <w:rPr>
                <w:rFonts w:hint="eastAsia" w:ascii="宋体" w:hAnsi="宋体" w:eastAsia="宋体" w:cs="宋体"/>
                <w:caps w:val="0"/>
                <w:smallCaps w:val="0"/>
                <w:snapToGrid w:val="0"/>
                <w:color w:val="auto"/>
                <w:spacing w:val="0"/>
                <w:kern w:val="0"/>
                <w:sz w:val="24"/>
                <w:szCs w:val="24"/>
                <w:highlight w:val="none"/>
                <w:u w:val="single"/>
                <w:lang w:val="en-US" w:eastAsia="zh-CN" w:bidi="ar-SA"/>
              </w:rPr>
              <w:t xml:space="preserve"> 3 </w:t>
            </w:r>
            <w:r>
              <w:rPr>
                <w:rFonts w:hint="eastAsia" w:ascii="宋体" w:hAnsi="宋体" w:eastAsia="宋体" w:cs="宋体"/>
                <w:caps w:val="0"/>
                <w:smallCaps w:val="0"/>
                <w:snapToGrid w:val="0"/>
                <w:color w:val="auto"/>
                <w:spacing w:val="0"/>
                <w:kern w:val="0"/>
                <w:sz w:val="24"/>
                <w:szCs w:val="24"/>
                <w:highlight w:val="none"/>
                <w:lang w:val="en-US" w:eastAsia="zh-CN" w:bidi="ar-SA"/>
              </w:rPr>
              <w:t>分）</w:t>
            </w:r>
          </w:p>
        </w:tc>
        <w:tc>
          <w:tcPr>
            <w:tcW w:w="4364" w:type="dxa"/>
            <w:gridSpan w:val="2"/>
            <w:tcBorders>
              <w:top w:val="single" w:color="auto" w:sz="4" w:space="0"/>
              <w:left w:val="single" w:color="auto" w:sz="4" w:space="0"/>
              <w:bottom w:val="single" w:color="auto" w:sz="4" w:space="0"/>
              <w:right w:val="single" w:color="auto" w:sz="4" w:space="0"/>
            </w:tcBorders>
            <w:noWrap w:val="0"/>
            <w:vAlign w:val="center"/>
          </w:tcPr>
          <w:p w14:paraId="60524F0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【优】得该项评分因素分值的90%～100%（含90%）。</w:t>
            </w:r>
          </w:p>
          <w:p w14:paraId="457CA5E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【良】得该项评分因素分值的80%～90%（含80%）。</w:t>
            </w:r>
          </w:p>
          <w:p w14:paraId="22FB3F0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【中】得该项评分因素分值的70%～80%（含70%）。</w:t>
            </w:r>
          </w:p>
          <w:p w14:paraId="099B5B9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【差】得该项评分因素分值的60～70%（含60%）。</w:t>
            </w:r>
          </w:p>
        </w:tc>
        <w:tc>
          <w:tcPr>
            <w:tcW w:w="4665" w:type="dxa"/>
            <w:tcBorders>
              <w:top w:val="single" w:color="auto" w:sz="4" w:space="0"/>
              <w:left w:val="single" w:color="auto" w:sz="4" w:space="0"/>
              <w:bottom w:val="single" w:color="auto" w:sz="4" w:space="0"/>
              <w:right w:val="single" w:color="auto" w:sz="4" w:space="0"/>
            </w:tcBorders>
            <w:noWrap w:val="0"/>
            <w:vAlign w:val="center"/>
          </w:tcPr>
          <w:p w14:paraId="4C4106B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【优】针对项目实际情况，有先进、具体、完整、可行的措施，采用规范准确、清晰。</w:t>
            </w:r>
          </w:p>
          <w:p w14:paraId="1AC9C59D">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【良】针对项目实际情况，有合理的措施且具体、完整，采用规范准确。</w:t>
            </w:r>
          </w:p>
          <w:p w14:paraId="5FB92EE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【中】有基本合理的措施，采用规范准确。</w:t>
            </w:r>
          </w:p>
          <w:p w14:paraId="295C4C4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【差】措施不力，采用规范不正确。</w:t>
            </w:r>
          </w:p>
        </w:tc>
      </w:tr>
      <w:tr w14:paraId="272AF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8" w:hRule="atLeast"/>
          <w:jc w:val="center"/>
        </w:trPr>
        <w:tc>
          <w:tcPr>
            <w:tcW w:w="1395" w:type="dxa"/>
            <w:tcBorders>
              <w:top w:val="single" w:color="auto" w:sz="4" w:space="0"/>
              <w:left w:val="single" w:color="auto" w:sz="4" w:space="0"/>
              <w:bottom w:val="single" w:color="auto" w:sz="4" w:space="0"/>
              <w:right w:val="single" w:color="auto" w:sz="4" w:space="0"/>
            </w:tcBorders>
            <w:noWrap w:val="0"/>
            <w:vAlign w:val="center"/>
          </w:tcPr>
          <w:p w14:paraId="7AC265E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施工平面</w:t>
            </w:r>
          </w:p>
          <w:p w14:paraId="1436B37F">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布置和临时设施布置</w:t>
            </w:r>
          </w:p>
          <w:p w14:paraId="3D4D2F7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val="en-US" w:eastAsia="zh-CN" w:bidi="ar-SA"/>
              </w:rPr>
              <w:t>（</w:t>
            </w:r>
            <w:r>
              <w:rPr>
                <w:rFonts w:hint="eastAsia" w:ascii="宋体" w:hAnsi="宋体" w:eastAsia="宋体" w:cs="宋体"/>
                <w:caps w:val="0"/>
                <w:smallCaps w:val="0"/>
                <w:snapToGrid w:val="0"/>
                <w:color w:val="auto"/>
                <w:spacing w:val="0"/>
                <w:kern w:val="0"/>
                <w:sz w:val="24"/>
                <w:szCs w:val="24"/>
                <w:highlight w:val="none"/>
                <w:u w:val="single"/>
                <w:lang w:val="en-US" w:eastAsia="zh-CN" w:bidi="ar-SA"/>
              </w:rPr>
              <w:t xml:space="preserve"> 2 </w:t>
            </w:r>
            <w:r>
              <w:rPr>
                <w:rFonts w:hint="eastAsia" w:ascii="宋体" w:hAnsi="宋体" w:eastAsia="宋体" w:cs="宋体"/>
                <w:caps w:val="0"/>
                <w:smallCaps w:val="0"/>
                <w:snapToGrid w:val="0"/>
                <w:color w:val="auto"/>
                <w:spacing w:val="0"/>
                <w:kern w:val="0"/>
                <w:sz w:val="24"/>
                <w:szCs w:val="24"/>
                <w:highlight w:val="none"/>
                <w:lang w:val="en-US" w:eastAsia="zh-CN" w:bidi="ar-SA"/>
              </w:rPr>
              <w:t>分）</w:t>
            </w:r>
          </w:p>
        </w:tc>
        <w:tc>
          <w:tcPr>
            <w:tcW w:w="4364" w:type="dxa"/>
            <w:gridSpan w:val="2"/>
            <w:tcBorders>
              <w:top w:val="single" w:color="auto" w:sz="4" w:space="0"/>
              <w:left w:val="single" w:color="auto" w:sz="4" w:space="0"/>
              <w:bottom w:val="single" w:color="auto" w:sz="4" w:space="0"/>
              <w:right w:val="single" w:color="auto" w:sz="4" w:space="0"/>
            </w:tcBorders>
            <w:noWrap w:val="0"/>
            <w:vAlign w:val="center"/>
          </w:tcPr>
          <w:p w14:paraId="639E884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【优】得该项评分因素分值的90%～100%（含90%）。</w:t>
            </w:r>
          </w:p>
          <w:p w14:paraId="75670A1D">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【良】得该项评分因素分值的80%～90%（含80%）。</w:t>
            </w:r>
          </w:p>
          <w:p w14:paraId="0BE28098">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【中】得该项评分因素分值的70%～80%（含70%）。</w:t>
            </w:r>
          </w:p>
          <w:p w14:paraId="0FC5BFC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【差】得该项评分因素分值的60～70%（含60%）。</w:t>
            </w:r>
          </w:p>
        </w:tc>
        <w:tc>
          <w:tcPr>
            <w:tcW w:w="4665" w:type="dxa"/>
            <w:tcBorders>
              <w:top w:val="single" w:color="auto" w:sz="4" w:space="0"/>
              <w:left w:val="single" w:color="auto" w:sz="4" w:space="0"/>
              <w:bottom w:val="single" w:color="auto" w:sz="4" w:space="0"/>
              <w:right w:val="single" w:color="auto" w:sz="4" w:space="0"/>
            </w:tcBorders>
            <w:noWrap w:val="0"/>
            <w:vAlign w:val="center"/>
          </w:tcPr>
          <w:p w14:paraId="4B9D84C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【优】总体布置有针对性、合理，较好满足施工需要，符合绿色施工、安全防护、文明施工要求。</w:t>
            </w:r>
          </w:p>
          <w:p w14:paraId="0AAE269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【良】总体布置合理，能满足施工需要，基本符合绿色施工、安全防护、文明施工要求。</w:t>
            </w:r>
          </w:p>
          <w:p w14:paraId="5CE7F2E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【中】总体布置基本合理，基本满足施工需要。</w:t>
            </w:r>
          </w:p>
          <w:p w14:paraId="6EA8AB8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【差】总体布置不合理，不符合绿色施工、安全防护、文明施工要求。</w:t>
            </w:r>
          </w:p>
        </w:tc>
      </w:tr>
      <w:tr w14:paraId="589DC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7" w:hRule="atLeast"/>
          <w:jc w:val="center"/>
        </w:trPr>
        <w:tc>
          <w:tcPr>
            <w:tcW w:w="1395" w:type="dxa"/>
            <w:tcBorders>
              <w:top w:val="single" w:color="auto" w:sz="4" w:space="0"/>
              <w:left w:val="single" w:color="auto" w:sz="4" w:space="0"/>
              <w:bottom w:val="single" w:color="auto" w:sz="4" w:space="0"/>
              <w:right w:val="single" w:color="auto" w:sz="4" w:space="0"/>
            </w:tcBorders>
            <w:noWrap w:val="0"/>
            <w:vAlign w:val="center"/>
          </w:tcPr>
          <w:p w14:paraId="0FDD91C5">
            <w:pPr>
              <w:pStyle w:val="27"/>
              <w:pageBreakBefore w:val="0"/>
              <w:kinsoku/>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w:t>
            </w:r>
          </w:p>
          <w:p w14:paraId="747B84D8">
            <w:pPr>
              <w:pStyle w:val="27"/>
              <w:pageBreakBefore w:val="0"/>
              <w:kinsoku/>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管理机构</w:t>
            </w:r>
          </w:p>
          <w:p w14:paraId="3A10F002">
            <w:pPr>
              <w:pStyle w:val="27"/>
              <w:pageBreakBefore w:val="0"/>
              <w:kinsoku/>
              <w:wordWrap w:val="0"/>
              <w:overflowPunct/>
              <w:topLinePunct w:val="0"/>
              <w:bidi w:val="0"/>
              <w:spacing w:line="400" w:lineRule="exact"/>
              <w:jc w:val="center"/>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分）</w:t>
            </w:r>
          </w:p>
        </w:tc>
        <w:tc>
          <w:tcPr>
            <w:tcW w:w="4364" w:type="dxa"/>
            <w:gridSpan w:val="2"/>
            <w:tcBorders>
              <w:top w:val="single" w:color="auto" w:sz="4" w:space="0"/>
              <w:left w:val="single" w:color="auto" w:sz="4" w:space="0"/>
              <w:bottom w:val="single" w:color="auto" w:sz="4" w:space="0"/>
              <w:right w:val="single" w:color="auto" w:sz="4" w:space="0"/>
            </w:tcBorders>
            <w:noWrap w:val="0"/>
            <w:vAlign w:val="center"/>
          </w:tcPr>
          <w:p w14:paraId="1CA92F3E">
            <w:pPr>
              <w:pStyle w:val="26"/>
              <w:pageBreakBefore w:val="0"/>
              <w:kinsoku/>
              <w:wordWrap w:val="0"/>
              <w:overflowPunct/>
              <w:topLinePunct w:val="0"/>
              <w:bidi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14:paraId="73E1CF5F">
            <w:pPr>
              <w:pStyle w:val="26"/>
              <w:pageBreakBefore w:val="0"/>
              <w:kinsoku/>
              <w:wordWrap w:val="0"/>
              <w:overflowPunct/>
              <w:topLinePunct w:val="0"/>
              <w:bidi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14:paraId="6737FB1C">
            <w:pPr>
              <w:pStyle w:val="26"/>
              <w:pageBreakBefore w:val="0"/>
              <w:kinsoku/>
              <w:wordWrap w:val="0"/>
              <w:overflowPunct/>
              <w:topLinePunct w:val="0"/>
              <w:bidi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14:paraId="04E9CE3D">
            <w:pPr>
              <w:pStyle w:val="28"/>
              <w:pageBreakBefore w:val="0"/>
              <w:kinsoku/>
              <w:wordWrap w:val="0"/>
              <w:overflowPunct/>
              <w:topLinePunct w:val="0"/>
              <w:bidi w:val="0"/>
              <w:spacing w:line="400" w:lineRule="exact"/>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snapToGrid w:val="0"/>
                <w:color w:val="auto"/>
                <w:kern w:val="0"/>
                <w:sz w:val="24"/>
                <w:szCs w:val="24"/>
                <w:highlight w:val="none"/>
              </w:rPr>
              <w:t>【差】得该项评分因素分值的60～70%（含60%）。</w:t>
            </w:r>
          </w:p>
        </w:tc>
        <w:tc>
          <w:tcPr>
            <w:tcW w:w="4665" w:type="dxa"/>
            <w:tcBorders>
              <w:top w:val="single" w:color="auto" w:sz="4" w:space="0"/>
              <w:left w:val="single" w:color="auto" w:sz="4" w:space="0"/>
              <w:bottom w:val="single" w:color="auto" w:sz="4" w:space="0"/>
              <w:right w:val="single" w:color="auto" w:sz="4" w:space="0"/>
            </w:tcBorders>
            <w:noWrap w:val="0"/>
            <w:vAlign w:val="center"/>
          </w:tcPr>
          <w:p w14:paraId="59312706">
            <w:pPr>
              <w:pStyle w:val="28"/>
              <w:pageBreakBefore w:val="0"/>
              <w:kinsoku/>
              <w:wordWrap w:val="0"/>
              <w:overflowPunct/>
              <w:topLinePunct w:val="0"/>
              <w:bidi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【优】组织机构形式合理，有完善的指挥系统，生产及质量、绿色施工、安全、文明施工、创优达标监控系统、联络协调系统。</w:t>
            </w:r>
          </w:p>
          <w:p w14:paraId="37D40B14">
            <w:pPr>
              <w:pStyle w:val="28"/>
              <w:pageBreakBefore w:val="0"/>
              <w:kinsoku/>
              <w:wordWrap w:val="0"/>
              <w:overflowPunct/>
              <w:topLinePunct w:val="0"/>
              <w:bidi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【良】组织机构形式合理，指挥系统，生产及质量、绿色施工、安全、文明施工、创优达标监控系统、联络协调系统齐全。</w:t>
            </w:r>
          </w:p>
          <w:p w14:paraId="0234079B">
            <w:pPr>
              <w:pStyle w:val="28"/>
              <w:pageBreakBefore w:val="0"/>
              <w:kinsoku/>
              <w:wordWrap w:val="0"/>
              <w:overflowPunct/>
              <w:topLinePunct w:val="0"/>
              <w:bidi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【中】组织机构形式基本合理，有指挥系统，生产及质量、绿色施工、安全、文明施工、创优达标监控系统、联络协调系统。</w:t>
            </w:r>
          </w:p>
          <w:p w14:paraId="5E0B2B23">
            <w:pPr>
              <w:pStyle w:val="28"/>
              <w:pageBreakBefore w:val="0"/>
              <w:kinsoku/>
              <w:wordWrap w:val="0"/>
              <w:overflowPunct/>
              <w:topLinePunct w:val="0"/>
              <w:bidi w:val="0"/>
              <w:spacing w:line="400" w:lineRule="exact"/>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snapToGrid w:val="0"/>
                <w:color w:val="auto"/>
                <w:kern w:val="0"/>
                <w:sz w:val="24"/>
                <w:szCs w:val="24"/>
                <w:highlight w:val="none"/>
              </w:rPr>
              <w:t>【差】组织机构形式合理，指挥系统，生产及质量、绿色施工、安全、文明施工、创优达标监控系统、联络协调系统不齐全。</w:t>
            </w:r>
          </w:p>
        </w:tc>
      </w:tr>
      <w:tr w14:paraId="3F6483A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8" w:hRule="exact"/>
          <w:jc w:val="center"/>
        </w:trPr>
        <w:tc>
          <w:tcPr>
            <w:tcW w:w="10424"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30272642">
            <w:pPr>
              <w:pageBreakBefore w:val="0"/>
              <w:kinsoku/>
              <w:wordWrap w:val="0"/>
              <w:overflowPunct/>
              <w:topLinePunct w:val="0"/>
              <w:bidi w:val="0"/>
              <w:adjustRightInd w:val="0"/>
              <w:snapToGrid w:val="0"/>
              <w:spacing w:line="400" w:lineRule="exact"/>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投标报价部分，满分：100分。</w:t>
            </w:r>
          </w:p>
        </w:tc>
      </w:tr>
      <w:tr w14:paraId="5632897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74" w:hRule="exac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51FC709D">
            <w:pPr>
              <w:pageBreakBefore w:val="0"/>
              <w:kinsoku/>
              <w:wordWrap w:val="0"/>
              <w:overflowPunct/>
              <w:topLinePunct w:val="0"/>
              <w:bidi w:val="0"/>
              <w:adjustRightInd w:val="0"/>
              <w:snapToGrid w:val="0"/>
              <w:spacing w:line="44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评分事项</w:t>
            </w:r>
          </w:p>
        </w:tc>
        <w:tc>
          <w:tcPr>
            <w:tcW w:w="8765" w:type="dxa"/>
            <w:gridSpan w:val="2"/>
            <w:tcBorders>
              <w:top w:val="single" w:color="auto" w:sz="4" w:space="0"/>
              <w:left w:val="single" w:color="auto" w:sz="4" w:space="0"/>
              <w:bottom w:val="single" w:color="auto" w:sz="4" w:space="0"/>
              <w:right w:val="single" w:color="auto" w:sz="4" w:space="0"/>
            </w:tcBorders>
            <w:noWrap w:val="0"/>
            <w:vAlign w:val="center"/>
          </w:tcPr>
          <w:p w14:paraId="2E8C2638">
            <w:pPr>
              <w:pageBreakBefore w:val="0"/>
              <w:kinsoku/>
              <w:wordWrap w:val="0"/>
              <w:overflowPunct/>
              <w:topLinePunct w:val="0"/>
              <w:bidi w:val="0"/>
              <w:adjustRightInd w:val="0"/>
              <w:snapToGrid w:val="0"/>
              <w:spacing w:line="44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评分方法</w:t>
            </w:r>
          </w:p>
        </w:tc>
      </w:tr>
      <w:tr w14:paraId="37FC73A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61" w:hRule="atLeas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3095C052">
            <w:pPr>
              <w:pageBreakBefore w:val="0"/>
              <w:kinsoku/>
              <w:wordWrap w:val="0"/>
              <w:overflowPunct/>
              <w:topLinePunct w:val="0"/>
              <w:bidi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评标基准价D</w:t>
            </w:r>
          </w:p>
        </w:tc>
        <w:tc>
          <w:tcPr>
            <w:tcW w:w="8765" w:type="dxa"/>
            <w:gridSpan w:val="2"/>
            <w:tcBorders>
              <w:top w:val="single" w:color="auto" w:sz="4" w:space="0"/>
              <w:left w:val="single" w:color="auto" w:sz="4" w:space="0"/>
              <w:bottom w:val="single" w:color="auto" w:sz="4" w:space="0"/>
              <w:right w:val="single" w:color="auto" w:sz="4" w:space="0"/>
            </w:tcBorders>
            <w:noWrap w:val="0"/>
            <w:vAlign w:val="center"/>
          </w:tcPr>
          <w:p w14:paraId="0224AC82">
            <w:pPr>
              <w:pageBreakBefore w:val="0"/>
              <w:numPr>
                <w:ilvl w:val="0"/>
                <w:numId w:val="1"/>
              </w:numPr>
              <w:kinsoku/>
              <w:wordWrap w:val="0"/>
              <w:overflowPunct/>
              <w:topLinePunct w:val="0"/>
              <w:bidi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确定最高投标限价下浮系数n：用1～21号球分别代表一个下浮系数，由评委代表从这21个号码中随机抽取</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3</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次，每次抽取1个号码，抽出的号球不参与下次抽取。所抽取的</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个号码对应下浮系数的算术平均值作为最高投标限价下浮系数n。具体号码对应的下浮系数详见下表：</w:t>
            </w:r>
          </w:p>
          <w:tbl>
            <w:tblPr>
              <w:tblStyle w:val="14"/>
              <w:tblW w:w="0" w:type="auto"/>
              <w:jc w:val="center"/>
              <w:tblLayout w:type="fixed"/>
              <w:tblCellMar>
                <w:top w:w="0" w:type="dxa"/>
                <w:left w:w="108" w:type="dxa"/>
                <w:bottom w:w="0" w:type="dxa"/>
                <w:right w:w="108" w:type="dxa"/>
              </w:tblCellMar>
            </w:tblPr>
            <w:tblGrid>
              <w:gridCol w:w="1744"/>
              <w:gridCol w:w="889"/>
              <w:gridCol w:w="836"/>
              <w:gridCol w:w="870"/>
              <w:gridCol w:w="854"/>
              <w:gridCol w:w="888"/>
              <w:gridCol w:w="835"/>
              <w:gridCol w:w="959"/>
            </w:tblGrid>
            <w:tr w14:paraId="13F9F9E5">
              <w:tblPrEx>
                <w:tblCellMar>
                  <w:top w:w="0" w:type="dxa"/>
                  <w:left w:w="108" w:type="dxa"/>
                  <w:bottom w:w="0" w:type="dxa"/>
                  <w:right w:w="108" w:type="dxa"/>
                </w:tblCellMar>
              </w:tblPrEx>
              <w:trPr>
                <w:trHeight w:val="447" w:hRule="atLeast"/>
                <w:jc w:val="center"/>
              </w:trPr>
              <w:tc>
                <w:tcPr>
                  <w:tcW w:w="1744" w:type="dxa"/>
                  <w:tcBorders>
                    <w:top w:val="single" w:color="000000" w:sz="4" w:space="0"/>
                    <w:left w:val="single" w:color="000000" w:sz="4" w:space="0"/>
                    <w:bottom w:val="single" w:color="000000" w:sz="4" w:space="0"/>
                    <w:right w:val="single" w:color="000000" w:sz="4" w:space="0"/>
                  </w:tcBorders>
                  <w:shd w:val="clear" w:color="auto" w:fill="E7E6E6" w:themeFill="background2"/>
                  <w:noWrap w:val="0"/>
                  <w:vAlign w:val="center"/>
                </w:tcPr>
                <w:p w14:paraId="44DF96E6">
                  <w:pPr>
                    <w:pageBreakBefore w:val="0"/>
                    <w:kinsoku/>
                    <w:wordWrap w:val="0"/>
                    <w:overflowPunct/>
                    <w:topLinePunct w:val="0"/>
                    <w:bidi w:val="0"/>
                    <w:adjustRightInd w:val="0"/>
                    <w:snapToGrid w:val="0"/>
                    <w:spacing w:line="4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号球</w:t>
                  </w:r>
                </w:p>
              </w:tc>
              <w:tc>
                <w:tcPr>
                  <w:tcW w:w="889" w:type="dxa"/>
                  <w:tcBorders>
                    <w:top w:val="single" w:color="000000" w:sz="4" w:space="0"/>
                    <w:left w:val="single" w:color="000000" w:sz="4" w:space="0"/>
                    <w:bottom w:val="single" w:color="000000" w:sz="4" w:space="0"/>
                    <w:right w:val="single" w:color="000000" w:sz="4" w:space="0"/>
                  </w:tcBorders>
                  <w:shd w:val="clear" w:color="auto" w:fill="E7E6E6" w:themeFill="background2"/>
                  <w:noWrap w:val="0"/>
                  <w:vAlign w:val="center"/>
                </w:tcPr>
                <w:p w14:paraId="08072DD8">
                  <w:pPr>
                    <w:pageBreakBefore w:val="0"/>
                    <w:kinsoku/>
                    <w:wordWrap w:val="0"/>
                    <w:overflowPunct/>
                    <w:topLinePunct w:val="0"/>
                    <w:bidi w:val="0"/>
                    <w:adjustRightInd w:val="0"/>
                    <w:snapToGrid w:val="0"/>
                    <w:spacing w:line="4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p>
              </w:tc>
              <w:tc>
                <w:tcPr>
                  <w:tcW w:w="836" w:type="dxa"/>
                  <w:tcBorders>
                    <w:top w:val="single" w:color="000000" w:sz="4" w:space="0"/>
                    <w:left w:val="single" w:color="000000" w:sz="4" w:space="0"/>
                    <w:bottom w:val="single" w:color="000000" w:sz="4" w:space="0"/>
                    <w:right w:val="single" w:color="000000" w:sz="4" w:space="0"/>
                  </w:tcBorders>
                  <w:shd w:val="clear" w:color="auto" w:fill="E7E6E6" w:themeFill="background2"/>
                  <w:noWrap w:val="0"/>
                  <w:vAlign w:val="center"/>
                </w:tcPr>
                <w:p w14:paraId="2096F8CB">
                  <w:pPr>
                    <w:pageBreakBefore w:val="0"/>
                    <w:kinsoku/>
                    <w:wordWrap w:val="0"/>
                    <w:overflowPunct/>
                    <w:topLinePunct w:val="0"/>
                    <w:bidi w:val="0"/>
                    <w:adjustRightInd w:val="0"/>
                    <w:snapToGrid w:val="0"/>
                    <w:spacing w:line="4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w:t>
                  </w:r>
                </w:p>
              </w:tc>
              <w:tc>
                <w:tcPr>
                  <w:tcW w:w="870" w:type="dxa"/>
                  <w:tcBorders>
                    <w:top w:val="single" w:color="000000" w:sz="4" w:space="0"/>
                    <w:left w:val="single" w:color="000000" w:sz="4" w:space="0"/>
                    <w:bottom w:val="single" w:color="000000" w:sz="4" w:space="0"/>
                    <w:right w:val="single" w:color="000000" w:sz="4" w:space="0"/>
                  </w:tcBorders>
                  <w:shd w:val="clear" w:color="auto" w:fill="E7E6E6" w:themeFill="background2"/>
                  <w:noWrap w:val="0"/>
                  <w:vAlign w:val="center"/>
                </w:tcPr>
                <w:p w14:paraId="696186B7">
                  <w:pPr>
                    <w:pageBreakBefore w:val="0"/>
                    <w:kinsoku/>
                    <w:wordWrap w:val="0"/>
                    <w:overflowPunct/>
                    <w:topLinePunct w:val="0"/>
                    <w:bidi w:val="0"/>
                    <w:adjustRightInd w:val="0"/>
                    <w:snapToGrid w:val="0"/>
                    <w:spacing w:line="4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w:t>
                  </w:r>
                </w:p>
              </w:tc>
              <w:tc>
                <w:tcPr>
                  <w:tcW w:w="854" w:type="dxa"/>
                  <w:tcBorders>
                    <w:top w:val="single" w:color="000000" w:sz="4" w:space="0"/>
                    <w:left w:val="single" w:color="000000" w:sz="4" w:space="0"/>
                    <w:bottom w:val="single" w:color="000000" w:sz="4" w:space="0"/>
                    <w:right w:val="single" w:color="000000" w:sz="4" w:space="0"/>
                  </w:tcBorders>
                  <w:shd w:val="clear" w:color="auto" w:fill="E7E6E6" w:themeFill="background2"/>
                  <w:noWrap w:val="0"/>
                  <w:vAlign w:val="center"/>
                </w:tcPr>
                <w:p w14:paraId="46122AB2">
                  <w:pPr>
                    <w:pageBreakBefore w:val="0"/>
                    <w:kinsoku/>
                    <w:wordWrap w:val="0"/>
                    <w:overflowPunct/>
                    <w:topLinePunct w:val="0"/>
                    <w:bidi w:val="0"/>
                    <w:adjustRightInd w:val="0"/>
                    <w:snapToGrid w:val="0"/>
                    <w:spacing w:line="4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w:t>
                  </w:r>
                </w:p>
              </w:tc>
              <w:tc>
                <w:tcPr>
                  <w:tcW w:w="888" w:type="dxa"/>
                  <w:tcBorders>
                    <w:top w:val="single" w:color="000000" w:sz="4" w:space="0"/>
                    <w:left w:val="single" w:color="000000" w:sz="4" w:space="0"/>
                    <w:bottom w:val="single" w:color="000000" w:sz="4" w:space="0"/>
                    <w:right w:val="single" w:color="000000" w:sz="4" w:space="0"/>
                  </w:tcBorders>
                  <w:shd w:val="clear" w:color="auto" w:fill="E7E6E6" w:themeFill="background2"/>
                  <w:noWrap w:val="0"/>
                  <w:vAlign w:val="center"/>
                </w:tcPr>
                <w:p w14:paraId="58AE77BB">
                  <w:pPr>
                    <w:pageBreakBefore w:val="0"/>
                    <w:kinsoku/>
                    <w:wordWrap w:val="0"/>
                    <w:overflowPunct/>
                    <w:topLinePunct w:val="0"/>
                    <w:bidi w:val="0"/>
                    <w:adjustRightInd w:val="0"/>
                    <w:snapToGrid w:val="0"/>
                    <w:spacing w:line="4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w:t>
                  </w:r>
                </w:p>
              </w:tc>
              <w:tc>
                <w:tcPr>
                  <w:tcW w:w="835" w:type="dxa"/>
                  <w:tcBorders>
                    <w:top w:val="single" w:color="000000" w:sz="4" w:space="0"/>
                    <w:left w:val="single" w:color="000000" w:sz="4" w:space="0"/>
                    <w:bottom w:val="single" w:color="000000" w:sz="4" w:space="0"/>
                    <w:right w:val="single" w:color="000000" w:sz="4" w:space="0"/>
                  </w:tcBorders>
                  <w:shd w:val="clear" w:color="auto" w:fill="E7E6E6" w:themeFill="background2"/>
                  <w:noWrap w:val="0"/>
                  <w:vAlign w:val="center"/>
                </w:tcPr>
                <w:p w14:paraId="4AD59BD9">
                  <w:pPr>
                    <w:pageBreakBefore w:val="0"/>
                    <w:kinsoku/>
                    <w:wordWrap w:val="0"/>
                    <w:overflowPunct/>
                    <w:topLinePunct w:val="0"/>
                    <w:bidi w:val="0"/>
                    <w:adjustRightInd w:val="0"/>
                    <w:snapToGrid w:val="0"/>
                    <w:spacing w:line="4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w:t>
                  </w:r>
                </w:p>
              </w:tc>
              <w:tc>
                <w:tcPr>
                  <w:tcW w:w="959" w:type="dxa"/>
                  <w:tcBorders>
                    <w:top w:val="single" w:color="000000" w:sz="4" w:space="0"/>
                    <w:left w:val="single" w:color="000000" w:sz="4" w:space="0"/>
                    <w:bottom w:val="single" w:color="000000" w:sz="4" w:space="0"/>
                    <w:right w:val="single" w:color="000000" w:sz="4" w:space="0"/>
                  </w:tcBorders>
                  <w:shd w:val="clear" w:color="auto" w:fill="E7E6E6" w:themeFill="background2"/>
                  <w:noWrap w:val="0"/>
                  <w:vAlign w:val="center"/>
                </w:tcPr>
                <w:p w14:paraId="00A84696">
                  <w:pPr>
                    <w:pageBreakBefore w:val="0"/>
                    <w:kinsoku/>
                    <w:wordWrap w:val="0"/>
                    <w:overflowPunct/>
                    <w:topLinePunct w:val="0"/>
                    <w:bidi w:val="0"/>
                    <w:adjustRightInd w:val="0"/>
                    <w:snapToGrid w:val="0"/>
                    <w:spacing w:line="4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7</w:t>
                  </w:r>
                </w:p>
              </w:tc>
            </w:tr>
            <w:tr w14:paraId="0F919803">
              <w:tblPrEx>
                <w:tblCellMar>
                  <w:top w:w="0" w:type="dxa"/>
                  <w:left w:w="108" w:type="dxa"/>
                  <w:bottom w:w="0" w:type="dxa"/>
                  <w:right w:w="108" w:type="dxa"/>
                </w:tblCellMar>
              </w:tblPrEx>
              <w:trPr>
                <w:trHeight w:val="529" w:hRule="atLeast"/>
                <w:jc w:val="center"/>
              </w:trPr>
              <w:tc>
                <w:tcPr>
                  <w:tcW w:w="1744" w:type="dxa"/>
                  <w:tcBorders>
                    <w:top w:val="single" w:color="000000" w:sz="4" w:space="0"/>
                    <w:left w:val="single" w:color="000000" w:sz="4" w:space="0"/>
                    <w:bottom w:val="single" w:color="000000" w:sz="4" w:space="0"/>
                    <w:right w:val="single" w:color="000000" w:sz="4" w:space="0"/>
                  </w:tcBorders>
                  <w:noWrap w:val="0"/>
                  <w:vAlign w:val="center"/>
                </w:tcPr>
                <w:p w14:paraId="2F6FD619">
                  <w:pPr>
                    <w:pageBreakBefore w:val="0"/>
                    <w:kinsoku/>
                    <w:wordWrap w:val="0"/>
                    <w:overflowPunct/>
                    <w:topLinePunct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4EA1AE2D">
                  <w:pPr>
                    <w:pageBreakBefore w:val="0"/>
                    <w:kinsoku/>
                    <w:wordWrap w:val="0"/>
                    <w:overflowPunct/>
                    <w:topLinePunct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3EBD9D38">
                  <w:pPr>
                    <w:pageBreakBefore w:val="0"/>
                    <w:kinsoku/>
                    <w:wordWrap w:val="0"/>
                    <w:overflowPunct/>
                    <w:topLinePunct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0238315F">
                  <w:pPr>
                    <w:pageBreakBefore w:val="0"/>
                    <w:kinsoku/>
                    <w:wordWrap w:val="0"/>
                    <w:overflowPunct/>
                    <w:topLinePunct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3F142C3D">
                  <w:pPr>
                    <w:pageBreakBefore w:val="0"/>
                    <w:kinsoku/>
                    <w:wordWrap w:val="0"/>
                    <w:overflowPunct/>
                    <w:topLinePunct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0B7874B6">
                  <w:pPr>
                    <w:pageBreakBefore w:val="0"/>
                    <w:kinsoku/>
                    <w:wordWrap w:val="0"/>
                    <w:overflowPunct/>
                    <w:topLinePunct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673FFEDA">
                  <w:pPr>
                    <w:pageBreakBefore w:val="0"/>
                    <w:kinsoku/>
                    <w:wordWrap w:val="0"/>
                    <w:overflowPunct/>
                    <w:topLinePunct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00133930">
                  <w:pPr>
                    <w:pageBreakBefore w:val="0"/>
                    <w:kinsoku/>
                    <w:wordWrap w:val="0"/>
                    <w:overflowPunct/>
                    <w:topLinePunct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r>
            <w:tr w14:paraId="651CA674">
              <w:tblPrEx>
                <w:tblCellMar>
                  <w:top w:w="0" w:type="dxa"/>
                  <w:left w:w="108" w:type="dxa"/>
                  <w:bottom w:w="0" w:type="dxa"/>
                  <w:right w:w="108" w:type="dxa"/>
                </w:tblCellMar>
              </w:tblPrEx>
              <w:trPr>
                <w:trHeight w:val="572" w:hRule="atLeast"/>
                <w:jc w:val="center"/>
              </w:trPr>
              <w:tc>
                <w:tcPr>
                  <w:tcW w:w="1744" w:type="dxa"/>
                  <w:tcBorders>
                    <w:top w:val="single" w:color="000000" w:sz="4" w:space="0"/>
                    <w:left w:val="single" w:color="000000" w:sz="4" w:space="0"/>
                    <w:bottom w:val="single" w:color="000000" w:sz="4" w:space="0"/>
                    <w:right w:val="single" w:color="000000" w:sz="4" w:space="0"/>
                  </w:tcBorders>
                  <w:shd w:val="clear" w:color="auto" w:fill="E7E6E6" w:themeFill="background2"/>
                  <w:noWrap w:val="0"/>
                  <w:vAlign w:val="center"/>
                </w:tcPr>
                <w:p w14:paraId="0F71C62A">
                  <w:pPr>
                    <w:pageBreakBefore w:val="0"/>
                    <w:kinsoku/>
                    <w:wordWrap w:val="0"/>
                    <w:overflowPunct/>
                    <w:topLinePunct w:val="0"/>
                    <w:bidi w:val="0"/>
                    <w:adjustRightInd w:val="0"/>
                    <w:snapToGrid w:val="0"/>
                    <w:spacing w:line="4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号球</w:t>
                  </w:r>
                </w:p>
              </w:tc>
              <w:tc>
                <w:tcPr>
                  <w:tcW w:w="889" w:type="dxa"/>
                  <w:tcBorders>
                    <w:top w:val="single" w:color="000000" w:sz="4" w:space="0"/>
                    <w:left w:val="single" w:color="000000" w:sz="4" w:space="0"/>
                    <w:bottom w:val="single" w:color="000000" w:sz="4" w:space="0"/>
                    <w:right w:val="single" w:color="000000" w:sz="4" w:space="0"/>
                  </w:tcBorders>
                  <w:shd w:val="clear" w:color="auto" w:fill="E7E6E6" w:themeFill="background2"/>
                  <w:noWrap w:val="0"/>
                  <w:vAlign w:val="center"/>
                </w:tcPr>
                <w:p w14:paraId="5F679614">
                  <w:pPr>
                    <w:pageBreakBefore w:val="0"/>
                    <w:kinsoku/>
                    <w:wordWrap w:val="0"/>
                    <w:overflowPunct/>
                    <w:topLinePunct w:val="0"/>
                    <w:bidi w:val="0"/>
                    <w:adjustRightInd w:val="0"/>
                    <w:snapToGrid w:val="0"/>
                    <w:spacing w:line="4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w:t>
                  </w:r>
                </w:p>
              </w:tc>
              <w:tc>
                <w:tcPr>
                  <w:tcW w:w="836" w:type="dxa"/>
                  <w:tcBorders>
                    <w:top w:val="single" w:color="000000" w:sz="4" w:space="0"/>
                    <w:left w:val="single" w:color="000000" w:sz="4" w:space="0"/>
                    <w:bottom w:val="single" w:color="000000" w:sz="4" w:space="0"/>
                    <w:right w:val="single" w:color="000000" w:sz="4" w:space="0"/>
                  </w:tcBorders>
                  <w:shd w:val="clear" w:color="auto" w:fill="E7E6E6" w:themeFill="background2"/>
                  <w:noWrap w:val="0"/>
                  <w:vAlign w:val="center"/>
                </w:tcPr>
                <w:p w14:paraId="177C309D">
                  <w:pPr>
                    <w:pageBreakBefore w:val="0"/>
                    <w:kinsoku/>
                    <w:wordWrap w:val="0"/>
                    <w:overflowPunct/>
                    <w:topLinePunct w:val="0"/>
                    <w:bidi w:val="0"/>
                    <w:adjustRightInd w:val="0"/>
                    <w:snapToGrid w:val="0"/>
                    <w:spacing w:line="4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w:t>
                  </w:r>
                </w:p>
              </w:tc>
              <w:tc>
                <w:tcPr>
                  <w:tcW w:w="870" w:type="dxa"/>
                  <w:tcBorders>
                    <w:top w:val="single" w:color="000000" w:sz="4" w:space="0"/>
                    <w:left w:val="single" w:color="000000" w:sz="4" w:space="0"/>
                    <w:bottom w:val="single" w:color="000000" w:sz="4" w:space="0"/>
                    <w:right w:val="single" w:color="000000" w:sz="4" w:space="0"/>
                  </w:tcBorders>
                  <w:shd w:val="clear" w:color="auto" w:fill="E7E6E6" w:themeFill="background2"/>
                  <w:noWrap w:val="0"/>
                  <w:vAlign w:val="center"/>
                </w:tcPr>
                <w:p w14:paraId="6E9BF225">
                  <w:pPr>
                    <w:pageBreakBefore w:val="0"/>
                    <w:kinsoku/>
                    <w:wordWrap w:val="0"/>
                    <w:overflowPunct/>
                    <w:topLinePunct w:val="0"/>
                    <w:bidi w:val="0"/>
                    <w:adjustRightInd w:val="0"/>
                    <w:snapToGrid w:val="0"/>
                    <w:spacing w:line="4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w:t>
                  </w:r>
                </w:p>
              </w:tc>
              <w:tc>
                <w:tcPr>
                  <w:tcW w:w="854" w:type="dxa"/>
                  <w:tcBorders>
                    <w:top w:val="single" w:color="000000" w:sz="4" w:space="0"/>
                    <w:left w:val="single" w:color="000000" w:sz="4" w:space="0"/>
                    <w:bottom w:val="single" w:color="000000" w:sz="4" w:space="0"/>
                    <w:right w:val="single" w:color="000000" w:sz="4" w:space="0"/>
                  </w:tcBorders>
                  <w:shd w:val="clear" w:color="auto" w:fill="E7E6E6" w:themeFill="background2"/>
                  <w:noWrap w:val="0"/>
                  <w:vAlign w:val="center"/>
                </w:tcPr>
                <w:p w14:paraId="0299652B">
                  <w:pPr>
                    <w:pageBreakBefore w:val="0"/>
                    <w:kinsoku/>
                    <w:wordWrap w:val="0"/>
                    <w:overflowPunct/>
                    <w:topLinePunct w:val="0"/>
                    <w:bidi w:val="0"/>
                    <w:adjustRightInd w:val="0"/>
                    <w:snapToGrid w:val="0"/>
                    <w:spacing w:line="4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w:t>
                  </w:r>
                </w:p>
              </w:tc>
              <w:tc>
                <w:tcPr>
                  <w:tcW w:w="888" w:type="dxa"/>
                  <w:tcBorders>
                    <w:top w:val="single" w:color="000000" w:sz="4" w:space="0"/>
                    <w:left w:val="single" w:color="000000" w:sz="4" w:space="0"/>
                    <w:bottom w:val="single" w:color="000000" w:sz="4" w:space="0"/>
                    <w:right w:val="single" w:color="000000" w:sz="4" w:space="0"/>
                  </w:tcBorders>
                  <w:shd w:val="clear" w:color="auto" w:fill="E7E6E6" w:themeFill="background2"/>
                  <w:noWrap w:val="0"/>
                  <w:vAlign w:val="center"/>
                </w:tcPr>
                <w:p w14:paraId="7B7EFF3E">
                  <w:pPr>
                    <w:pageBreakBefore w:val="0"/>
                    <w:kinsoku/>
                    <w:wordWrap w:val="0"/>
                    <w:overflowPunct/>
                    <w:topLinePunct w:val="0"/>
                    <w:bidi w:val="0"/>
                    <w:adjustRightInd w:val="0"/>
                    <w:snapToGrid w:val="0"/>
                    <w:spacing w:line="4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12</w:t>
                  </w:r>
                </w:p>
              </w:tc>
              <w:tc>
                <w:tcPr>
                  <w:tcW w:w="835" w:type="dxa"/>
                  <w:tcBorders>
                    <w:top w:val="single" w:color="000000" w:sz="4" w:space="0"/>
                    <w:left w:val="single" w:color="000000" w:sz="4" w:space="0"/>
                    <w:bottom w:val="single" w:color="000000" w:sz="4" w:space="0"/>
                    <w:right w:val="single" w:color="000000" w:sz="4" w:space="0"/>
                  </w:tcBorders>
                  <w:shd w:val="clear" w:color="auto" w:fill="E7E6E6" w:themeFill="background2"/>
                  <w:noWrap w:val="0"/>
                  <w:vAlign w:val="center"/>
                </w:tcPr>
                <w:p w14:paraId="088AFCBE">
                  <w:pPr>
                    <w:pageBreakBefore w:val="0"/>
                    <w:kinsoku/>
                    <w:wordWrap w:val="0"/>
                    <w:overflowPunct/>
                    <w:topLinePunct w:val="0"/>
                    <w:bidi w:val="0"/>
                    <w:adjustRightInd w:val="0"/>
                    <w:snapToGrid w:val="0"/>
                    <w:spacing w:line="4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13</w:t>
                  </w:r>
                </w:p>
              </w:tc>
              <w:tc>
                <w:tcPr>
                  <w:tcW w:w="959" w:type="dxa"/>
                  <w:tcBorders>
                    <w:top w:val="single" w:color="000000" w:sz="4" w:space="0"/>
                    <w:left w:val="single" w:color="000000" w:sz="4" w:space="0"/>
                    <w:bottom w:val="single" w:color="000000" w:sz="4" w:space="0"/>
                    <w:right w:val="single" w:color="000000" w:sz="4" w:space="0"/>
                  </w:tcBorders>
                  <w:shd w:val="clear" w:color="auto" w:fill="E7E6E6" w:themeFill="background2"/>
                  <w:noWrap w:val="0"/>
                  <w:vAlign w:val="center"/>
                </w:tcPr>
                <w:p w14:paraId="60967E29">
                  <w:pPr>
                    <w:pageBreakBefore w:val="0"/>
                    <w:kinsoku/>
                    <w:wordWrap w:val="0"/>
                    <w:overflowPunct/>
                    <w:topLinePunct w:val="0"/>
                    <w:bidi w:val="0"/>
                    <w:adjustRightInd w:val="0"/>
                    <w:snapToGrid w:val="0"/>
                    <w:spacing w:line="4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w:t>
                  </w:r>
                </w:p>
              </w:tc>
            </w:tr>
            <w:tr w14:paraId="52EC7FE1">
              <w:tblPrEx>
                <w:tblCellMar>
                  <w:top w:w="0" w:type="dxa"/>
                  <w:left w:w="108" w:type="dxa"/>
                  <w:bottom w:w="0" w:type="dxa"/>
                  <w:right w:w="108" w:type="dxa"/>
                </w:tblCellMar>
              </w:tblPrEx>
              <w:trPr>
                <w:trHeight w:val="480" w:hRule="atLeast"/>
                <w:jc w:val="center"/>
              </w:trPr>
              <w:tc>
                <w:tcPr>
                  <w:tcW w:w="1744" w:type="dxa"/>
                  <w:tcBorders>
                    <w:top w:val="single" w:color="000000" w:sz="4" w:space="0"/>
                    <w:left w:val="single" w:color="000000" w:sz="4" w:space="0"/>
                    <w:bottom w:val="single" w:color="000000" w:sz="4" w:space="0"/>
                    <w:right w:val="single" w:color="000000" w:sz="4" w:space="0"/>
                  </w:tcBorders>
                  <w:noWrap w:val="0"/>
                  <w:vAlign w:val="center"/>
                </w:tcPr>
                <w:p w14:paraId="040B0B18">
                  <w:pPr>
                    <w:pageBreakBefore w:val="0"/>
                    <w:kinsoku/>
                    <w:wordWrap w:val="0"/>
                    <w:overflowPunct/>
                    <w:topLinePunct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1D043173">
                  <w:pPr>
                    <w:pageBreakBefore w:val="0"/>
                    <w:kinsoku/>
                    <w:wordWrap w:val="0"/>
                    <w:overflowPunct/>
                    <w:topLinePunct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6F508A66">
                  <w:pPr>
                    <w:pageBreakBefore w:val="0"/>
                    <w:kinsoku/>
                    <w:wordWrap w:val="0"/>
                    <w:overflowPunct/>
                    <w:topLinePunct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2B9D71F6">
                  <w:pPr>
                    <w:pageBreakBefore w:val="0"/>
                    <w:kinsoku/>
                    <w:wordWrap w:val="0"/>
                    <w:overflowPunct/>
                    <w:topLinePunct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4F303544">
                  <w:pPr>
                    <w:pageBreakBefore w:val="0"/>
                    <w:kinsoku/>
                    <w:wordWrap w:val="0"/>
                    <w:overflowPunct/>
                    <w:topLinePunct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79CFDE63">
                  <w:pPr>
                    <w:pageBreakBefore w:val="0"/>
                    <w:kinsoku/>
                    <w:wordWrap w:val="0"/>
                    <w:overflowPunct/>
                    <w:topLinePunct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4638ABA2">
                  <w:pPr>
                    <w:pageBreakBefore w:val="0"/>
                    <w:kinsoku/>
                    <w:wordWrap w:val="0"/>
                    <w:overflowPunct/>
                    <w:topLinePunct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29A82CFA">
                  <w:pPr>
                    <w:pageBreakBefore w:val="0"/>
                    <w:kinsoku/>
                    <w:wordWrap w:val="0"/>
                    <w:overflowPunct/>
                    <w:topLinePunct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w:t>
                  </w:r>
                </w:p>
              </w:tc>
            </w:tr>
            <w:tr w14:paraId="32E099DC">
              <w:tblPrEx>
                <w:tblCellMar>
                  <w:top w:w="0" w:type="dxa"/>
                  <w:left w:w="108" w:type="dxa"/>
                  <w:bottom w:w="0" w:type="dxa"/>
                  <w:right w:w="108" w:type="dxa"/>
                </w:tblCellMar>
              </w:tblPrEx>
              <w:trPr>
                <w:trHeight w:val="523" w:hRule="atLeast"/>
                <w:jc w:val="center"/>
              </w:trPr>
              <w:tc>
                <w:tcPr>
                  <w:tcW w:w="1744" w:type="dxa"/>
                  <w:tcBorders>
                    <w:top w:val="single" w:color="000000" w:sz="4" w:space="0"/>
                    <w:left w:val="single" w:color="000000" w:sz="4" w:space="0"/>
                    <w:bottom w:val="single" w:color="000000" w:sz="4" w:space="0"/>
                    <w:right w:val="single" w:color="000000" w:sz="4" w:space="0"/>
                  </w:tcBorders>
                  <w:shd w:val="clear" w:color="auto" w:fill="E7E6E6" w:themeFill="background2"/>
                  <w:noWrap w:val="0"/>
                  <w:vAlign w:val="center"/>
                </w:tcPr>
                <w:p w14:paraId="509829AA">
                  <w:pPr>
                    <w:pageBreakBefore w:val="0"/>
                    <w:kinsoku/>
                    <w:wordWrap w:val="0"/>
                    <w:overflowPunct/>
                    <w:topLinePunct w:val="0"/>
                    <w:bidi w:val="0"/>
                    <w:adjustRightInd w:val="0"/>
                    <w:snapToGrid w:val="0"/>
                    <w:spacing w:line="4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号球</w:t>
                  </w:r>
                </w:p>
              </w:tc>
              <w:tc>
                <w:tcPr>
                  <w:tcW w:w="889" w:type="dxa"/>
                  <w:tcBorders>
                    <w:top w:val="single" w:color="000000" w:sz="4" w:space="0"/>
                    <w:left w:val="single" w:color="000000" w:sz="4" w:space="0"/>
                    <w:bottom w:val="single" w:color="000000" w:sz="4" w:space="0"/>
                    <w:right w:val="single" w:color="000000" w:sz="4" w:space="0"/>
                  </w:tcBorders>
                  <w:shd w:val="clear" w:color="auto" w:fill="E7E6E6" w:themeFill="background2"/>
                  <w:noWrap w:val="0"/>
                  <w:vAlign w:val="center"/>
                </w:tcPr>
                <w:p w14:paraId="565A6647">
                  <w:pPr>
                    <w:pageBreakBefore w:val="0"/>
                    <w:kinsoku/>
                    <w:wordWrap w:val="0"/>
                    <w:overflowPunct/>
                    <w:topLinePunct w:val="0"/>
                    <w:bidi w:val="0"/>
                    <w:adjustRightInd w:val="0"/>
                    <w:snapToGrid w:val="0"/>
                    <w:spacing w:line="4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w:t>
                  </w:r>
                </w:p>
              </w:tc>
              <w:tc>
                <w:tcPr>
                  <w:tcW w:w="836" w:type="dxa"/>
                  <w:tcBorders>
                    <w:top w:val="single" w:color="000000" w:sz="4" w:space="0"/>
                    <w:left w:val="single" w:color="000000" w:sz="4" w:space="0"/>
                    <w:bottom w:val="single" w:color="000000" w:sz="4" w:space="0"/>
                    <w:right w:val="single" w:color="000000" w:sz="4" w:space="0"/>
                  </w:tcBorders>
                  <w:shd w:val="clear" w:color="auto" w:fill="E7E6E6" w:themeFill="background2"/>
                  <w:noWrap w:val="0"/>
                  <w:vAlign w:val="center"/>
                </w:tcPr>
                <w:p w14:paraId="421ABE77">
                  <w:pPr>
                    <w:pageBreakBefore w:val="0"/>
                    <w:kinsoku/>
                    <w:wordWrap w:val="0"/>
                    <w:overflowPunct/>
                    <w:topLinePunct w:val="0"/>
                    <w:bidi w:val="0"/>
                    <w:adjustRightInd w:val="0"/>
                    <w:snapToGrid w:val="0"/>
                    <w:spacing w:line="4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w:t>
                  </w:r>
                </w:p>
              </w:tc>
              <w:tc>
                <w:tcPr>
                  <w:tcW w:w="870" w:type="dxa"/>
                  <w:tcBorders>
                    <w:top w:val="single" w:color="000000" w:sz="4" w:space="0"/>
                    <w:left w:val="single" w:color="000000" w:sz="4" w:space="0"/>
                    <w:bottom w:val="single" w:color="000000" w:sz="4" w:space="0"/>
                    <w:right w:val="single" w:color="000000" w:sz="4" w:space="0"/>
                  </w:tcBorders>
                  <w:shd w:val="clear" w:color="auto" w:fill="E7E6E6" w:themeFill="background2"/>
                  <w:noWrap w:val="0"/>
                  <w:vAlign w:val="center"/>
                </w:tcPr>
                <w:p w14:paraId="2F2C4AB8">
                  <w:pPr>
                    <w:pageBreakBefore w:val="0"/>
                    <w:kinsoku/>
                    <w:wordWrap w:val="0"/>
                    <w:overflowPunct/>
                    <w:topLinePunct w:val="0"/>
                    <w:bidi w:val="0"/>
                    <w:adjustRightInd w:val="0"/>
                    <w:snapToGrid w:val="0"/>
                    <w:spacing w:line="4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17</w:t>
                  </w:r>
                </w:p>
              </w:tc>
              <w:tc>
                <w:tcPr>
                  <w:tcW w:w="854" w:type="dxa"/>
                  <w:tcBorders>
                    <w:top w:val="single" w:color="000000" w:sz="4" w:space="0"/>
                    <w:left w:val="single" w:color="000000" w:sz="4" w:space="0"/>
                    <w:bottom w:val="single" w:color="000000" w:sz="4" w:space="0"/>
                    <w:right w:val="single" w:color="000000" w:sz="4" w:space="0"/>
                  </w:tcBorders>
                  <w:shd w:val="clear" w:color="auto" w:fill="E7E6E6" w:themeFill="background2"/>
                  <w:noWrap w:val="0"/>
                  <w:vAlign w:val="center"/>
                </w:tcPr>
                <w:p w14:paraId="171AA9B3">
                  <w:pPr>
                    <w:pageBreakBefore w:val="0"/>
                    <w:kinsoku/>
                    <w:wordWrap w:val="0"/>
                    <w:overflowPunct/>
                    <w:topLinePunct w:val="0"/>
                    <w:bidi w:val="0"/>
                    <w:adjustRightInd w:val="0"/>
                    <w:snapToGrid w:val="0"/>
                    <w:spacing w:line="4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18</w:t>
                  </w:r>
                </w:p>
              </w:tc>
              <w:tc>
                <w:tcPr>
                  <w:tcW w:w="888" w:type="dxa"/>
                  <w:tcBorders>
                    <w:top w:val="single" w:color="000000" w:sz="4" w:space="0"/>
                    <w:left w:val="single" w:color="000000" w:sz="4" w:space="0"/>
                    <w:bottom w:val="single" w:color="000000" w:sz="4" w:space="0"/>
                    <w:right w:val="single" w:color="000000" w:sz="4" w:space="0"/>
                  </w:tcBorders>
                  <w:shd w:val="clear" w:color="auto" w:fill="E7E6E6" w:themeFill="background2"/>
                  <w:noWrap w:val="0"/>
                  <w:vAlign w:val="center"/>
                </w:tcPr>
                <w:p w14:paraId="332A3C8E">
                  <w:pPr>
                    <w:pageBreakBefore w:val="0"/>
                    <w:kinsoku/>
                    <w:wordWrap w:val="0"/>
                    <w:overflowPunct/>
                    <w:topLinePunct w:val="0"/>
                    <w:bidi w:val="0"/>
                    <w:adjustRightInd w:val="0"/>
                    <w:snapToGrid w:val="0"/>
                    <w:spacing w:line="4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19</w:t>
                  </w:r>
                </w:p>
              </w:tc>
              <w:tc>
                <w:tcPr>
                  <w:tcW w:w="835" w:type="dxa"/>
                  <w:tcBorders>
                    <w:top w:val="single" w:color="000000" w:sz="4" w:space="0"/>
                    <w:left w:val="single" w:color="000000" w:sz="4" w:space="0"/>
                    <w:bottom w:val="single" w:color="000000" w:sz="4" w:space="0"/>
                    <w:right w:val="single" w:color="000000" w:sz="4" w:space="0"/>
                  </w:tcBorders>
                  <w:shd w:val="clear" w:color="auto" w:fill="E7E6E6" w:themeFill="background2"/>
                  <w:noWrap w:val="0"/>
                  <w:vAlign w:val="center"/>
                </w:tcPr>
                <w:p w14:paraId="2096E10E">
                  <w:pPr>
                    <w:pageBreakBefore w:val="0"/>
                    <w:kinsoku/>
                    <w:wordWrap w:val="0"/>
                    <w:overflowPunct/>
                    <w:topLinePunct w:val="0"/>
                    <w:bidi w:val="0"/>
                    <w:adjustRightInd w:val="0"/>
                    <w:snapToGrid w:val="0"/>
                    <w:spacing w:line="4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20</w:t>
                  </w:r>
                </w:p>
              </w:tc>
              <w:tc>
                <w:tcPr>
                  <w:tcW w:w="959" w:type="dxa"/>
                  <w:tcBorders>
                    <w:top w:val="single" w:color="000000" w:sz="4" w:space="0"/>
                    <w:left w:val="single" w:color="000000" w:sz="4" w:space="0"/>
                    <w:bottom w:val="single" w:color="000000" w:sz="4" w:space="0"/>
                    <w:right w:val="single" w:color="000000" w:sz="4" w:space="0"/>
                  </w:tcBorders>
                  <w:shd w:val="clear" w:color="auto" w:fill="E7E6E6" w:themeFill="background2"/>
                  <w:noWrap w:val="0"/>
                  <w:vAlign w:val="center"/>
                </w:tcPr>
                <w:p w14:paraId="6F8F9B40">
                  <w:pPr>
                    <w:pageBreakBefore w:val="0"/>
                    <w:kinsoku/>
                    <w:wordWrap w:val="0"/>
                    <w:overflowPunct/>
                    <w:topLinePunct w:val="0"/>
                    <w:bidi w:val="0"/>
                    <w:adjustRightInd w:val="0"/>
                    <w:snapToGrid w:val="0"/>
                    <w:spacing w:line="400" w:lineRule="exact"/>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21</w:t>
                  </w:r>
                </w:p>
              </w:tc>
            </w:tr>
            <w:tr w14:paraId="70A51974">
              <w:tblPrEx>
                <w:tblCellMar>
                  <w:top w:w="0" w:type="dxa"/>
                  <w:left w:w="108" w:type="dxa"/>
                  <w:bottom w:w="0" w:type="dxa"/>
                  <w:right w:w="108" w:type="dxa"/>
                </w:tblCellMar>
              </w:tblPrEx>
              <w:trPr>
                <w:trHeight w:val="578" w:hRule="atLeast"/>
                <w:jc w:val="center"/>
              </w:trPr>
              <w:tc>
                <w:tcPr>
                  <w:tcW w:w="1744" w:type="dxa"/>
                  <w:tcBorders>
                    <w:top w:val="single" w:color="000000" w:sz="4" w:space="0"/>
                    <w:left w:val="single" w:color="000000" w:sz="4" w:space="0"/>
                    <w:bottom w:val="single" w:color="000000" w:sz="4" w:space="0"/>
                    <w:right w:val="single" w:color="000000" w:sz="4" w:space="0"/>
                  </w:tcBorders>
                  <w:noWrap w:val="0"/>
                  <w:vAlign w:val="center"/>
                </w:tcPr>
                <w:p w14:paraId="603B2715">
                  <w:pPr>
                    <w:pageBreakBefore w:val="0"/>
                    <w:kinsoku/>
                    <w:wordWrap w:val="0"/>
                    <w:overflowPunct/>
                    <w:topLinePunct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4FD9809D">
                  <w:pPr>
                    <w:pageBreakBefore w:val="0"/>
                    <w:kinsoku/>
                    <w:wordWrap w:val="0"/>
                    <w:overflowPunct/>
                    <w:topLinePunct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6B22A758">
                  <w:pPr>
                    <w:pageBreakBefore w:val="0"/>
                    <w:kinsoku/>
                    <w:wordWrap w:val="0"/>
                    <w:overflowPunct/>
                    <w:topLinePunct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2.5</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53FFCEDC">
                  <w:pPr>
                    <w:pageBreakBefore w:val="0"/>
                    <w:kinsoku/>
                    <w:wordWrap w:val="0"/>
                    <w:overflowPunct/>
                    <w:topLinePunct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2.6</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01748FCC">
                  <w:pPr>
                    <w:pageBreakBefore w:val="0"/>
                    <w:kinsoku/>
                    <w:wordWrap w:val="0"/>
                    <w:overflowPunct/>
                    <w:topLinePunct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2.7</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68CE78D4">
                  <w:pPr>
                    <w:pageBreakBefore w:val="0"/>
                    <w:kinsoku/>
                    <w:wordWrap w:val="0"/>
                    <w:overflowPunct/>
                    <w:topLinePunct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2.8</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45FF36F9">
                  <w:pPr>
                    <w:pageBreakBefore w:val="0"/>
                    <w:kinsoku/>
                    <w:wordWrap w:val="0"/>
                    <w:overflowPunct/>
                    <w:topLinePunct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2.9</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5FBCE2A8">
                  <w:pPr>
                    <w:pageBreakBefore w:val="0"/>
                    <w:kinsoku/>
                    <w:wordWrap w:val="0"/>
                    <w:overflowPunct/>
                    <w:topLinePunct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3.0</w:t>
                  </w:r>
                </w:p>
              </w:tc>
            </w:tr>
          </w:tbl>
          <w:p w14:paraId="0D2E99BB">
            <w:pPr>
              <w:pageBreakBefore w:val="0"/>
              <w:kinsoku/>
              <w:wordWrap w:val="0"/>
              <w:overflowPunct/>
              <w:topLinePunct w:val="0"/>
              <w:bidi w:val="0"/>
              <w:adjustRightInd w:val="0"/>
              <w:snapToGrid w:val="0"/>
              <w:spacing w:line="400" w:lineRule="exact"/>
              <w:jc w:val="left"/>
              <w:rPr>
                <w:rFonts w:hint="eastAsia" w:ascii="宋体" w:hAnsi="宋体" w:eastAsia="宋体" w:cs="宋体"/>
                <w:snapToGrid w:val="0"/>
                <w:color w:val="auto"/>
                <w:kern w:val="0"/>
                <w:sz w:val="24"/>
                <w:szCs w:val="24"/>
                <w:highlight w:val="none"/>
              </w:rPr>
            </w:pPr>
          </w:p>
          <w:p w14:paraId="0E28589D">
            <w:pPr>
              <w:pageBreakBefore w:val="0"/>
              <w:kinsoku/>
              <w:wordWrap w:val="0"/>
              <w:overflowPunct/>
              <w:topLinePunct w:val="0"/>
              <w:bidi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（2）评标基准价D＝最高投标限价×（1－n）</w:t>
            </w:r>
          </w:p>
        </w:tc>
      </w:tr>
      <w:tr w14:paraId="5CA6BD6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386" w:hRule="atLeas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4F90A481">
            <w:pPr>
              <w:pageBreakBefore w:val="0"/>
              <w:kinsoku/>
              <w:wordWrap w:val="0"/>
              <w:overflowPunct/>
              <w:topLinePunct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w:t>
            </w:r>
          </w:p>
          <w:p w14:paraId="19250CAC">
            <w:pPr>
              <w:pageBreakBefore w:val="0"/>
              <w:kinsoku/>
              <w:wordWrap w:val="0"/>
              <w:overflowPunct/>
              <w:topLinePunct w:val="0"/>
              <w:bidi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得分N</w:t>
            </w:r>
          </w:p>
        </w:tc>
        <w:tc>
          <w:tcPr>
            <w:tcW w:w="8765" w:type="dxa"/>
            <w:gridSpan w:val="2"/>
            <w:tcBorders>
              <w:top w:val="single" w:color="auto" w:sz="4" w:space="0"/>
              <w:left w:val="single" w:color="auto" w:sz="4" w:space="0"/>
              <w:bottom w:val="single" w:color="auto" w:sz="4" w:space="0"/>
              <w:right w:val="single" w:color="auto" w:sz="4" w:space="0"/>
            </w:tcBorders>
            <w:noWrap w:val="0"/>
            <w:vAlign w:val="center"/>
          </w:tcPr>
          <w:p w14:paraId="0331F54C">
            <w:pPr>
              <w:pageBreakBefore w:val="0"/>
              <w:kinsoku/>
              <w:wordWrap w:val="0"/>
              <w:overflowPunct/>
              <w:topLinePunct w:val="0"/>
              <w:bidi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采用内插法计算某投标人的投标报价得分N，即当投标人的投标总价等于评标基准价时得100分，每高于评标基准价一个百分点扣1分，每低于评标基准价一个百分点扣0.5分，扣完为止。公式如下：</w:t>
            </w:r>
          </w:p>
          <w:p w14:paraId="66C8E4A8">
            <w:pPr>
              <w:pageBreakBefore w:val="0"/>
              <w:kinsoku/>
              <w:wordWrap w:val="0"/>
              <w:overflowPunct/>
              <w:topLinePunct w:val="0"/>
              <w:bidi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N＝100－（| Di－D | ÷D）×100×E</w:t>
            </w:r>
          </w:p>
          <w:p w14:paraId="4C8EC3C7">
            <w:pPr>
              <w:pageBreakBefore w:val="0"/>
              <w:kinsoku/>
              <w:wordWrap w:val="0"/>
              <w:overflowPunct/>
              <w:topLinePunct w:val="0"/>
              <w:bidi w:val="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式中：D为评标基准价；Di为某投标人的投标总价；E为扣分因子，当Di＞D时，E＝1 ；当Di＜D时，E＝0.5。</w:t>
            </w:r>
          </w:p>
        </w:tc>
      </w:tr>
    </w:tbl>
    <w:p w14:paraId="5B313CBC">
      <w:pPr>
        <w:pageBreakBefore w:val="0"/>
        <w:kinsoku/>
        <w:wordWrap w:val="0"/>
        <w:overflowPunct/>
        <w:topLinePunct w:val="0"/>
        <w:bidi w:val="0"/>
        <w:spacing w:before="155" w:line="211" w:lineRule="auto"/>
        <w:ind w:firstLine="470" w:firstLineChars="200"/>
        <w:outlineLvl w:val="9"/>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 xml:space="preserve">.2  </w:t>
      </w:r>
      <w:r>
        <w:rPr>
          <w:rFonts w:hint="eastAsia" w:ascii="宋体" w:hAnsi="宋体" w:eastAsia="宋体" w:cs="宋体"/>
          <w:color w:val="auto"/>
          <w:spacing w:val="-3"/>
          <w:sz w:val="24"/>
          <w:szCs w:val="24"/>
          <w:highlight w:val="none"/>
        </w:rPr>
        <w:t>否决投标说明</w:t>
      </w:r>
      <w:bookmarkEnd w:id="132"/>
      <w:bookmarkEnd w:id="133"/>
      <w:bookmarkEnd w:id="134"/>
      <w:bookmarkEnd w:id="135"/>
    </w:p>
    <w:p w14:paraId="7B89C24C">
      <w:pPr>
        <w:pageBreakBefore w:val="0"/>
        <w:kinsoku/>
        <w:wordWrap w:val="0"/>
        <w:overflowPunct/>
        <w:topLinePunct w:val="0"/>
        <w:bidi w:val="0"/>
        <w:spacing w:before="150" w:line="332" w:lineRule="auto"/>
        <w:ind w:left="10" w:right="195" w:firstLine="564"/>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详细评审阶段否决投标的全部条件，在本章第四节“否决投标条件 ”第1条至第4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77A7E139">
      <w:pPr>
        <w:pageBreakBefore w:val="0"/>
        <w:kinsoku/>
        <w:wordWrap w:val="0"/>
        <w:overflowPunct/>
        <w:topLinePunct w:val="0"/>
        <w:bidi w:val="0"/>
        <w:spacing w:before="59" w:line="330" w:lineRule="auto"/>
        <w:ind w:left="10" w:right="195"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p>
    <w:p w14:paraId="061D711F">
      <w:pPr>
        <w:pStyle w:val="5"/>
        <w:keepNext w:val="0"/>
        <w:keepLines w:val="0"/>
        <w:pageBreakBefore w:val="0"/>
        <w:widowControl w:val="0"/>
        <w:kinsoku/>
        <w:wordWrap w:val="0"/>
        <w:overflowPunct/>
        <w:topLinePunct w:val="0"/>
        <w:autoSpaceDE/>
        <w:autoSpaceDN/>
        <w:bidi w:val="0"/>
        <w:adjustRightInd/>
        <w:snapToGrid/>
        <w:spacing w:before="0" w:beforeLines="0" w:after="0" w:afterLines="0" w:line="440" w:lineRule="exact"/>
        <w:ind w:firstLine="480"/>
        <w:jc w:val="both"/>
        <w:textAlignment w:val="auto"/>
        <w:rPr>
          <w:rFonts w:hint="eastAsia" w:ascii="宋体" w:hAnsi="宋体" w:eastAsia="宋体" w:cs="宋体"/>
          <w:b/>
          <w:snapToGrid w:val="0"/>
          <w:color w:val="auto"/>
          <w:sz w:val="24"/>
          <w:szCs w:val="24"/>
          <w:highlight w:val="none"/>
        </w:rPr>
      </w:pPr>
      <w:bookmarkStart w:id="136" w:name="bookmark138"/>
      <w:bookmarkEnd w:id="136"/>
      <w:bookmarkStart w:id="137" w:name="bookmark137"/>
      <w:bookmarkEnd w:id="137"/>
      <w:bookmarkStart w:id="138" w:name="_Toc2769"/>
      <w:bookmarkStart w:id="139" w:name="_Toc13897"/>
      <w:bookmarkStart w:id="140" w:name="_Toc7762"/>
      <w:bookmarkStart w:id="141" w:name="_Toc19232"/>
      <w:bookmarkStart w:id="142" w:name="_Toc18711"/>
      <w:bookmarkStart w:id="143" w:name="_Toc10482"/>
      <w:bookmarkStart w:id="144" w:name="_Toc10900"/>
      <w:r>
        <w:rPr>
          <w:rFonts w:hint="eastAsia" w:ascii="宋体" w:hAnsi="宋体" w:eastAsia="宋体" w:cs="宋体"/>
          <w:b/>
          <w:snapToGrid w:val="0"/>
          <w:color w:val="auto"/>
          <w:sz w:val="24"/>
          <w:szCs w:val="24"/>
          <w:highlight w:val="none"/>
        </w:rPr>
        <w:t>16．</w:t>
      </w:r>
      <w:bookmarkEnd w:id="138"/>
      <w:bookmarkEnd w:id="139"/>
      <w:bookmarkEnd w:id="140"/>
      <w:bookmarkEnd w:id="141"/>
      <w:bookmarkEnd w:id="142"/>
      <w:r>
        <w:rPr>
          <w:rFonts w:hint="eastAsia" w:ascii="宋体" w:hAnsi="宋体" w:eastAsia="宋体" w:cs="宋体"/>
          <w:b/>
          <w:snapToGrid w:val="0"/>
          <w:color w:val="auto"/>
          <w:sz w:val="24"/>
          <w:szCs w:val="24"/>
          <w:highlight w:val="none"/>
          <w:lang w:eastAsia="zh-CN"/>
        </w:rPr>
        <w:t>评标结果公示</w:t>
      </w:r>
      <w:bookmarkEnd w:id="143"/>
      <w:bookmarkEnd w:id="144"/>
    </w:p>
    <w:p w14:paraId="7F32E151">
      <w:pPr>
        <w:keepNext w:val="0"/>
        <w:keepLines w:val="0"/>
        <w:pageBreakBefore w:val="0"/>
        <w:widowControl w:val="0"/>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w:t>
      </w:r>
      <w:r>
        <w:rPr>
          <w:rFonts w:hint="eastAsia" w:ascii="宋体" w:hAnsi="宋体" w:eastAsia="宋体" w:cs="宋体"/>
          <w:snapToGrid w:val="0"/>
          <w:color w:val="auto"/>
          <w:kern w:val="0"/>
          <w:sz w:val="24"/>
          <w:szCs w:val="24"/>
          <w:highlight w:val="none"/>
        </w:rPr>
        <w:t xml:space="preserve"> 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评标委员会推荐定标候选人后，</w:t>
      </w:r>
      <w:r>
        <w:rPr>
          <w:rFonts w:hint="eastAsia" w:ascii="宋体" w:hAnsi="宋体" w:eastAsia="宋体" w:cs="宋体"/>
          <w:snapToGrid w:val="0"/>
          <w:color w:val="auto"/>
          <w:kern w:val="0"/>
          <w:sz w:val="24"/>
          <w:szCs w:val="24"/>
          <w:highlight w:val="none"/>
        </w:rPr>
        <w:t>招标人应</w:t>
      </w:r>
      <w:r>
        <w:rPr>
          <w:rFonts w:hint="eastAsia" w:ascii="宋体" w:hAnsi="宋体" w:eastAsia="宋体" w:cs="宋体"/>
          <w:snapToGrid w:val="0"/>
          <w:color w:val="auto"/>
          <w:kern w:val="0"/>
          <w:sz w:val="24"/>
          <w:szCs w:val="24"/>
          <w:highlight w:val="none"/>
          <w:lang w:eastAsia="zh-CN"/>
        </w:rPr>
        <w:t>于评标会结束后</w:t>
      </w:r>
      <w:r>
        <w:rPr>
          <w:rFonts w:hint="eastAsia" w:ascii="宋体" w:hAnsi="宋体" w:eastAsia="宋体" w:cs="宋体"/>
          <w:snapToGrid w:val="0"/>
          <w:color w:val="auto"/>
          <w:kern w:val="0"/>
          <w:sz w:val="24"/>
          <w:szCs w:val="24"/>
          <w:highlight w:val="none"/>
          <w:lang w:val="en-US" w:eastAsia="zh-CN"/>
        </w:rPr>
        <w:t>3日内将</w:t>
      </w:r>
      <w:r>
        <w:rPr>
          <w:rFonts w:hint="eastAsia" w:ascii="宋体" w:hAnsi="宋体" w:eastAsia="宋体" w:cs="宋体"/>
          <w:snapToGrid w:val="0"/>
          <w:color w:val="auto"/>
          <w:kern w:val="0"/>
          <w:sz w:val="24"/>
          <w:szCs w:val="24"/>
          <w:highlight w:val="none"/>
          <w:lang w:eastAsia="zh-CN"/>
        </w:rPr>
        <w:t>定</w:t>
      </w:r>
      <w:r>
        <w:rPr>
          <w:rFonts w:hint="eastAsia" w:ascii="宋体" w:hAnsi="宋体" w:eastAsia="宋体" w:cs="宋体"/>
          <w:snapToGrid w:val="0"/>
          <w:color w:val="auto"/>
          <w:kern w:val="0"/>
          <w:sz w:val="24"/>
          <w:szCs w:val="24"/>
          <w:highlight w:val="none"/>
        </w:rPr>
        <w:t>标候选</w:t>
      </w:r>
      <w:r>
        <w:rPr>
          <w:rFonts w:hint="eastAsia" w:ascii="宋体" w:hAnsi="宋体" w:eastAsia="宋体" w:cs="宋体"/>
          <w:snapToGrid w:val="0"/>
          <w:color w:val="auto"/>
          <w:kern w:val="0"/>
          <w:sz w:val="24"/>
          <w:szCs w:val="24"/>
          <w:highlight w:val="none"/>
          <w:lang w:eastAsia="zh-CN"/>
        </w:rPr>
        <w:t>人和评标情况</w:t>
      </w:r>
      <w:r>
        <w:rPr>
          <w:rFonts w:hint="eastAsia" w:ascii="宋体" w:hAnsi="宋体" w:eastAsia="宋体" w:cs="宋体"/>
          <w:snapToGrid w:val="0"/>
          <w:color w:val="auto"/>
          <w:kern w:val="0"/>
          <w:sz w:val="24"/>
          <w:szCs w:val="24"/>
          <w:highlight w:val="none"/>
          <w:lang w:val="en-US" w:eastAsia="zh-CN"/>
        </w:rPr>
        <w:t>在广东省招标投标监管网和</w:t>
      </w:r>
      <w:r>
        <w:rPr>
          <w:rFonts w:hint="eastAsia" w:ascii="宋体" w:hAnsi="宋体" w:eastAsia="宋体" w:cs="宋体"/>
          <w:snapToGrid w:val="0"/>
          <w:color w:val="auto"/>
          <w:kern w:val="0"/>
          <w:sz w:val="24"/>
          <w:szCs w:val="24"/>
          <w:highlight w:val="none"/>
        </w:rPr>
        <w:t>韶关市公共资源交易中心</w:t>
      </w:r>
      <w:r>
        <w:rPr>
          <w:rFonts w:hint="eastAsia" w:ascii="宋体" w:hAnsi="宋体" w:eastAsia="宋体" w:cs="宋体"/>
          <w:snapToGrid w:val="0"/>
          <w:color w:val="auto"/>
          <w:kern w:val="0"/>
          <w:sz w:val="24"/>
          <w:szCs w:val="24"/>
          <w:highlight w:val="none"/>
          <w:lang w:eastAsia="zh-CN"/>
        </w:rPr>
        <w:t>建设工程交易系统</w:t>
      </w:r>
      <w:r>
        <w:rPr>
          <w:rFonts w:hint="eastAsia" w:ascii="宋体" w:hAnsi="宋体" w:eastAsia="宋体" w:cs="宋体"/>
          <w:snapToGrid w:val="0"/>
          <w:color w:val="auto"/>
          <w:kern w:val="0"/>
          <w:sz w:val="24"/>
          <w:szCs w:val="24"/>
          <w:highlight w:val="none"/>
          <w:lang w:val="en-US" w:eastAsia="zh-CN"/>
        </w:rPr>
        <w:t>上</w:t>
      </w:r>
      <w:r>
        <w:rPr>
          <w:rFonts w:hint="eastAsia" w:ascii="宋体" w:hAnsi="宋体" w:eastAsia="宋体" w:cs="宋体"/>
          <w:snapToGrid w:val="0"/>
          <w:color w:val="auto"/>
          <w:kern w:val="0"/>
          <w:sz w:val="24"/>
          <w:szCs w:val="24"/>
          <w:highlight w:val="none"/>
        </w:rPr>
        <w:t>公示</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公示时间不少于3日。</w:t>
      </w:r>
      <w:r>
        <w:rPr>
          <w:rFonts w:hint="eastAsia" w:ascii="宋体" w:hAnsi="宋体" w:eastAsia="宋体" w:cs="宋体"/>
          <w:snapToGrid w:val="0"/>
          <w:color w:val="auto"/>
          <w:kern w:val="0"/>
          <w:sz w:val="24"/>
          <w:szCs w:val="24"/>
          <w:highlight w:val="none"/>
          <w:lang w:eastAsia="zh-CN"/>
        </w:rPr>
        <w:t>公示主要内容包括：（</w:t>
      </w:r>
      <w:r>
        <w:rPr>
          <w:rFonts w:hint="eastAsia" w:ascii="宋体" w:hAnsi="宋体" w:eastAsia="宋体" w:cs="宋体"/>
          <w:snapToGrid w:val="0"/>
          <w:color w:val="auto"/>
          <w:kern w:val="0"/>
          <w:sz w:val="24"/>
          <w:szCs w:val="24"/>
          <w:highlight w:val="none"/>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48FF15C5">
      <w:pPr>
        <w:pageBreakBefore w:val="0"/>
        <w:kinsoku/>
        <w:wordWrap w:val="0"/>
        <w:overflowPunct/>
        <w:topLinePunct w:val="0"/>
        <w:bidi w:val="0"/>
        <w:spacing w:before="78" w:line="220" w:lineRule="auto"/>
        <w:ind w:left="9"/>
        <w:jc w:val="center"/>
        <w:outlineLvl w:val="1"/>
        <w:rPr>
          <w:rFonts w:hint="eastAsia" w:ascii="宋体" w:hAnsi="宋体" w:eastAsia="宋体" w:cs="宋体"/>
          <w:b/>
          <w:bCs/>
          <w:color w:val="auto"/>
          <w:spacing w:val="-3"/>
          <w:sz w:val="24"/>
          <w:szCs w:val="24"/>
          <w:highlight w:val="none"/>
        </w:rPr>
      </w:pPr>
    </w:p>
    <w:p w14:paraId="4E2EF6D0">
      <w:pPr>
        <w:pageBreakBefore w:val="0"/>
        <w:kinsoku/>
        <w:wordWrap w:val="0"/>
        <w:overflowPunct/>
        <w:topLinePunct w:val="0"/>
        <w:bidi w:val="0"/>
        <w:spacing w:before="78" w:line="220" w:lineRule="auto"/>
        <w:ind w:left="9"/>
        <w:jc w:val="center"/>
        <w:outlineLvl w:val="1"/>
        <w:rPr>
          <w:rFonts w:hint="eastAsia" w:ascii="宋体" w:hAnsi="宋体" w:eastAsia="宋体" w:cs="宋体"/>
          <w:b/>
          <w:bCs/>
          <w:color w:val="auto"/>
          <w:spacing w:val="-3"/>
          <w:sz w:val="24"/>
          <w:szCs w:val="24"/>
          <w:highlight w:val="none"/>
        </w:rPr>
      </w:pPr>
    </w:p>
    <w:p w14:paraId="63F4223C">
      <w:pPr>
        <w:pageBreakBefore w:val="0"/>
        <w:kinsoku/>
        <w:wordWrap w:val="0"/>
        <w:overflowPunct/>
        <w:topLinePunct w:val="0"/>
        <w:bidi w:val="0"/>
        <w:spacing w:before="78" w:line="220" w:lineRule="auto"/>
        <w:ind w:left="9"/>
        <w:jc w:val="center"/>
        <w:outlineLvl w:val="1"/>
        <w:rPr>
          <w:rFonts w:hint="eastAsia" w:ascii="宋体" w:hAnsi="宋体" w:eastAsia="宋体" w:cs="宋体"/>
          <w:b/>
          <w:bCs/>
          <w:color w:val="auto"/>
          <w:spacing w:val="-3"/>
          <w:sz w:val="24"/>
          <w:szCs w:val="24"/>
          <w:highlight w:val="none"/>
        </w:rPr>
      </w:pPr>
    </w:p>
    <w:p w14:paraId="30641AEE">
      <w:pPr>
        <w:rPr>
          <w:rFonts w:hint="eastAsia" w:ascii="宋体" w:hAnsi="宋体" w:eastAsia="宋体" w:cs="宋体"/>
          <w:b/>
          <w:bCs/>
          <w:color w:val="auto"/>
          <w:spacing w:val="-3"/>
          <w:sz w:val="24"/>
          <w:szCs w:val="24"/>
          <w:highlight w:val="none"/>
        </w:rPr>
      </w:pPr>
      <w:bookmarkStart w:id="145" w:name="_Toc5273"/>
      <w:r>
        <w:rPr>
          <w:rFonts w:hint="eastAsia" w:ascii="宋体" w:hAnsi="宋体" w:eastAsia="宋体" w:cs="宋体"/>
          <w:b/>
          <w:bCs/>
          <w:color w:val="auto"/>
          <w:spacing w:val="-3"/>
          <w:sz w:val="24"/>
          <w:szCs w:val="24"/>
          <w:highlight w:val="none"/>
        </w:rPr>
        <w:br w:type="page"/>
      </w:r>
    </w:p>
    <w:p w14:paraId="0B19371A">
      <w:pPr>
        <w:pageBreakBefore w:val="0"/>
        <w:kinsoku/>
        <w:wordWrap w:val="0"/>
        <w:overflowPunct/>
        <w:topLinePunct w:val="0"/>
        <w:bidi w:val="0"/>
        <w:spacing w:before="78" w:line="220" w:lineRule="auto"/>
        <w:ind w:left="9"/>
        <w:jc w:val="center"/>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否决投标条件</w:t>
      </w:r>
      <w:bookmarkEnd w:id="145"/>
    </w:p>
    <w:p w14:paraId="1EFFC73A">
      <w:pPr>
        <w:pStyle w:val="3"/>
        <w:pageBreakBefore w:val="0"/>
        <w:kinsoku/>
        <w:wordWrap w:val="0"/>
        <w:overflowPunct/>
        <w:topLinePunct w:val="0"/>
        <w:bidi w:val="0"/>
        <w:spacing w:line="256" w:lineRule="auto"/>
        <w:rPr>
          <w:rFonts w:hint="eastAsia" w:ascii="宋体" w:hAnsi="宋体" w:eastAsia="宋体" w:cs="宋体"/>
          <w:color w:val="auto"/>
          <w:highlight w:val="none"/>
        </w:rPr>
      </w:pPr>
    </w:p>
    <w:p w14:paraId="70DA8BCC">
      <w:pPr>
        <w:pageBreakBefore w:val="0"/>
        <w:kinsoku/>
        <w:wordWrap w:val="0"/>
        <w:overflowPunct/>
        <w:topLinePunct w:val="0"/>
        <w:bidi w:val="0"/>
        <w:spacing w:before="78" w:line="330" w:lineRule="auto"/>
        <w:ind w:left="10" w:right="65"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本节所集中列示的否决投标条件，是本章第三节“投标人须知正文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3"/>
          <w:sz w:val="24"/>
          <w:szCs w:val="24"/>
          <w:highlight w:val="none"/>
        </w:rPr>
        <w:t>”的组成部分，</w:t>
      </w:r>
      <w:r>
        <w:rPr>
          <w:rFonts w:hint="eastAsia" w:ascii="宋体" w:hAnsi="宋体" w:eastAsia="宋体" w:cs="宋体"/>
          <w:color w:val="auto"/>
          <w:spacing w:val="-2"/>
          <w:sz w:val="24"/>
          <w:szCs w:val="24"/>
          <w:highlight w:val="none"/>
        </w:rPr>
        <w:t>是对本章第三节所规定的否决投标条件的总</w:t>
      </w:r>
      <w:r>
        <w:rPr>
          <w:rFonts w:hint="eastAsia" w:ascii="宋体" w:hAnsi="宋体" w:eastAsia="宋体" w:cs="宋体"/>
          <w:color w:val="auto"/>
          <w:spacing w:val="-3"/>
          <w:sz w:val="24"/>
          <w:szCs w:val="24"/>
          <w:highlight w:val="none"/>
        </w:rPr>
        <w:t>结和补充。</w:t>
      </w:r>
      <w:r>
        <w:rPr>
          <w:rFonts w:hint="eastAsia" w:ascii="宋体" w:hAnsi="宋体" w:eastAsia="宋体" w:cs="宋体"/>
          <w:b/>
          <w:bCs/>
          <w:color w:val="auto"/>
          <w:spacing w:val="-3"/>
          <w:sz w:val="24"/>
          <w:szCs w:val="24"/>
          <w:highlight w:val="none"/>
        </w:rPr>
        <w:t>投标人未有列入本节情形的，评</w:t>
      </w:r>
      <w:r>
        <w:rPr>
          <w:rFonts w:hint="eastAsia" w:ascii="宋体" w:hAnsi="宋体" w:eastAsia="宋体" w:cs="宋体"/>
          <w:b/>
          <w:bCs/>
          <w:color w:val="auto"/>
          <w:spacing w:val="-2"/>
          <w:sz w:val="24"/>
          <w:szCs w:val="24"/>
          <w:highlight w:val="none"/>
        </w:rPr>
        <w:t>标时一律不得否决其投标。</w:t>
      </w:r>
      <w:r>
        <w:rPr>
          <w:rFonts w:hint="eastAsia" w:ascii="宋体" w:hAnsi="宋体" w:eastAsia="宋体" w:cs="宋体"/>
          <w:color w:val="auto"/>
          <w:spacing w:val="-2"/>
          <w:sz w:val="24"/>
          <w:szCs w:val="24"/>
          <w:highlight w:val="none"/>
        </w:rPr>
        <w:t>本节所称“规定</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”均指招标文件的规</w:t>
      </w:r>
      <w:r>
        <w:rPr>
          <w:rFonts w:hint="eastAsia" w:ascii="宋体" w:hAnsi="宋体" w:eastAsia="宋体" w:cs="宋体"/>
          <w:color w:val="auto"/>
          <w:spacing w:val="-3"/>
          <w:sz w:val="24"/>
          <w:szCs w:val="24"/>
          <w:highlight w:val="none"/>
        </w:rPr>
        <w:t>定。</w:t>
      </w:r>
    </w:p>
    <w:p w14:paraId="5C70497D">
      <w:pPr>
        <w:pageBreakBefore w:val="0"/>
        <w:kinsoku/>
        <w:wordWrap w:val="0"/>
        <w:overflowPunct/>
        <w:topLinePunct w:val="0"/>
        <w:bidi w:val="0"/>
        <w:spacing w:before="34" w:line="220" w:lineRule="auto"/>
        <w:ind w:left="495"/>
        <w:outlineLvl w:val="2"/>
        <w:rPr>
          <w:rFonts w:hint="eastAsia" w:ascii="宋体" w:hAnsi="宋体" w:eastAsia="宋体" w:cs="宋体"/>
          <w:color w:val="auto"/>
          <w:sz w:val="24"/>
          <w:szCs w:val="24"/>
          <w:highlight w:val="none"/>
        </w:rPr>
      </w:pPr>
      <w:bookmarkStart w:id="146" w:name="_Toc28653"/>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．资格评审环节</w:t>
      </w:r>
      <w:bookmarkEnd w:id="146"/>
    </w:p>
    <w:p w14:paraId="160261BC">
      <w:pPr>
        <w:pageBreakBefore w:val="0"/>
        <w:kinsoku/>
        <w:wordWrap w:val="0"/>
        <w:overflowPunct/>
        <w:topLinePunct w:val="0"/>
        <w:bidi w:val="0"/>
        <w:spacing w:before="150" w:line="280" w:lineRule="auto"/>
        <w:ind w:right="200" w:firstLine="492"/>
        <w:rPr>
          <w:rFonts w:hint="eastAsia" w:ascii="宋体" w:hAnsi="宋体" w:eastAsia="宋体" w:cs="宋体"/>
          <w:color w:val="auto"/>
          <w:spacing w:val="-3"/>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投标人有下列情形之一的，评标委员会应否决其投标。被否决的投标人，不进入形</w:t>
      </w:r>
      <w:r>
        <w:rPr>
          <w:rFonts w:hint="eastAsia" w:ascii="宋体" w:hAnsi="宋体" w:eastAsia="宋体" w:cs="宋体"/>
          <w:color w:val="auto"/>
          <w:spacing w:val="-3"/>
          <w:sz w:val="24"/>
          <w:szCs w:val="24"/>
          <w:highlight w:val="none"/>
        </w:rPr>
        <w:t>式评审环节。</w:t>
      </w:r>
    </w:p>
    <w:p w14:paraId="0D52E190">
      <w:pPr>
        <w:keepNext w:val="0"/>
        <w:keepLines w:val="0"/>
        <w:pageBreakBefore w:val="0"/>
        <w:widowControl/>
        <w:kinsoku/>
        <w:wordWrap w:val="0"/>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（1）有本章第三节第 2.4 条“禁止投标条款 ”规定的任何一种情形；</w:t>
      </w:r>
    </w:p>
    <w:p w14:paraId="603309E4">
      <w:pPr>
        <w:keepNext w:val="0"/>
        <w:keepLines w:val="0"/>
        <w:pageBreakBefore w:val="0"/>
        <w:widowControl/>
        <w:kinsoku/>
        <w:wordWrap w:val="0"/>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（2）投标人资质不符合规定的；</w:t>
      </w:r>
    </w:p>
    <w:p w14:paraId="5D4AA6B6">
      <w:pPr>
        <w:keepNext w:val="0"/>
        <w:keepLines w:val="0"/>
        <w:pageBreakBefore w:val="0"/>
        <w:widowControl/>
        <w:kinsoku/>
        <w:wordWrap w:val="0"/>
        <w:overflowPunct/>
        <w:topLinePunct w:val="0"/>
        <w:autoSpaceDE w:val="0"/>
        <w:autoSpaceDN w:val="0"/>
        <w:bidi w:val="0"/>
        <w:adjustRightInd w:val="0"/>
        <w:snapToGrid w:val="0"/>
        <w:spacing w:line="360" w:lineRule="auto"/>
        <w:ind w:right="198"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1AEC6BC0">
      <w:pPr>
        <w:keepNext w:val="0"/>
        <w:keepLines w:val="0"/>
        <w:pageBreakBefore w:val="0"/>
        <w:widowControl/>
        <w:kinsoku/>
        <w:wordWrap w:val="0"/>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11696778">
      <w:pPr>
        <w:keepNext w:val="0"/>
        <w:keepLines w:val="0"/>
        <w:pageBreakBefore w:val="0"/>
        <w:widowControl/>
        <w:kinsoku/>
        <w:wordWrap w:val="0"/>
        <w:overflowPunct/>
        <w:topLinePunct w:val="0"/>
        <w:autoSpaceDE w:val="0"/>
        <w:autoSpaceDN w:val="0"/>
        <w:bidi w:val="0"/>
        <w:adjustRightInd w:val="0"/>
        <w:snapToGrid w:val="0"/>
        <w:spacing w:line="360" w:lineRule="auto"/>
        <w:ind w:right="198"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（4）拟派项目经理、项目技术负责人、专职安全员的条件不符合规定的；拟派专职安全员数量不符合规定的；项目技术负责人未在投标文件《项目技术负责人简历表》中签字确认。</w:t>
      </w:r>
    </w:p>
    <w:p w14:paraId="55F4CA10">
      <w:pPr>
        <w:keepNext w:val="0"/>
        <w:keepLines w:val="0"/>
        <w:pageBreakBefore w:val="0"/>
        <w:widowControl/>
        <w:kinsoku/>
        <w:wordWrap w:val="0"/>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项目经理简历表》中拟派项目经理与《开标一览表》不一致的；拟派的项目经理未在投标文件《项目经理简历表》中签字确认；一级建造师的注册证书不是国家住建部颁发的；建造师的注册单位与投标人不一致的；项目管理班子组成人员的各类证书、证件、证明不在有效期内的（建造师注册证书不在使用有效期内的）；擅自修改、遗漏《项目经理任职声明》实质性内容的；</w:t>
      </w:r>
    </w:p>
    <w:p w14:paraId="4E276A57">
      <w:pPr>
        <w:keepNext w:val="0"/>
        <w:keepLines w:val="0"/>
        <w:pageBreakBefore w:val="0"/>
        <w:widowControl/>
        <w:kinsoku/>
        <w:wordWrap w:val="0"/>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注：温馨提示：建造师打印电子证书后，应在个人签名处手写本人签名，未手写签名或与签名图像笔迹不一致的，该电子证书无效。</w:t>
      </w:r>
    </w:p>
    <w:p w14:paraId="1B67E4FD">
      <w:pPr>
        <w:keepNext w:val="0"/>
        <w:keepLines w:val="0"/>
        <w:pageBreakBefore w:val="0"/>
        <w:widowControl/>
        <w:kinsoku/>
        <w:wordWrap w:val="0"/>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投标人已经工商变更，但其员工执业资格注册证书的注册单位名称未完成变更的，不得否决其投标。</w:t>
      </w:r>
    </w:p>
    <w:p w14:paraId="311DFE69">
      <w:pPr>
        <w:keepNext w:val="0"/>
        <w:keepLines w:val="0"/>
        <w:pageBreakBefore w:val="0"/>
        <w:widowControl/>
        <w:kinsoku/>
        <w:wordWrap w:val="0"/>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鉴于目前继续教育开展的实际情况，建筑和市政工程施工现场专业人员（例如：施工员、质量员、材料员、资料员）的岗位证书或培训证书不审查其证书的有效期。</w:t>
      </w:r>
    </w:p>
    <w:p w14:paraId="6C0F58AC">
      <w:pPr>
        <w:keepNext w:val="0"/>
        <w:keepLines w:val="0"/>
        <w:pageBreakBefore w:val="0"/>
        <w:widowControl/>
        <w:kinsoku/>
        <w:wordWrap w:val="0"/>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（6）招标文件规定不接受联合体投标，但以联合体投标的；</w:t>
      </w:r>
    </w:p>
    <w:p w14:paraId="2545E353">
      <w:pPr>
        <w:keepNext w:val="0"/>
        <w:keepLines w:val="0"/>
        <w:pageBreakBefore w:val="0"/>
        <w:widowControl/>
        <w:kinsoku/>
        <w:wordWrap w:val="0"/>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）投标人为外省建筑企业，但未提供“进粤企业和人员诚信信息登记平台 ”企业和拟派人员信息情况打印页或网页截图的。</w:t>
      </w:r>
    </w:p>
    <w:p w14:paraId="40BFB931">
      <w:pPr>
        <w:pageBreakBefore w:val="0"/>
        <w:kinsoku/>
        <w:wordWrap w:val="0"/>
        <w:overflowPunct/>
        <w:topLinePunct w:val="0"/>
        <w:bidi w:val="0"/>
        <w:spacing w:before="154" w:line="221" w:lineRule="auto"/>
        <w:ind w:left="477"/>
        <w:outlineLvl w:val="2"/>
        <w:rPr>
          <w:rFonts w:hint="eastAsia" w:ascii="宋体" w:hAnsi="宋体" w:eastAsia="宋体" w:cs="宋体"/>
          <w:b/>
          <w:bCs/>
          <w:color w:val="auto"/>
          <w:spacing w:val="-7"/>
          <w:sz w:val="24"/>
          <w:szCs w:val="24"/>
          <w:highlight w:val="none"/>
        </w:rPr>
      </w:pPr>
      <w:bookmarkStart w:id="147" w:name="_Toc31049"/>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．形式评审环节</w:t>
      </w:r>
      <w:bookmarkEnd w:id="147"/>
    </w:p>
    <w:p w14:paraId="26483CE3">
      <w:pPr>
        <w:pageBreakBefore w:val="0"/>
        <w:kinsoku/>
        <w:wordWrap w:val="0"/>
        <w:overflowPunct/>
        <w:topLinePunct w:val="0"/>
        <w:bidi w:val="0"/>
        <w:spacing w:before="154" w:line="221" w:lineRule="auto"/>
        <w:ind w:left="0" w:leftChars="0" w:firstLine="472" w:firstLineChars="200"/>
        <w:outlineLvl w:val="2"/>
        <w:rPr>
          <w:rFonts w:hint="eastAsia" w:ascii="宋体" w:hAnsi="宋体" w:eastAsia="宋体" w:cs="宋体"/>
          <w:color w:val="auto"/>
          <w:sz w:val="24"/>
          <w:szCs w:val="24"/>
          <w:highlight w:val="none"/>
        </w:rPr>
      </w:pPr>
      <w:bookmarkStart w:id="148" w:name="_Toc26763"/>
      <w:bookmarkStart w:id="149" w:name="_Toc26781"/>
      <w:r>
        <w:rPr>
          <w:rFonts w:hint="eastAsia" w:ascii="宋体" w:hAnsi="宋体" w:eastAsia="宋体" w:cs="宋体"/>
          <w:color w:val="auto"/>
          <w:spacing w:val="-2"/>
          <w:sz w:val="24"/>
          <w:szCs w:val="24"/>
          <w:highlight w:val="none"/>
        </w:rPr>
        <w:t>投标人有下列情形之一的，评标委员会应否决其投标。被否决的投标人，不进入响应性评审环节。</w:t>
      </w:r>
      <w:bookmarkEnd w:id="148"/>
      <w:bookmarkEnd w:id="149"/>
    </w:p>
    <w:p w14:paraId="0C2F9E3F">
      <w:pPr>
        <w:keepNext w:val="0"/>
        <w:keepLines w:val="0"/>
        <w:pageBreakBefore w:val="0"/>
        <w:widowControl/>
        <w:kinsoku/>
        <w:wordWrap w:val="0"/>
        <w:overflowPunct/>
        <w:topLinePunct w:val="0"/>
        <w:autoSpaceDE w:val="0"/>
        <w:autoSpaceDN w:val="0"/>
        <w:bidi w:val="0"/>
        <w:adjustRightInd w:val="0"/>
        <w:snapToGrid w:val="0"/>
        <w:spacing w:line="360" w:lineRule="auto"/>
        <w:ind w:left="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（1）各分册没按招标文件规定加盖电子印章；</w:t>
      </w:r>
    </w:p>
    <w:p w14:paraId="2D11B641">
      <w:pPr>
        <w:keepNext w:val="0"/>
        <w:keepLines w:val="0"/>
        <w:pageBreakBefore w:val="0"/>
        <w:widowControl/>
        <w:kinsoku/>
        <w:wordWrap w:val="0"/>
        <w:overflowPunct/>
        <w:topLinePunct w:val="0"/>
        <w:autoSpaceDE w:val="0"/>
        <w:autoSpaceDN w:val="0"/>
        <w:bidi w:val="0"/>
        <w:adjustRightInd w:val="0"/>
        <w:snapToGrid w:val="0"/>
        <w:spacing w:line="360" w:lineRule="auto"/>
        <w:ind w:left="1" w:right="200"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（2）本章第三节第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10.2.2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10.3.2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10.4.3</w:t>
      </w:r>
      <w:r>
        <w:rPr>
          <w:rFonts w:hint="eastAsia" w:ascii="宋体" w:hAnsi="宋体" w:eastAsia="宋体" w:cs="宋体"/>
          <w:color w:val="auto"/>
          <w:spacing w:val="-8"/>
          <w:sz w:val="24"/>
          <w:szCs w:val="24"/>
          <w:highlight w:val="none"/>
        </w:rPr>
        <w:t xml:space="preserve"> 目中规定的“所有投标人</w:t>
      </w:r>
      <w:r>
        <w:rPr>
          <w:rFonts w:hint="eastAsia" w:ascii="宋体" w:hAnsi="宋体" w:eastAsia="宋体" w:cs="宋体"/>
          <w:color w:val="auto"/>
          <w:spacing w:val="-1"/>
          <w:sz w:val="24"/>
          <w:szCs w:val="24"/>
          <w:highlight w:val="none"/>
        </w:rPr>
        <w:t>均应提供</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”的组成内容（包括该组成内容的所附资料）中，</w:t>
      </w:r>
      <w:r>
        <w:rPr>
          <w:rFonts w:hint="eastAsia" w:ascii="宋体" w:hAnsi="宋体" w:eastAsia="宋体" w:cs="宋体"/>
          <w:color w:val="auto"/>
          <w:spacing w:val="-2"/>
          <w:sz w:val="24"/>
          <w:szCs w:val="24"/>
          <w:highlight w:val="none"/>
        </w:rPr>
        <w:t>任何一项有缺漏的；</w:t>
      </w:r>
    </w:p>
    <w:p w14:paraId="306681E4">
      <w:pPr>
        <w:keepNext w:val="0"/>
        <w:keepLines w:val="0"/>
        <w:pageBreakBefore w:val="0"/>
        <w:widowControl/>
        <w:kinsoku/>
        <w:wordWrap w:val="0"/>
        <w:overflowPunct/>
        <w:topLinePunct w:val="0"/>
        <w:autoSpaceDE w:val="0"/>
        <w:autoSpaceDN w:val="0"/>
        <w:bidi w:val="0"/>
        <w:adjustRightInd w:val="0"/>
        <w:snapToGrid w:val="0"/>
        <w:spacing w:line="360" w:lineRule="auto"/>
        <w:ind w:left="8" w:right="200" w:firstLine="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（3）关键字迹模糊、无法辨认，且该种过错将导致评标委员会无法判断投标文件是</w:t>
      </w:r>
      <w:r>
        <w:rPr>
          <w:rFonts w:hint="eastAsia" w:ascii="宋体" w:hAnsi="宋体" w:eastAsia="宋体" w:cs="宋体"/>
          <w:color w:val="auto"/>
          <w:spacing w:val="-2"/>
          <w:sz w:val="24"/>
          <w:szCs w:val="24"/>
          <w:highlight w:val="none"/>
        </w:rPr>
        <w:t>否响应招标文件实质性要求的；有涂改、行间插字或删除，但未加盖单位章或由投标人</w:t>
      </w:r>
      <w:r>
        <w:rPr>
          <w:rFonts w:hint="eastAsia" w:ascii="宋体" w:hAnsi="宋体" w:eastAsia="宋体" w:cs="宋体"/>
          <w:color w:val="auto"/>
          <w:spacing w:val="-1"/>
          <w:sz w:val="24"/>
          <w:szCs w:val="24"/>
          <w:highlight w:val="none"/>
        </w:rPr>
        <w:t>的法定代表人或其委托代理人签字确认的；</w:t>
      </w:r>
    </w:p>
    <w:p w14:paraId="1D5E7E8B">
      <w:pPr>
        <w:keepNext w:val="0"/>
        <w:keepLines w:val="0"/>
        <w:pageBreakBefore w:val="0"/>
        <w:widowControl/>
        <w:kinsoku/>
        <w:wordWrap w:val="0"/>
        <w:overflowPunct/>
        <w:topLinePunct w:val="0"/>
        <w:autoSpaceDE w:val="0"/>
        <w:autoSpaceDN w:val="0"/>
        <w:bidi w:val="0"/>
        <w:adjustRightInd w:val="0"/>
        <w:snapToGrid w:val="0"/>
        <w:spacing w:line="360" w:lineRule="auto"/>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（4）投标文件未按规定签字、盖章的。</w:t>
      </w:r>
    </w:p>
    <w:p w14:paraId="361A256C">
      <w:pPr>
        <w:pageBreakBefore w:val="0"/>
        <w:kinsoku/>
        <w:wordWrap w:val="0"/>
        <w:overflowPunct/>
        <w:topLinePunct w:val="0"/>
        <w:bidi w:val="0"/>
        <w:spacing w:before="227" w:line="221" w:lineRule="auto"/>
        <w:ind w:left="475"/>
        <w:outlineLvl w:val="2"/>
        <w:rPr>
          <w:rFonts w:hint="eastAsia" w:ascii="宋体" w:hAnsi="宋体" w:eastAsia="宋体" w:cs="宋体"/>
          <w:color w:val="auto"/>
          <w:sz w:val="24"/>
          <w:szCs w:val="24"/>
          <w:highlight w:val="none"/>
        </w:rPr>
      </w:pPr>
      <w:bookmarkStart w:id="150" w:name="_Toc8222"/>
      <w:r>
        <w:rPr>
          <w:rFonts w:hint="eastAsia" w:ascii="宋体" w:hAnsi="宋体" w:eastAsia="宋体" w:cs="宋体"/>
          <w:b/>
          <w:bCs/>
          <w:color w:val="auto"/>
          <w:spacing w:val="-6"/>
          <w:sz w:val="24"/>
          <w:szCs w:val="24"/>
          <w:highlight w:val="none"/>
        </w:rPr>
        <w:t>3</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6"/>
          <w:sz w:val="24"/>
          <w:szCs w:val="24"/>
          <w:highlight w:val="none"/>
        </w:rPr>
        <w:t>．响应性评审环节</w:t>
      </w:r>
      <w:bookmarkEnd w:id="150"/>
    </w:p>
    <w:p w14:paraId="58201269">
      <w:pPr>
        <w:pageBreakBefore w:val="0"/>
        <w:kinsoku/>
        <w:wordWrap w:val="0"/>
        <w:overflowPunct/>
        <w:topLinePunct w:val="0"/>
        <w:bidi w:val="0"/>
        <w:spacing w:before="151" w:line="327" w:lineRule="auto"/>
        <w:ind w:left="1" w:right="20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投标人有下列情形之一的，评标委员会应否决其投标。被否决的投标人，不进入详细评审阶段。</w:t>
      </w:r>
    </w:p>
    <w:p w14:paraId="3701EA00">
      <w:pPr>
        <w:pageBreakBefore w:val="0"/>
        <w:kinsoku/>
        <w:wordWrap w:val="0"/>
        <w:overflowPunct/>
        <w:topLinePunct w:val="0"/>
        <w:bidi w:val="0"/>
        <w:spacing w:before="31" w:line="279" w:lineRule="auto"/>
        <w:ind w:left="40" w:right="200" w:firstLine="45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（1）承诺的投标有效期短于规定的；质量标准低于规定的；工期超出规定的；擅</w:t>
      </w:r>
      <w:r>
        <w:rPr>
          <w:rFonts w:hint="eastAsia" w:ascii="宋体" w:hAnsi="宋体" w:eastAsia="宋体" w:cs="宋体"/>
          <w:color w:val="auto"/>
          <w:spacing w:val="-2"/>
          <w:sz w:val="24"/>
          <w:szCs w:val="24"/>
          <w:highlight w:val="none"/>
        </w:rPr>
        <w:t>自修改、遗漏《投标函》《各项承诺一览表》实质性内容的；</w:t>
      </w:r>
    </w:p>
    <w:p w14:paraId="4BBD2A16">
      <w:pPr>
        <w:pageBreakBefore w:val="0"/>
        <w:kinsoku/>
        <w:wordWrap w:val="0"/>
        <w:overflowPunct/>
        <w:topLinePunct w:val="0"/>
        <w:bidi w:val="0"/>
        <w:spacing w:before="157" w:line="278" w:lineRule="auto"/>
        <w:ind w:left="2" w:right="200" w:firstLine="48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（2）编制《投标总价》的造价工程师，其注册证书不是</w:t>
      </w:r>
      <w:r>
        <w:rPr>
          <w:rFonts w:hint="eastAsia" w:ascii="宋体" w:hAnsi="宋体" w:eastAsia="宋体" w:cs="宋体"/>
          <w:b/>
          <w:bCs/>
          <w:color w:val="auto"/>
          <w:spacing w:val="1"/>
          <w:sz w:val="24"/>
          <w:szCs w:val="24"/>
          <w:highlight w:val="none"/>
        </w:rPr>
        <w:t>住建部门</w:t>
      </w:r>
      <w:r>
        <w:rPr>
          <w:rFonts w:hint="eastAsia" w:ascii="宋体" w:hAnsi="宋体" w:eastAsia="宋体" w:cs="宋体"/>
          <w:color w:val="auto"/>
          <w:spacing w:val="1"/>
          <w:sz w:val="24"/>
          <w:szCs w:val="24"/>
          <w:highlight w:val="none"/>
        </w:rPr>
        <w:t>颁发的；其注册</w:t>
      </w:r>
      <w:r>
        <w:rPr>
          <w:rFonts w:hint="eastAsia" w:ascii="宋体" w:hAnsi="宋体" w:eastAsia="宋体" w:cs="宋体"/>
          <w:color w:val="auto"/>
          <w:sz w:val="24"/>
          <w:szCs w:val="24"/>
          <w:highlight w:val="none"/>
        </w:rPr>
        <w:t>单位与投标人（或造价咨询人）不一致的；</w:t>
      </w:r>
      <w:r>
        <w:rPr>
          <w:rFonts w:hint="eastAsia" w:ascii="宋体" w:hAnsi="宋体" w:eastAsia="宋体" w:cs="宋体"/>
          <w:color w:val="auto"/>
          <w:spacing w:val="-1"/>
          <w:sz w:val="24"/>
          <w:szCs w:val="24"/>
          <w:highlight w:val="none"/>
        </w:rPr>
        <w:t>其注册证书不在有效期内的。</w:t>
      </w:r>
    </w:p>
    <w:p w14:paraId="28A865F2">
      <w:pPr>
        <w:pageBreakBefore w:val="0"/>
        <w:kinsoku/>
        <w:wordWrap w:val="0"/>
        <w:overflowPunct/>
        <w:topLinePunct w:val="0"/>
        <w:bidi w:val="0"/>
        <w:spacing w:before="156" w:line="329" w:lineRule="auto"/>
        <w:ind w:right="200" w:firstLine="480"/>
        <w:jc w:val="both"/>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注：投标人（或造价咨询人）已经工商变更，但其员工的执业资格注</w:t>
      </w:r>
      <w:r>
        <w:rPr>
          <w:rFonts w:hint="eastAsia" w:ascii="宋体" w:hAnsi="宋体" w:eastAsia="宋体" w:cs="宋体"/>
          <w:b/>
          <w:bCs/>
          <w:color w:val="auto"/>
          <w:spacing w:val="-5"/>
          <w:sz w:val="24"/>
          <w:szCs w:val="24"/>
          <w:highlight w:val="none"/>
        </w:rPr>
        <w:t>册证书的注册单位名称未完成变更的，不得否决其投标。此条与 10.3.1 中的造价工程师执业（含二级造价工程师）指引相一致。</w:t>
      </w:r>
    </w:p>
    <w:p w14:paraId="5C2D0203">
      <w:pPr>
        <w:pageBreakBefore w:val="0"/>
        <w:kinsoku/>
        <w:wordWrap w:val="0"/>
        <w:overflowPunct/>
        <w:topLinePunct w:val="0"/>
        <w:bidi w:val="0"/>
        <w:spacing w:before="78" w:line="299" w:lineRule="auto"/>
        <w:ind w:left="2" w:right="81"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（3）投标人委托造价咨询单位编制《投标总价》，但未在《投标总价扉页》“投标人</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1"/>
          <w:sz w:val="24"/>
          <w:szCs w:val="24"/>
          <w:highlight w:val="none"/>
        </w:rPr>
        <w:t>”栏目加盖造价咨询人公章的；未提</w:t>
      </w:r>
      <w:r>
        <w:rPr>
          <w:rFonts w:hint="eastAsia" w:ascii="宋体" w:hAnsi="宋体" w:eastAsia="宋体" w:cs="宋体"/>
          <w:color w:val="auto"/>
          <w:sz w:val="24"/>
          <w:szCs w:val="24"/>
          <w:highlight w:val="none"/>
        </w:rPr>
        <w:t>供造价咨询人的营业执照副本彩</w:t>
      </w:r>
      <w:r>
        <w:rPr>
          <w:rFonts w:hint="eastAsia" w:ascii="宋体" w:hAnsi="宋体" w:eastAsia="宋体" w:cs="宋体"/>
          <w:color w:val="auto"/>
          <w:spacing w:val="-3"/>
          <w:sz w:val="24"/>
          <w:szCs w:val="24"/>
          <w:highlight w:val="none"/>
        </w:rPr>
        <w:t>色扫描件；</w:t>
      </w:r>
    </w:p>
    <w:p w14:paraId="64D8C544">
      <w:pPr>
        <w:pageBreakBefore w:val="0"/>
        <w:kinsoku/>
        <w:wordWrap w:val="0"/>
        <w:overflowPunct/>
        <w:topLinePunct w:val="0"/>
        <w:bidi w:val="0"/>
        <w:spacing w:before="151" w:line="360" w:lineRule="auto"/>
        <w:ind w:right="2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（4）出现两个或两个以上投标总价的（同一个投标总价大、小写不一致的除外</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投标总价超出</w:t>
      </w:r>
      <w:r>
        <w:rPr>
          <w:rFonts w:hint="eastAsia" w:ascii="宋体" w:hAnsi="宋体" w:eastAsia="宋体" w:cs="宋体"/>
          <w:b/>
          <w:bCs/>
          <w:color w:val="auto"/>
          <w:spacing w:val="-2"/>
          <w:sz w:val="24"/>
          <w:szCs w:val="24"/>
          <w:highlight w:val="none"/>
          <w:lang w:eastAsia="zh-CN"/>
        </w:rPr>
        <w:t>最高投标限价</w:t>
      </w:r>
      <w:r>
        <w:rPr>
          <w:rFonts w:hint="eastAsia" w:ascii="宋体" w:hAnsi="宋体" w:eastAsia="宋体" w:cs="宋体"/>
          <w:color w:val="auto"/>
          <w:spacing w:val="-2"/>
          <w:sz w:val="24"/>
          <w:szCs w:val="24"/>
          <w:highlight w:val="none"/>
        </w:rPr>
        <w:t>的；</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少于规定的；暂列金额、暂估</w:t>
      </w:r>
      <w:r>
        <w:rPr>
          <w:rFonts w:hint="eastAsia" w:ascii="宋体" w:hAnsi="宋体" w:eastAsia="宋体" w:cs="宋体"/>
          <w:color w:val="auto"/>
          <w:spacing w:val="-3"/>
          <w:sz w:val="24"/>
          <w:szCs w:val="24"/>
          <w:highlight w:val="none"/>
        </w:rPr>
        <w:t>价未按照招标工程量清单统一报价的；投标总价下浮率超过</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3"/>
          <w:sz w:val="24"/>
          <w:szCs w:val="24"/>
          <w:highlight w:val="none"/>
        </w:rPr>
        <w:t>15%，又未提供相应书面说</w:t>
      </w:r>
      <w:r>
        <w:rPr>
          <w:rFonts w:hint="eastAsia" w:ascii="宋体" w:hAnsi="宋体" w:eastAsia="宋体" w:cs="宋体"/>
          <w:color w:val="auto"/>
          <w:spacing w:val="-2"/>
          <w:sz w:val="24"/>
          <w:szCs w:val="24"/>
          <w:highlight w:val="none"/>
        </w:rPr>
        <w:t>明和佐证材料或提供的书面说明和佐证材料不能令人信服，被评标委员会认定以低于成</w:t>
      </w:r>
      <w:r>
        <w:rPr>
          <w:rFonts w:hint="eastAsia" w:ascii="宋体" w:hAnsi="宋体" w:eastAsia="宋体" w:cs="宋体"/>
          <w:color w:val="auto"/>
          <w:sz w:val="24"/>
          <w:szCs w:val="24"/>
          <w:highlight w:val="none"/>
        </w:rPr>
        <w:t>本报价竞标的；擅自修改、增减招标工程量清单</w:t>
      </w:r>
      <w:r>
        <w:rPr>
          <w:rFonts w:hint="eastAsia" w:ascii="宋体" w:hAnsi="宋体" w:eastAsia="宋体" w:cs="宋体"/>
          <w:color w:val="auto"/>
          <w:spacing w:val="-1"/>
          <w:sz w:val="24"/>
          <w:szCs w:val="24"/>
          <w:highlight w:val="none"/>
        </w:rPr>
        <w:t>项目（包括措施项目）的；</w:t>
      </w:r>
    </w:p>
    <w:p w14:paraId="13FAA707">
      <w:pPr>
        <w:pageBreakBefore w:val="0"/>
        <w:kinsoku/>
        <w:wordWrap w:val="0"/>
        <w:overflowPunct/>
        <w:topLinePunct w:val="0"/>
        <w:bidi w:val="0"/>
        <w:spacing w:before="156" w:line="299" w:lineRule="auto"/>
        <w:ind w:right="81" w:firstLine="49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（5）在施工组织设计评审中，评标委员会认定质量、进度保障措施与国家和省市</w:t>
      </w:r>
      <w:r>
        <w:rPr>
          <w:rFonts w:hint="eastAsia" w:ascii="宋体" w:hAnsi="宋体" w:eastAsia="宋体" w:cs="宋体"/>
          <w:color w:val="auto"/>
          <w:spacing w:val="-3"/>
          <w:sz w:val="24"/>
          <w:szCs w:val="24"/>
          <w:highlight w:val="none"/>
        </w:rPr>
        <w:t>现行有关规范、规定、标准有重大偏差，</w:t>
      </w:r>
      <w:r>
        <w:rPr>
          <w:rFonts w:hint="eastAsia" w:ascii="宋体" w:hAnsi="宋体" w:eastAsia="宋体" w:cs="宋体"/>
          <w:b/>
          <w:bCs/>
          <w:color w:val="auto"/>
          <w:spacing w:val="-3"/>
          <w:sz w:val="24"/>
          <w:szCs w:val="24"/>
          <w:highlight w:val="none"/>
        </w:rPr>
        <w:t>且该种过错将导致工程质量、进度管理目标无</w:t>
      </w:r>
      <w:r>
        <w:rPr>
          <w:rFonts w:hint="eastAsia" w:ascii="宋体" w:hAnsi="宋体" w:eastAsia="宋体" w:cs="宋体"/>
          <w:b/>
          <w:bCs/>
          <w:color w:val="auto"/>
          <w:spacing w:val="-4"/>
          <w:sz w:val="24"/>
          <w:szCs w:val="24"/>
          <w:highlight w:val="none"/>
        </w:rPr>
        <w:t>法实现的</w:t>
      </w:r>
      <w:r>
        <w:rPr>
          <w:rFonts w:hint="eastAsia" w:ascii="宋体" w:hAnsi="宋体" w:eastAsia="宋体" w:cs="宋体"/>
          <w:color w:val="auto"/>
          <w:spacing w:val="-4"/>
          <w:sz w:val="24"/>
          <w:szCs w:val="24"/>
          <w:highlight w:val="none"/>
        </w:rPr>
        <w:t>。</w:t>
      </w:r>
    </w:p>
    <w:p w14:paraId="6ECCBC11">
      <w:pPr>
        <w:pageBreakBefore w:val="0"/>
        <w:kinsoku/>
        <w:wordWrap w:val="0"/>
        <w:overflowPunct/>
        <w:topLinePunct w:val="0"/>
        <w:bidi w:val="0"/>
        <w:spacing w:before="151" w:line="221" w:lineRule="auto"/>
        <w:ind w:left="476"/>
        <w:outlineLvl w:val="2"/>
        <w:rPr>
          <w:rFonts w:hint="eastAsia" w:ascii="宋体" w:hAnsi="宋体" w:eastAsia="宋体" w:cs="宋体"/>
          <w:color w:val="auto"/>
          <w:sz w:val="24"/>
          <w:szCs w:val="24"/>
          <w:highlight w:val="none"/>
        </w:rPr>
      </w:pPr>
      <w:bookmarkStart w:id="151" w:name="_Toc12817"/>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11"/>
          <w:sz w:val="24"/>
          <w:szCs w:val="24"/>
          <w:highlight w:val="none"/>
        </w:rPr>
        <w:t>．其他</w:t>
      </w:r>
      <w:bookmarkEnd w:id="151"/>
    </w:p>
    <w:p w14:paraId="661EC0BB">
      <w:pPr>
        <w:pageBreakBefore w:val="0"/>
        <w:kinsoku/>
        <w:wordWrap w:val="0"/>
        <w:overflowPunct/>
        <w:topLinePunct w:val="0"/>
        <w:bidi w:val="0"/>
        <w:spacing w:before="153" w:line="326" w:lineRule="auto"/>
        <w:ind w:firstLine="47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在任何评标环节（或阶段</w:t>
      </w:r>
      <w:r>
        <w:rPr>
          <w:rFonts w:hint="eastAsia" w:ascii="宋体" w:hAnsi="宋体" w:eastAsia="宋体" w:cs="宋体"/>
          <w:color w:val="auto"/>
          <w:spacing w:val="-36"/>
          <w:sz w:val="24"/>
          <w:szCs w:val="24"/>
          <w:highlight w:val="none"/>
        </w:rPr>
        <w:t>），</w:t>
      </w:r>
      <w:r>
        <w:rPr>
          <w:rFonts w:hint="eastAsia" w:ascii="宋体" w:hAnsi="宋体" w:eastAsia="宋体" w:cs="宋体"/>
          <w:color w:val="auto"/>
          <w:spacing w:val="-4"/>
          <w:sz w:val="24"/>
          <w:szCs w:val="24"/>
          <w:highlight w:val="none"/>
        </w:rPr>
        <w:t>投标人有下列情形之一的，评标委员会应否</w:t>
      </w:r>
      <w:r>
        <w:rPr>
          <w:rFonts w:hint="eastAsia" w:ascii="宋体" w:hAnsi="宋体" w:eastAsia="宋体" w:cs="宋体"/>
          <w:color w:val="auto"/>
          <w:spacing w:val="-5"/>
          <w:sz w:val="24"/>
          <w:szCs w:val="24"/>
          <w:highlight w:val="none"/>
        </w:rPr>
        <w:t>决其投标。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被否决的投标人，不进入下一环节（或阶段）。</w:t>
      </w:r>
    </w:p>
    <w:p w14:paraId="48B56398">
      <w:pPr>
        <w:pageBreakBefore w:val="0"/>
        <w:kinsoku/>
        <w:wordWrap w:val="0"/>
        <w:overflowPunct/>
        <w:topLinePunct w:val="0"/>
        <w:bidi w:val="0"/>
        <w:spacing w:before="33"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（1）不按评标委员会要求澄清、说明或补正的；</w:t>
      </w:r>
    </w:p>
    <w:p w14:paraId="56BDFC4F">
      <w:pPr>
        <w:pageBreakBefore w:val="0"/>
        <w:kinsoku/>
        <w:wordWrap w:val="0"/>
        <w:overflowPunct/>
        <w:topLinePunct w:val="0"/>
        <w:bidi w:val="0"/>
        <w:spacing w:before="154"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（2）有下列情形之一，被评标委员会认定属于串通投标的：</w:t>
      </w:r>
    </w:p>
    <w:p w14:paraId="2522ABAB">
      <w:pPr>
        <w:keepNext w:val="0"/>
        <w:keepLines w:val="0"/>
        <w:pageBreakBefore w:val="0"/>
        <w:widowControl/>
        <w:kinsoku/>
        <w:wordWrap w:val="0"/>
        <w:overflowPunct/>
        <w:topLinePunct w:val="0"/>
        <w:autoSpaceDE w:val="0"/>
        <w:autoSpaceDN w:val="0"/>
        <w:bidi w:val="0"/>
        <w:adjustRightInd w:val="0"/>
        <w:snapToGrid w:val="0"/>
        <w:spacing w:before="157" w:line="218" w:lineRule="auto"/>
        <w:ind w:left="47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①不同投标人的投标文件两处以上（含两处）错、漏一致；</w:t>
      </w:r>
    </w:p>
    <w:p w14:paraId="2D9D4BC9">
      <w:pPr>
        <w:keepNext w:val="0"/>
        <w:keepLines w:val="0"/>
        <w:pageBreakBefore w:val="0"/>
        <w:widowControl/>
        <w:kinsoku/>
        <w:wordWrap w:val="0"/>
        <w:overflowPunct/>
        <w:topLinePunct w:val="0"/>
        <w:autoSpaceDE w:val="0"/>
        <w:autoSpaceDN w:val="0"/>
        <w:bidi w:val="0"/>
        <w:adjustRightInd w:val="0"/>
        <w:snapToGrid w:val="0"/>
        <w:spacing w:before="156" w:line="278" w:lineRule="auto"/>
        <w:ind w:right="21"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②不同投标人的投标总价相近且各分项报价、综合单价分析表内容混乱不能相互对</w:t>
      </w:r>
      <w:r>
        <w:rPr>
          <w:rFonts w:hint="eastAsia" w:ascii="宋体" w:hAnsi="宋体" w:eastAsia="宋体" w:cs="宋体"/>
          <w:color w:val="auto"/>
          <w:spacing w:val="-6"/>
          <w:sz w:val="24"/>
          <w:szCs w:val="24"/>
          <w:highlight w:val="none"/>
        </w:rPr>
        <w:t>应、乱调乱压或乱抬的，而在询标时没有合理的解释或者不能提供计算依据和</w:t>
      </w:r>
      <w:r>
        <w:rPr>
          <w:rFonts w:hint="eastAsia" w:ascii="宋体" w:hAnsi="宋体" w:eastAsia="宋体" w:cs="宋体"/>
          <w:color w:val="auto"/>
          <w:spacing w:val="-7"/>
          <w:sz w:val="24"/>
          <w:szCs w:val="24"/>
          <w:highlight w:val="none"/>
        </w:rPr>
        <w:t>报价依据；</w:t>
      </w:r>
    </w:p>
    <w:p w14:paraId="5E0C8B0A">
      <w:pPr>
        <w:keepNext w:val="0"/>
        <w:keepLines w:val="0"/>
        <w:pageBreakBefore w:val="0"/>
        <w:widowControl/>
        <w:kinsoku/>
        <w:wordWrap w:val="0"/>
        <w:overflowPunct/>
        <w:topLinePunct w:val="0"/>
        <w:autoSpaceDE w:val="0"/>
        <w:autoSpaceDN w:val="0"/>
        <w:bidi w:val="0"/>
        <w:adjustRightInd w:val="0"/>
        <w:snapToGrid w:val="0"/>
        <w:spacing w:before="157"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③不同投标人的投标各项报价存在异常一致</w:t>
      </w:r>
      <w:r>
        <w:rPr>
          <w:rFonts w:hint="eastAsia" w:ascii="宋体" w:hAnsi="宋体" w:eastAsia="宋体" w:cs="宋体"/>
          <w:color w:val="auto"/>
          <w:spacing w:val="-1"/>
          <w:sz w:val="24"/>
          <w:szCs w:val="24"/>
          <w:highlight w:val="none"/>
        </w:rPr>
        <w:t>或者呈规律性变化；</w:t>
      </w:r>
    </w:p>
    <w:p w14:paraId="0DB0011F">
      <w:pPr>
        <w:keepNext w:val="0"/>
        <w:keepLines w:val="0"/>
        <w:pageBreakBefore w:val="0"/>
        <w:widowControl/>
        <w:kinsoku/>
        <w:wordWrap w:val="0"/>
        <w:overflowPunct/>
        <w:topLinePunct w:val="0"/>
        <w:autoSpaceDE w:val="0"/>
        <w:autoSpaceDN w:val="0"/>
        <w:bidi w:val="0"/>
        <w:adjustRightInd w:val="0"/>
        <w:snapToGrid w:val="0"/>
        <w:spacing w:before="156"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④不同投标人的投标文件由同一单位或者同一个人编制；</w:t>
      </w:r>
    </w:p>
    <w:p w14:paraId="69EA40D7">
      <w:pPr>
        <w:keepNext w:val="0"/>
        <w:keepLines w:val="0"/>
        <w:pageBreakBefore w:val="0"/>
        <w:widowControl/>
        <w:kinsoku/>
        <w:wordWrap w:val="0"/>
        <w:overflowPunct/>
        <w:topLinePunct w:val="0"/>
        <w:autoSpaceDE w:val="0"/>
        <w:autoSpaceDN w:val="0"/>
        <w:bidi w:val="0"/>
        <w:adjustRightInd w:val="0"/>
        <w:snapToGrid w:val="0"/>
        <w:spacing w:before="157" w:line="280" w:lineRule="auto"/>
        <w:ind w:left="1" w:right="81"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⑤不同投标人的投标文件中投标资料（包括电子资料）相互混装或项目班子成员出</w:t>
      </w:r>
      <w:r>
        <w:rPr>
          <w:rFonts w:hint="eastAsia" w:ascii="宋体" w:hAnsi="宋体" w:eastAsia="宋体" w:cs="宋体"/>
          <w:color w:val="auto"/>
          <w:spacing w:val="-3"/>
          <w:sz w:val="24"/>
          <w:szCs w:val="24"/>
          <w:highlight w:val="none"/>
        </w:rPr>
        <w:t>现同一人；</w:t>
      </w:r>
    </w:p>
    <w:p w14:paraId="656BD1E5">
      <w:pPr>
        <w:keepNext w:val="0"/>
        <w:keepLines w:val="0"/>
        <w:pageBreakBefore w:val="0"/>
        <w:widowControl/>
        <w:kinsoku/>
        <w:wordWrap w:val="0"/>
        <w:overflowPunct/>
        <w:topLinePunct w:val="0"/>
        <w:autoSpaceDE w:val="0"/>
        <w:autoSpaceDN w:val="0"/>
        <w:bidi w:val="0"/>
        <w:adjustRightInd w:val="0"/>
        <w:snapToGrid w:val="0"/>
        <w:spacing w:before="152" w:line="279" w:lineRule="auto"/>
        <w:ind w:left="3" w:right="8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⑥不同投标人的投标文件由同一电脑编制或同一台附属设备打印，或投标报价用同</w:t>
      </w:r>
      <w:r>
        <w:rPr>
          <w:rFonts w:hint="eastAsia" w:ascii="宋体" w:hAnsi="宋体" w:eastAsia="宋体" w:cs="宋体"/>
          <w:color w:val="auto"/>
          <w:spacing w:val="-1"/>
          <w:sz w:val="24"/>
          <w:szCs w:val="24"/>
          <w:highlight w:val="none"/>
        </w:rPr>
        <w:t>一个预算编制软件密码锁制作或出自同一电子文档；</w:t>
      </w:r>
    </w:p>
    <w:p w14:paraId="444FC7CC">
      <w:pPr>
        <w:keepNext w:val="0"/>
        <w:keepLines w:val="0"/>
        <w:pageBreakBefore w:val="0"/>
        <w:widowControl/>
        <w:kinsoku/>
        <w:wordWrap w:val="0"/>
        <w:overflowPunct/>
        <w:topLinePunct w:val="0"/>
        <w:autoSpaceDE w:val="0"/>
        <w:autoSpaceDN w:val="0"/>
        <w:bidi w:val="0"/>
        <w:adjustRightInd w:val="0"/>
        <w:snapToGrid w:val="0"/>
        <w:spacing w:before="155"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⑦不同投标人的投标保证由同一企业或同一账户资金缴纳；</w:t>
      </w:r>
    </w:p>
    <w:p w14:paraId="7BCF0647">
      <w:pPr>
        <w:keepNext w:val="0"/>
        <w:keepLines w:val="0"/>
        <w:pageBreakBefore w:val="0"/>
        <w:widowControl/>
        <w:kinsoku/>
        <w:wordWrap w:val="0"/>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⑧不同投标人委托同一个人或注册在同一家企业的注册人员或同一家企业为其投</w:t>
      </w:r>
      <w:r>
        <w:rPr>
          <w:rFonts w:hint="eastAsia" w:ascii="宋体" w:hAnsi="宋体" w:eastAsia="宋体" w:cs="宋体"/>
          <w:color w:val="auto"/>
          <w:spacing w:val="-2"/>
          <w:sz w:val="24"/>
          <w:szCs w:val="24"/>
          <w:highlight w:val="none"/>
        </w:rPr>
        <w:t>标提供投标咨询、商务报价、技术咨询（招标项目本身要求采用专有技术的除外）等服</w:t>
      </w:r>
      <w:r>
        <w:rPr>
          <w:rFonts w:hint="eastAsia" w:ascii="宋体" w:hAnsi="宋体" w:eastAsia="宋体" w:cs="宋体"/>
          <w:color w:val="auto"/>
          <w:spacing w:val="-6"/>
          <w:sz w:val="24"/>
          <w:szCs w:val="24"/>
          <w:highlight w:val="none"/>
        </w:rPr>
        <w:t>务。</w:t>
      </w:r>
    </w:p>
    <w:p w14:paraId="74C8E4D3">
      <w:pPr>
        <w:keepNext w:val="0"/>
        <w:keepLines w:val="0"/>
        <w:pageBreakBefore w:val="0"/>
        <w:widowControl/>
        <w:kinsoku/>
        <w:wordWrap w:val="0"/>
        <w:overflowPunct/>
        <w:topLinePunct w:val="0"/>
        <w:autoSpaceDE w:val="0"/>
        <w:autoSpaceDN w:val="0"/>
        <w:bidi w:val="0"/>
        <w:adjustRightInd w:val="0"/>
        <w:snapToGrid w:val="0"/>
        <w:spacing w:line="299" w:lineRule="auto"/>
        <w:textAlignment w:val="baseline"/>
        <w:rPr>
          <w:rFonts w:hint="eastAsia" w:ascii="宋体" w:hAnsi="宋体" w:eastAsia="宋体" w:cs="宋体"/>
          <w:color w:val="auto"/>
          <w:sz w:val="24"/>
          <w:szCs w:val="24"/>
          <w:highlight w:val="none"/>
        </w:rPr>
        <w:sectPr>
          <w:headerReference r:id="rId8" w:type="default"/>
          <w:footerReference r:id="rId9" w:type="default"/>
          <w:pgSz w:w="11906" w:h="16839"/>
          <w:pgMar w:top="1460" w:right="946" w:bottom="1440" w:left="1080" w:header="0" w:footer="1023" w:gutter="0"/>
          <w:pgBorders>
            <w:top w:val="none" w:sz="0" w:space="0"/>
            <w:left w:val="none" w:sz="0" w:space="0"/>
            <w:bottom w:val="none" w:sz="0" w:space="0"/>
            <w:right w:val="none" w:sz="0" w:space="0"/>
          </w:pgBorders>
          <w:cols w:space="720" w:num="1"/>
        </w:sectPr>
      </w:pPr>
    </w:p>
    <w:p w14:paraId="55EEBDA7">
      <w:pPr>
        <w:pageBreakBefore w:val="0"/>
        <w:kinsoku/>
        <w:wordWrap w:val="0"/>
        <w:overflowPunct/>
        <w:topLinePunct w:val="0"/>
        <w:bidi w:val="0"/>
        <w:spacing w:before="78" w:line="220" w:lineRule="auto"/>
        <w:ind w:left="9"/>
        <w:jc w:val="center"/>
        <w:outlineLvl w:val="1"/>
        <w:rPr>
          <w:rFonts w:hint="eastAsia" w:ascii="宋体" w:hAnsi="宋体" w:eastAsia="宋体" w:cs="宋体"/>
          <w:color w:val="auto"/>
          <w:sz w:val="24"/>
          <w:szCs w:val="24"/>
          <w:highlight w:val="none"/>
        </w:rPr>
      </w:pPr>
      <w:bookmarkStart w:id="152" w:name="bookmark57"/>
      <w:bookmarkEnd w:id="152"/>
      <w:bookmarkStart w:id="153" w:name="_Toc14339"/>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五</w:t>
      </w:r>
      <w:r>
        <w:rPr>
          <w:rFonts w:hint="eastAsia" w:ascii="宋体" w:hAnsi="宋体" w:eastAsia="宋体" w:cs="宋体"/>
          <w:b/>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定标规定及细则（本项目采用票决数量法定标）</w:t>
      </w:r>
      <w:bookmarkEnd w:id="153"/>
    </w:p>
    <w:p w14:paraId="22BE35D4">
      <w:pPr>
        <w:pStyle w:val="3"/>
        <w:pageBreakBefore w:val="0"/>
        <w:kinsoku/>
        <w:wordWrap w:val="0"/>
        <w:overflowPunct/>
        <w:topLinePunct w:val="0"/>
        <w:bidi w:val="0"/>
        <w:spacing w:line="256" w:lineRule="auto"/>
        <w:rPr>
          <w:rFonts w:hint="eastAsia" w:ascii="宋体" w:hAnsi="宋体" w:eastAsia="宋体" w:cs="宋体"/>
          <w:color w:val="auto"/>
          <w:highlight w:val="none"/>
        </w:rPr>
      </w:pPr>
    </w:p>
    <w:p w14:paraId="48FF6F1A">
      <w:pPr>
        <w:keepNext w:val="0"/>
        <w:keepLines w:val="0"/>
        <w:pageBreakBefore w:val="0"/>
        <w:kinsoku/>
        <w:wordWrap w:val="0"/>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rPr>
      </w:pPr>
      <w:r>
        <w:rPr>
          <w:rStyle w:val="20"/>
          <w:rFonts w:hint="eastAsia" w:hAnsi="宋体" w:eastAsia="宋体" w:cs="宋体"/>
          <w:b/>
          <w:bCs/>
          <w:color w:val="auto"/>
          <w:kern w:val="0"/>
          <w:sz w:val="24"/>
          <w:szCs w:val="24"/>
          <w:highlight w:val="none"/>
          <w:lang w:val="en-US" w:eastAsia="zh-CN"/>
        </w:rPr>
        <w:t>1.</w:t>
      </w:r>
      <w:r>
        <w:rPr>
          <w:rStyle w:val="20"/>
          <w:rFonts w:hint="eastAsia" w:ascii="宋体" w:hAnsi="宋体" w:eastAsia="宋体" w:cs="宋体"/>
          <w:b/>
          <w:bCs/>
          <w:color w:val="auto"/>
          <w:kern w:val="0"/>
          <w:sz w:val="24"/>
          <w:szCs w:val="24"/>
          <w:highlight w:val="none"/>
          <w:lang w:eastAsia="zh-CN"/>
        </w:rPr>
        <w:t>确定</w:t>
      </w:r>
      <w:r>
        <w:rPr>
          <w:rStyle w:val="20"/>
          <w:rFonts w:hint="eastAsia" w:ascii="宋体" w:hAnsi="宋体" w:eastAsia="宋体" w:cs="宋体"/>
          <w:b/>
          <w:bCs/>
          <w:color w:val="auto"/>
          <w:kern w:val="0"/>
          <w:sz w:val="24"/>
          <w:szCs w:val="24"/>
          <w:highlight w:val="none"/>
        </w:rPr>
        <w:t>定标时间</w:t>
      </w:r>
    </w:p>
    <w:p w14:paraId="719C1928">
      <w:pPr>
        <w:keepNext w:val="0"/>
        <w:keepLines w:val="0"/>
        <w:pageBreakBefore w:val="0"/>
        <w:kinsoku/>
        <w:wordWrap w:val="0"/>
        <w:overflowPunct/>
        <w:topLinePunct w:val="0"/>
        <w:bidi w:val="0"/>
        <w:spacing w:line="360" w:lineRule="auto"/>
        <w:ind w:firstLine="480" w:firstLineChars="200"/>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招标人</w:t>
      </w:r>
      <w:r>
        <w:rPr>
          <w:rStyle w:val="20"/>
          <w:rFonts w:hint="eastAsia" w:ascii="宋体" w:hAnsi="宋体" w:eastAsia="宋体" w:cs="宋体"/>
          <w:color w:val="auto"/>
          <w:kern w:val="0"/>
          <w:sz w:val="24"/>
          <w:szCs w:val="24"/>
          <w:highlight w:val="none"/>
          <w:lang w:eastAsia="zh-CN"/>
        </w:rPr>
        <w:t>应</w:t>
      </w:r>
      <w:r>
        <w:rPr>
          <w:rStyle w:val="20"/>
          <w:rFonts w:hint="eastAsia" w:ascii="宋体" w:hAnsi="宋体" w:eastAsia="宋体" w:cs="宋体"/>
          <w:color w:val="auto"/>
          <w:kern w:val="0"/>
          <w:sz w:val="24"/>
          <w:szCs w:val="24"/>
          <w:highlight w:val="none"/>
        </w:rPr>
        <w:t>自</w:t>
      </w:r>
      <w:r>
        <w:rPr>
          <w:rStyle w:val="20"/>
          <w:rFonts w:hint="eastAsia" w:ascii="宋体" w:hAnsi="宋体" w:eastAsia="宋体" w:cs="宋体"/>
          <w:color w:val="auto"/>
          <w:kern w:val="0"/>
          <w:sz w:val="24"/>
          <w:szCs w:val="24"/>
          <w:highlight w:val="none"/>
          <w:lang w:val="en-US" w:eastAsia="zh-CN"/>
        </w:rPr>
        <w:t>定标候选人</w:t>
      </w:r>
      <w:r>
        <w:rPr>
          <w:rStyle w:val="20"/>
          <w:rFonts w:hint="eastAsia" w:ascii="宋体" w:hAnsi="宋体" w:eastAsia="宋体" w:cs="宋体"/>
          <w:color w:val="auto"/>
          <w:kern w:val="0"/>
          <w:sz w:val="24"/>
          <w:szCs w:val="24"/>
          <w:highlight w:val="none"/>
        </w:rPr>
        <w:t>公示期满后</w:t>
      </w:r>
      <w:r>
        <w:rPr>
          <w:rStyle w:val="20"/>
          <w:rFonts w:hint="eastAsia" w:ascii="宋体" w:hAnsi="宋体" w:eastAsia="宋体" w:cs="宋体"/>
          <w:color w:val="auto"/>
          <w:kern w:val="0"/>
          <w:sz w:val="24"/>
          <w:szCs w:val="24"/>
          <w:highlight w:val="none"/>
          <w:lang w:val="en-US" w:eastAsia="zh-CN"/>
        </w:rPr>
        <w:t>5</w:t>
      </w:r>
      <w:r>
        <w:rPr>
          <w:rStyle w:val="20"/>
          <w:rFonts w:hint="eastAsia" w:ascii="宋体" w:hAnsi="宋体" w:eastAsia="宋体" w:cs="宋体"/>
          <w:color w:val="auto"/>
          <w:kern w:val="0"/>
          <w:sz w:val="24"/>
          <w:szCs w:val="24"/>
          <w:highlight w:val="none"/>
        </w:rPr>
        <w:t>个工作日内进入公共资源交易平台（与评标阶段公共资源交易平台相同）进行定标。定标会议全过程录音录像。招标人需要延期定标的，</w:t>
      </w:r>
      <w:r>
        <w:rPr>
          <w:rStyle w:val="20"/>
          <w:rFonts w:hint="eastAsia" w:ascii="宋体" w:hAnsi="宋体" w:eastAsia="宋体" w:cs="宋体"/>
          <w:color w:val="auto"/>
          <w:kern w:val="0"/>
          <w:sz w:val="24"/>
          <w:szCs w:val="24"/>
          <w:highlight w:val="none"/>
          <w:lang w:eastAsia="zh-CN"/>
        </w:rPr>
        <w:t>应</w:t>
      </w:r>
      <w:r>
        <w:rPr>
          <w:rStyle w:val="20"/>
          <w:rFonts w:hint="eastAsia" w:ascii="宋体" w:hAnsi="宋体" w:eastAsia="宋体" w:cs="宋体"/>
          <w:color w:val="auto"/>
          <w:kern w:val="0"/>
          <w:sz w:val="24"/>
          <w:szCs w:val="24"/>
          <w:highlight w:val="none"/>
        </w:rPr>
        <w:t>通过公共资源交易平台公布延期原因和定标时间。</w:t>
      </w:r>
    </w:p>
    <w:p w14:paraId="1ADC89B1">
      <w:pPr>
        <w:keepNext w:val="0"/>
        <w:keepLines w:val="0"/>
        <w:pageBreakBefore w:val="0"/>
        <w:kinsoku/>
        <w:wordWrap w:val="0"/>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lang w:eastAsia="zh-CN"/>
        </w:rPr>
      </w:pPr>
      <w:r>
        <w:rPr>
          <w:rStyle w:val="20"/>
          <w:rFonts w:hint="eastAsia" w:hAnsi="宋体" w:eastAsia="宋体" w:cs="宋体"/>
          <w:b/>
          <w:bCs/>
          <w:color w:val="auto"/>
          <w:kern w:val="0"/>
          <w:sz w:val="24"/>
          <w:szCs w:val="24"/>
          <w:highlight w:val="none"/>
          <w:lang w:val="en-US" w:eastAsia="zh-CN"/>
        </w:rPr>
        <w:t>2</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eastAsia="zh-CN"/>
        </w:rPr>
        <w:t>定标委员会</w:t>
      </w:r>
    </w:p>
    <w:p w14:paraId="3F5646BE">
      <w:pPr>
        <w:keepNext w:val="0"/>
        <w:keepLines w:val="0"/>
        <w:pageBreakBefore w:val="0"/>
        <w:kinsoku/>
        <w:wordWrap w:val="0"/>
        <w:overflowPunct/>
        <w:topLinePunct w:val="0"/>
        <w:bidi w:val="0"/>
        <w:spacing w:line="360" w:lineRule="auto"/>
        <w:ind w:firstLine="480" w:firstLineChars="200"/>
        <w:rPr>
          <w:rStyle w:val="20"/>
          <w:rFonts w:hint="eastAsia" w:ascii="宋体" w:hAnsi="宋体" w:eastAsia="宋体" w:cs="宋体"/>
          <w:color w:val="auto"/>
          <w:kern w:val="0"/>
          <w:sz w:val="24"/>
          <w:szCs w:val="24"/>
          <w:highlight w:val="none"/>
          <w:lang w:val="en-US" w:eastAsia="zh-CN"/>
        </w:rPr>
      </w:pPr>
      <w:r>
        <w:rPr>
          <w:rStyle w:val="20"/>
          <w:rFonts w:hint="eastAsia" w:hAnsi="宋体" w:eastAsia="宋体" w:cs="宋体"/>
          <w:color w:val="auto"/>
          <w:kern w:val="0"/>
          <w:sz w:val="24"/>
          <w:szCs w:val="24"/>
          <w:highlight w:val="none"/>
          <w:lang w:val="en-US" w:eastAsia="zh-CN"/>
        </w:rPr>
        <w:t>2.1</w:t>
      </w:r>
      <w:r>
        <w:rPr>
          <w:rStyle w:val="20"/>
          <w:rFonts w:hint="eastAsia" w:ascii="宋体" w:hAnsi="宋体" w:eastAsia="宋体" w:cs="宋体"/>
          <w:color w:val="auto"/>
          <w:kern w:val="0"/>
          <w:sz w:val="24"/>
          <w:szCs w:val="24"/>
          <w:highlight w:val="none"/>
          <w:lang w:val="en-US" w:eastAsia="zh-CN"/>
        </w:rPr>
        <w:t>定标委员会由项目业主单位负责组建和管理。定标委员会的组成方式、组长和成员由项目业主单位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568ED788">
      <w:pPr>
        <w:keepNext w:val="0"/>
        <w:keepLines w:val="0"/>
        <w:pageBreakBefore w:val="0"/>
        <w:kinsoku/>
        <w:wordWrap w:val="0"/>
        <w:overflowPunct/>
        <w:topLinePunct w:val="0"/>
        <w:bidi w:val="0"/>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78BCAC24">
      <w:pPr>
        <w:keepNext w:val="0"/>
        <w:keepLines w:val="0"/>
        <w:pageBreakBefore w:val="0"/>
        <w:kinsoku/>
        <w:wordWrap w:val="0"/>
        <w:overflowPunct/>
        <w:topLinePunct w:val="0"/>
        <w:bidi w:val="0"/>
        <w:spacing w:line="360" w:lineRule="auto"/>
        <w:ind w:firstLine="480" w:firstLineChars="200"/>
        <w:rPr>
          <w:rFonts w:hint="eastAsia"/>
          <w:color w:val="auto"/>
          <w:sz w:val="24"/>
          <w:szCs w:val="24"/>
          <w:highlight w:val="none"/>
          <w:lang w:val="en-US" w:eastAsia="zh-CN"/>
        </w:rPr>
      </w:pPr>
      <w:r>
        <w:rPr>
          <w:rStyle w:val="20"/>
          <w:rFonts w:hint="eastAsia" w:hAnsi="宋体" w:eastAsia="宋体" w:cs="宋体"/>
          <w:color w:val="auto"/>
          <w:kern w:val="0"/>
          <w:sz w:val="24"/>
          <w:szCs w:val="24"/>
          <w:highlight w:val="none"/>
          <w:lang w:val="en-US" w:eastAsia="zh-CN"/>
        </w:rPr>
        <w:t>2</w:t>
      </w:r>
      <w:r>
        <w:rPr>
          <w:rStyle w:val="20"/>
          <w:rFonts w:hint="eastAsia" w:ascii="宋体" w:hAnsi="宋体" w:eastAsia="宋体" w:cs="宋体"/>
          <w:color w:val="auto"/>
          <w:kern w:val="0"/>
          <w:sz w:val="24"/>
          <w:szCs w:val="24"/>
          <w:highlight w:val="none"/>
        </w:rPr>
        <w:t>.</w:t>
      </w:r>
      <w:r>
        <w:rPr>
          <w:rStyle w:val="20"/>
          <w:rFonts w:hint="eastAsia" w:hAnsi="宋体" w:eastAsia="宋体" w:cs="宋体"/>
          <w:color w:val="auto"/>
          <w:kern w:val="0"/>
          <w:sz w:val="24"/>
          <w:szCs w:val="24"/>
          <w:highlight w:val="none"/>
          <w:lang w:val="en-US" w:eastAsia="zh-CN"/>
        </w:rPr>
        <w:t>3</w:t>
      </w:r>
      <w:r>
        <w:rPr>
          <w:rStyle w:val="20"/>
          <w:rFonts w:hint="eastAsia" w:ascii="宋体" w:hAnsi="宋体" w:eastAsia="宋体" w:cs="宋体"/>
          <w:color w:val="auto"/>
          <w:kern w:val="0"/>
          <w:sz w:val="24"/>
          <w:szCs w:val="24"/>
          <w:highlight w:val="none"/>
          <w:lang w:val="en-US" w:eastAsia="zh-CN"/>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739A3242">
      <w:pPr>
        <w:keepNext w:val="0"/>
        <w:keepLines w:val="0"/>
        <w:pageBreakBefore w:val="0"/>
        <w:kinsoku/>
        <w:wordWrap w:val="0"/>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hAnsi="宋体" w:eastAsia="宋体" w:cs="宋体"/>
          <w:b/>
          <w:bCs/>
          <w:color w:val="auto"/>
          <w:kern w:val="0"/>
          <w:sz w:val="24"/>
          <w:szCs w:val="24"/>
          <w:highlight w:val="none"/>
          <w:lang w:val="en-US" w:eastAsia="zh-CN"/>
        </w:rPr>
        <w:t>3</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val="en-US" w:eastAsia="zh-CN"/>
        </w:rPr>
        <w:t>组建招标监督小组</w:t>
      </w:r>
    </w:p>
    <w:p w14:paraId="50B63A47">
      <w:pPr>
        <w:keepNext w:val="0"/>
        <w:keepLines w:val="0"/>
        <w:pageBreakBefore w:val="0"/>
        <w:kinsoku/>
        <w:wordWrap w:val="0"/>
        <w:overflowPunct/>
        <w:topLinePunct w:val="0"/>
        <w:bidi w:val="0"/>
        <w:spacing w:line="360" w:lineRule="auto"/>
        <w:ind w:firstLine="480" w:firstLineChars="200"/>
        <w:rPr>
          <w:rStyle w:val="20"/>
          <w:rFonts w:hint="eastAsia" w:ascii="宋体" w:hAnsi="宋体" w:eastAsia="宋体" w:cs="宋体"/>
          <w:color w:val="auto"/>
          <w:kern w:val="0"/>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项目业主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03AA6DC7">
      <w:pPr>
        <w:keepNext w:val="0"/>
        <w:keepLines w:val="0"/>
        <w:pageBreakBefore w:val="0"/>
        <w:kinsoku/>
        <w:wordWrap w:val="0"/>
        <w:overflowPunct/>
        <w:topLinePunct w:val="0"/>
        <w:bidi w:val="0"/>
        <w:spacing w:line="360" w:lineRule="auto"/>
        <w:ind w:firstLine="482" w:firstLineChars="200"/>
        <w:jc w:val="left"/>
        <w:rPr>
          <w:rStyle w:val="20"/>
          <w:rFonts w:hint="eastAsia" w:ascii="宋体" w:hAnsi="宋体" w:eastAsia="宋体" w:cs="宋体"/>
          <w:b/>
          <w:bCs/>
          <w:color w:val="auto"/>
          <w:kern w:val="0"/>
          <w:sz w:val="24"/>
          <w:szCs w:val="24"/>
          <w:highlight w:val="none"/>
          <w:lang w:eastAsia="zh-CN"/>
        </w:rPr>
      </w:pPr>
      <w:r>
        <w:rPr>
          <w:rStyle w:val="20"/>
          <w:rFonts w:hint="eastAsia" w:hAnsi="宋体" w:eastAsia="宋体" w:cs="宋体"/>
          <w:b/>
          <w:bCs/>
          <w:color w:val="auto"/>
          <w:kern w:val="0"/>
          <w:sz w:val="24"/>
          <w:szCs w:val="24"/>
          <w:highlight w:val="none"/>
          <w:lang w:val="en-US" w:eastAsia="zh-CN"/>
        </w:rPr>
        <w:t>4</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eastAsia="zh-CN"/>
        </w:rPr>
        <w:t>定标办法</w:t>
      </w:r>
    </w:p>
    <w:p w14:paraId="17F30BDB">
      <w:pPr>
        <w:keepNext w:val="0"/>
        <w:keepLines w:val="0"/>
        <w:pageBreakBefore w:val="0"/>
        <w:kinsoku/>
        <w:wordWrap w:val="0"/>
        <w:overflowPunct/>
        <w:topLinePunct w:val="0"/>
        <w:bidi w:val="0"/>
        <w:spacing w:line="360" w:lineRule="auto"/>
        <w:ind w:firstLine="240" w:firstLineChars="100"/>
        <w:rPr>
          <w:rStyle w:val="20"/>
          <w:rFonts w:hint="eastAsia" w:ascii="宋体" w:hAnsi="宋体" w:eastAsia="宋体" w:cs="宋体"/>
          <w:color w:val="auto"/>
          <w:kern w:val="0"/>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定标办法由招标人按本投标人须知前附表的规定确定（只能选定其中一种定标办法）。</w:t>
      </w:r>
    </w:p>
    <w:p w14:paraId="674FA459">
      <w:pPr>
        <w:keepNext w:val="0"/>
        <w:keepLines w:val="0"/>
        <w:pageBreakBefore w:val="0"/>
        <w:kinsoku/>
        <w:wordWrap w:val="0"/>
        <w:overflowPunct/>
        <w:topLinePunct w:val="0"/>
        <w:bidi w:val="0"/>
        <w:spacing w:line="360" w:lineRule="auto"/>
        <w:ind w:firstLine="480" w:firstLineChars="200"/>
        <w:rPr>
          <w:rFonts w:hint="eastAsia"/>
          <w:color w:val="auto"/>
          <w:sz w:val="24"/>
          <w:szCs w:val="24"/>
          <w:highlight w:val="none"/>
        </w:rPr>
      </w:pPr>
      <w:bookmarkStart w:id="154" w:name="OLE_LINK3"/>
      <w:r>
        <w:rPr>
          <w:rFonts w:hint="eastAsia"/>
          <w:b/>
          <w:bCs/>
          <w:color w:val="auto"/>
          <w:sz w:val="24"/>
          <w:szCs w:val="24"/>
          <w:highlight w:val="none"/>
          <w:lang w:val="en-US" w:eastAsia="zh-CN"/>
        </w:rPr>
        <w:t>本项目</w:t>
      </w:r>
      <w:bookmarkEnd w:id="154"/>
      <w:r>
        <w:rPr>
          <w:rFonts w:hint="eastAsia"/>
          <w:b/>
          <w:bCs/>
          <w:color w:val="auto"/>
          <w:sz w:val="24"/>
          <w:szCs w:val="24"/>
          <w:highlight w:val="none"/>
          <w:lang w:val="en-US" w:eastAsia="zh-CN"/>
        </w:rPr>
        <w:t>采用票决数量法定标。</w:t>
      </w:r>
    </w:p>
    <w:p w14:paraId="33A6A2F0">
      <w:pPr>
        <w:keepNext w:val="0"/>
        <w:keepLines w:val="0"/>
        <w:pageBreakBefore w:val="0"/>
        <w:kinsoku/>
        <w:wordWrap w:val="0"/>
        <w:overflowPunct/>
        <w:topLinePunct w:val="0"/>
        <w:bidi w:val="0"/>
        <w:spacing w:line="360" w:lineRule="auto"/>
        <w:ind w:firstLine="482" w:firstLineChars="200"/>
        <w:rPr>
          <w:rStyle w:val="20"/>
          <w:rFonts w:hint="eastAsia" w:hAnsi="宋体" w:eastAsia="宋体" w:cs="宋体"/>
          <w:b/>
          <w:bCs/>
          <w:color w:val="auto"/>
          <w:kern w:val="0"/>
          <w:sz w:val="24"/>
          <w:szCs w:val="24"/>
          <w:highlight w:val="none"/>
          <w:lang w:val="en-US" w:eastAsia="zh-CN"/>
        </w:rPr>
      </w:pPr>
      <w:r>
        <w:rPr>
          <w:rStyle w:val="20"/>
          <w:rFonts w:hint="eastAsia" w:hAnsi="宋体" w:eastAsia="宋体" w:cs="宋体"/>
          <w:b/>
          <w:bCs/>
          <w:color w:val="auto"/>
          <w:kern w:val="0"/>
          <w:sz w:val="24"/>
          <w:szCs w:val="24"/>
          <w:highlight w:val="none"/>
          <w:lang w:val="en-US" w:eastAsia="zh-CN"/>
        </w:rPr>
        <w:t>5.定标细则</w:t>
      </w:r>
    </w:p>
    <w:p w14:paraId="7A3AEFB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5.1票决数量法程序</w:t>
      </w:r>
    </w:p>
    <w:p w14:paraId="1247579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72D904B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5.1.1.</w:t>
      </w:r>
      <w:r>
        <w:rPr>
          <w:rFonts w:hint="eastAsia" w:ascii="宋体" w:hAnsi="宋体" w:eastAsia="宋体" w:cs="宋体"/>
          <w:b/>
          <w:bCs/>
          <w:color w:val="auto"/>
          <w:sz w:val="24"/>
          <w:szCs w:val="24"/>
          <w:highlight w:val="none"/>
          <w:u w:val="none"/>
          <w:shd w:val="clear" w:color="auto" w:fill="FFFFFF"/>
        </w:rPr>
        <w:t>项目情况介绍</w:t>
      </w:r>
    </w:p>
    <w:p w14:paraId="5523094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5315711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5.1.2.</w:t>
      </w:r>
      <w:r>
        <w:rPr>
          <w:rFonts w:hint="eastAsia" w:ascii="宋体" w:hAnsi="宋体" w:eastAsia="宋体" w:cs="宋体"/>
          <w:b/>
          <w:bCs/>
          <w:color w:val="auto"/>
          <w:sz w:val="24"/>
          <w:szCs w:val="24"/>
          <w:highlight w:val="none"/>
          <w:u w:val="none"/>
          <w:shd w:val="clear" w:color="auto" w:fill="FFFFFF"/>
        </w:rPr>
        <w:t>审阅定标资料</w:t>
      </w:r>
    </w:p>
    <w:p w14:paraId="5BE2A65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22CB8EFE">
      <w:pPr>
        <w:pStyle w:val="13"/>
        <w:keepNext w:val="0"/>
        <w:keepLines w:val="0"/>
        <w:pageBreakBefore w:val="0"/>
        <w:numPr>
          <w:ilvl w:val="0"/>
          <w:numId w:val="0"/>
        </w:numPr>
        <w:shd w:val="clear" w:color="auto" w:fill="FFFFFF"/>
        <w:kinsoku/>
        <w:wordWrap w:val="0"/>
        <w:overflowPunct/>
        <w:topLinePunct w:val="0"/>
        <w:autoSpaceDE/>
        <w:autoSpaceDN/>
        <w:bidi w:val="0"/>
        <w:adjustRightInd/>
        <w:snapToGrid/>
        <w:spacing w:before="0" w:beforeLines="0" w:beforeAutospacing="0" w:after="0" w:afterLines="0" w:afterAutospacing="0" w:line="360" w:lineRule="auto"/>
        <w:ind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5.1.3.</w:t>
      </w:r>
      <w:r>
        <w:rPr>
          <w:rFonts w:hint="eastAsia" w:ascii="宋体" w:hAnsi="宋体" w:eastAsia="宋体" w:cs="宋体"/>
          <w:b/>
          <w:bCs/>
          <w:color w:val="auto"/>
          <w:sz w:val="24"/>
          <w:szCs w:val="24"/>
          <w:highlight w:val="none"/>
          <w:u w:val="none"/>
          <w:shd w:val="clear" w:color="auto" w:fill="FFFFFF"/>
        </w:rPr>
        <w:t>疑问澄清</w:t>
      </w:r>
    </w:p>
    <w:p w14:paraId="090BCC6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63A1FEE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5.1.4.投票，收票，点票和汇总</w:t>
      </w:r>
    </w:p>
    <w:p w14:paraId="2E1FA3E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555EF63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5.1.5.公布结果和出具定标报告</w:t>
      </w:r>
    </w:p>
    <w:p w14:paraId="1ACC9FF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6921EFEB">
      <w:pPr>
        <w:pStyle w:val="13"/>
        <w:keepNext w:val="0"/>
        <w:keepLines w:val="0"/>
        <w:pageBreakBefore w:val="0"/>
        <w:numPr>
          <w:ilvl w:val="0"/>
          <w:numId w:val="0"/>
        </w:numPr>
        <w:shd w:val="clear" w:color="auto" w:fill="FFFFFF"/>
        <w:kinsoku/>
        <w:wordWrap w:val="0"/>
        <w:overflowPunct/>
        <w:topLinePunct w:val="0"/>
        <w:autoSpaceDE/>
        <w:autoSpaceDN/>
        <w:bidi w:val="0"/>
        <w:adjustRightInd/>
        <w:snapToGrid/>
        <w:spacing w:before="0" w:beforeLines="0" w:beforeAutospacing="0" w:after="0" w:afterLines="0" w:afterAutospacing="0" w:line="360" w:lineRule="auto"/>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5.1.6.</w:t>
      </w:r>
      <w:r>
        <w:rPr>
          <w:rFonts w:hint="eastAsia" w:ascii="宋体" w:hAnsi="宋体" w:eastAsia="宋体" w:cs="宋体"/>
          <w:b/>
          <w:bCs/>
          <w:color w:val="auto"/>
          <w:sz w:val="24"/>
          <w:szCs w:val="24"/>
          <w:highlight w:val="none"/>
          <w:u w:val="none"/>
          <w:shd w:val="clear" w:color="auto" w:fill="FFFFFF"/>
        </w:rPr>
        <w:t>全程监督</w:t>
      </w:r>
    </w:p>
    <w:p w14:paraId="36100CC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514476D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5.2定标因素</w:t>
      </w:r>
    </w:p>
    <w:p w14:paraId="6E53138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在同等条件下，择优的定标因素和相对标准有以下几个方面：</w:t>
      </w:r>
    </w:p>
    <w:p w14:paraId="764DADE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783A20C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2BB817F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p>
    <w:p w14:paraId="425D0FE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7812245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（3）评标报告</w:t>
      </w:r>
    </w:p>
    <w:p w14:paraId="5EA4646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4A1190B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（4）农民工工资保障情况</w:t>
      </w:r>
    </w:p>
    <w:p w14:paraId="46D6BBC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w:t>
      </w:r>
      <w:r>
        <w:rPr>
          <w:rFonts w:hint="eastAsia" w:ascii="宋体" w:hAnsi="宋体" w:eastAsia="宋体" w:cs="宋体"/>
          <w:b w:val="0"/>
          <w:bCs w:val="0"/>
          <w:color w:val="auto"/>
          <w:kern w:val="0"/>
          <w:sz w:val="24"/>
          <w:szCs w:val="24"/>
          <w:highlight w:val="none"/>
          <w:u w:val="none"/>
          <w:shd w:val="clear" w:color="auto" w:fill="FFFFFF"/>
          <w:lang w:val="en-US" w:eastAsia="zh-CN" w:bidi="ar-SA"/>
        </w:rPr>
        <w:t>定标候选人提交的证明材料和招标人查询的材料进行评审）。</w:t>
      </w:r>
    </w:p>
    <w:p w14:paraId="0249140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6.定标结果公示</w:t>
      </w:r>
    </w:p>
    <w:p w14:paraId="1AC2ADC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0"/>
          <w:rFonts w:hint="eastAsia" w:ascii="宋体" w:hAnsi="宋体" w:eastAsia="宋体" w:cs="宋体"/>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定标委员会完成定标</w:t>
      </w:r>
      <w:r>
        <w:rPr>
          <w:rStyle w:val="20"/>
          <w:rFonts w:hint="eastAsia" w:ascii="宋体" w:hAnsi="宋体" w:eastAsia="宋体" w:cs="宋体"/>
          <w:b w:val="0"/>
          <w:bCs w:val="0"/>
          <w:color w:val="auto"/>
          <w:kern w:val="0"/>
          <w:sz w:val="24"/>
          <w:szCs w:val="24"/>
          <w:highlight w:val="none"/>
          <w:lang w:val="en-US" w:eastAsia="zh-CN"/>
        </w:rPr>
        <w:t>后</w:t>
      </w:r>
      <w:r>
        <w:rPr>
          <w:rStyle w:val="20"/>
          <w:rFonts w:hint="eastAsia" w:ascii="宋体" w:hAnsi="宋体" w:eastAsia="宋体" w:cs="宋体"/>
          <w:color w:val="auto"/>
          <w:kern w:val="0"/>
          <w:sz w:val="24"/>
          <w:szCs w:val="24"/>
          <w:highlight w:val="none"/>
          <w:lang w:val="en-US" w:eastAsia="zh-CN"/>
        </w:rPr>
        <w:t>，招标人应于定标会结束后3日内将中标候选人和定标情况在广东省招标投标监管网和全国公共资源交易平台（广东省·韶关市）系统上公示，公示时间不少于3日。公示主要内容包括：公示主要内容包括：定标报告（定标成员信息除外）、中标人名单、中标价和拟投入本项目的项目负责人、技术负责人及各专业负责人（如有）等内容。</w:t>
      </w:r>
    </w:p>
    <w:p w14:paraId="7E32015C">
      <w:pPr>
        <w:keepNext w:val="0"/>
        <w:keepLines w:val="0"/>
        <w:pageBreakBefore w:val="0"/>
        <w:kinsoku/>
        <w:wordWrap w:val="0"/>
        <w:overflowPunct/>
        <w:topLinePunct w:val="0"/>
        <w:bidi w:val="0"/>
        <w:spacing w:line="360" w:lineRule="auto"/>
        <w:rPr>
          <w:rFonts w:hint="eastAsia"/>
          <w:color w:val="auto"/>
          <w:sz w:val="24"/>
          <w:szCs w:val="24"/>
          <w:highlight w:val="none"/>
          <w:lang w:val="en-US" w:eastAsia="zh-CN"/>
        </w:rPr>
      </w:pPr>
    </w:p>
    <w:p w14:paraId="3CEEB8C0">
      <w:pPr>
        <w:keepNext w:val="0"/>
        <w:keepLines w:val="0"/>
        <w:pageBreakBefore w:val="0"/>
        <w:kinsoku/>
        <w:wordWrap w:val="0"/>
        <w:overflowPunct/>
        <w:topLinePunct w:val="0"/>
        <w:bidi w:val="0"/>
        <w:spacing w:before="78" w:line="360" w:lineRule="auto"/>
        <w:ind w:left="3525"/>
        <w:outlineLvl w:val="0"/>
        <w:rPr>
          <w:rFonts w:hint="eastAsia" w:ascii="宋体" w:hAnsi="宋体" w:eastAsia="宋体" w:cs="宋体"/>
          <w:b/>
          <w:bCs/>
          <w:color w:val="auto"/>
          <w:spacing w:val="-7"/>
          <w:sz w:val="24"/>
          <w:szCs w:val="24"/>
          <w:highlight w:val="none"/>
        </w:rPr>
      </w:pPr>
    </w:p>
    <w:p w14:paraId="3C22D184">
      <w:pPr>
        <w:pageBreakBefore w:val="0"/>
        <w:kinsoku/>
        <w:wordWrap w:val="0"/>
        <w:overflowPunct/>
        <w:topLinePunct w:val="0"/>
        <w:bidi w:val="0"/>
        <w:rPr>
          <w:rFonts w:hint="eastAsia"/>
          <w:color w:val="auto"/>
          <w:highlight w:val="none"/>
        </w:rPr>
      </w:pPr>
      <w:r>
        <w:rPr>
          <w:rFonts w:hint="eastAsia"/>
          <w:color w:val="auto"/>
          <w:highlight w:val="none"/>
        </w:rPr>
        <w:br w:type="page"/>
      </w:r>
    </w:p>
    <w:p w14:paraId="6DA119DE">
      <w:pPr>
        <w:pStyle w:val="6"/>
        <w:pageBreakBefore w:val="0"/>
        <w:kinsoku/>
        <w:wordWrap w:val="0"/>
        <w:overflowPunct/>
        <w:topLinePunct w:val="0"/>
        <w:bidi w:val="0"/>
        <w:rPr>
          <w:rFonts w:hint="eastAsia"/>
          <w:color w:val="auto"/>
          <w:highlight w:val="none"/>
        </w:rPr>
      </w:pPr>
    </w:p>
    <w:p w14:paraId="216120B9">
      <w:pPr>
        <w:pageBreakBefore w:val="0"/>
        <w:kinsoku/>
        <w:wordWrap w:val="0"/>
        <w:overflowPunct/>
        <w:topLinePunct w:val="0"/>
        <w:bidi w:val="0"/>
        <w:spacing w:before="78" w:line="220" w:lineRule="auto"/>
        <w:ind w:left="9"/>
        <w:jc w:val="center"/>
        <w:outlineLvl w:val="1"/>
        <w:rPr>
          <w:rFonts w:hint="eastAsia" w:ascii="宋体" w:hAnsi="宋体" w:eastAsia="宋体" w:cs="宋体"/>
          <w:b/>
          <w:bCs/>
          <w:color w:val="auto"/>
          <w:spacing w:val="-3"/>
          <w:sz w:val="24"/>
          <w:szCs w:val="24"/>
          <w:highlight w:val="none"/>
        </w:rPr>
      </w:pPr>
      <w:bookmarkStart w:id="155" w:name="_Toc209"/>
    </w:p>
    <w:p w14:paraId="6674D3F8">
      <w:pPr>
        <w:pageBreakBefore w:val="0"/>
        <w:kinsoku/>
        <w:wordWrap w:val="0"/>
        <w:overflowPunct/>
        <w:topLinePunct w:val="0"/>
        <w:bidi w:val="0"/>
        <w:spacing w:before="78" w:line="220" w:lineRule="auto"/>
        <w:ind w:left="9"/>
        <w:jc w:val="center"/>
        <w:outlineLvl w:val="1"/>
        <w:rPr>
          <w:rFonts w:hint="eastAsia" w:ascii="宋体" w:hAnsi="宋体" w:eastAsia="宋体" w:cs="宋体"/>
          <w:b/>
          <w:bCs/>
          <w:color w:val="auto"/>
          <w:spacing w:val="-3"/>
          <w:sz w:val="24"/>
          <w:szCs w:val="24"/>
          <w:highlight w:val="none"/>
          <w:lang w:val="en-US" w:eastAsia="zh-CN"/>
        </w:rPr>
      </w:pPr>
      <w:bookmarkStart w:id="156" w:name="_Toc832"/>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六</w:t>
      </w:r>
      <w:r>
        <w:rPr>
          <w:rFonts w:hint="eastAsia" w:ascii="宋体" w:hAnsi="宋体" w:eastAsia="宋体" w:cs="宋体"/>
          <w:b/>
          <w:bCs/>
          <w:color w:val="auto"/>
          <w:spacing w:val="-3"/>
          <w:sz w:val="24"/>
          <w:szCs w:val="24"/>
          <w:highlight w:val="none"/>
        </w:rPr>
        <w:t>节 中标确认</w:t>
      </w:r>
      <w:bookmarkEnd w:id="155"/>
      <w:bookmarkEnd w:id="156"/>
    </w:p>
    <w:p w14:paraId="7A05DAD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1.中标人确定</w:t>
      </w:r>
    </w:p>
    <w:p w14:paraId="36D267E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1.1 中标人确定。中标结果公示期满无异议的，招标人确认排名第一的中标候选人为中标人，中标人的投标报价即为中标价。</w:t>
      </w:r>
    </w:p>
    <w:p w14:paraId="755409C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auto"/>
          <w:kern w:val="0"/>
          <w:sz w:val="24"/>
          <w:szCs w:val="24"/>
          <w:highlight w:val="none"/>
        </w:rPr>
        <w:t>在中标通知书发出后5个工作日内，韶关市公共资源交易中心将投标保证金（或银行保函）退还给中标候选人以外的投标人。</w:t>
      </w:r>
    </w:p>
    <w:p w14:paraId="13C8676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14:paraId="3622870D">
      <w:pPr>
        <w:keepNext w:val="0"/>
        <w:keepLines w:val="0"/>
        <w:pageBreakBefore w:val="0"/>
        <w:widowControl w:val="0"/>
        <w:shd w:val="clear" w:color="auto" w:fill="auto"/>
        <w:kinsoku/>
        <w:wordWrap w:val="0"/>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异议和投诉</w:t>
      </w:r>
    </w:p>
    <w:p w14:paraId="6F77332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2.1 投标人或者其他利害关系人对招标项目的评标和中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138E001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2.2在定标候选人和中标候选人公示期间有关评标结果的异议成立的，招标人原则上应当组织原评标委员会和原定标委员会对有关的问题予以纠正，问题纠正后再公示定标候选人和中标候选人。</w:t>
      </w:r>
    </w:p>
    <w:p w14:paraId="2D44F3D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0EE7EECE">
      <w:pPr>
        <w:pStyle w:val="13"/>
        <w:keepNext w:val="0"/>
        <w:keepLines w:val="0"/>
        <w:pageBreakBefore w:val="0"/>
        <w:widowControl w:val="0"/>
        <w:shd w:val="clear" w:color="auto" w:fill="auto"/>
        <w:kinsoku/>
        <w:wordWrap w:val="0"/>
        <w:overflowPunct/>
        <w:topLinePunct w:val="0"/>
        <w:bidi w:val="0"/>
        <w:adjustRightInd/>
        <w:snapToGrid/>
        <w:spacing w:before="0" w:beforeLines="0" w:after="0" w:afterLines="0" w:line="360" w:lineRule="auto"/>
        <w:ind w:left="0" w:leftChars="0" w:firstLine="482" w:firstLineChars="200"/>
        <w:jc w:val="both"/>
        <w:textAlignment w:val="auto"/>
        <w:outlineLvl w:val="9"/>
        <w:rPr>
          <w:rFonts w:hint="eastAsia" w:ascii="宋体" w:hAnsi="宋体" w:eastAsia="宋体" w:cs="宋体"/>
          <w:b/>
          <w:bCs/>
          <w:i/>
          <w:color w:val="auto"/>
          <w:sz w:val="24"/>
          <w:szCs w:val="24"/>
          <w:highlight w:val="none"/>
        </w:rPr>
      </w:pPr>
      <w:bookmarkStart w:id="157" w:name="_Toc236550039"/>
      <w:r>
        <w:rPr>
          <w:rStyle w:val="17"/>
          <w:rFonts w:hint="eastAsia" w:ascii="宋体" w:hAnsi="宋体" w:eastAsia="宋体" w:cs="宋体"/>
          <w:b/>
          <w:bCs/>
          <w:i w:val="0"/>
          <w:color w:val="auto"/>
          <w:sz w:val="24"/>
          <w:szCs w:val="24"/>
          <w:highlight w:val="none"/>
          <w:lang w:val="en-US" w:eastAsia="zh-CN"/>
        </w:rPr>
        <w:t>3</w:t>
      </w:r>
      <w:r>
        <w:rPr>
          <w:rStyle w:val="17"/>
          <w:rFonts w:hint="eastAsia" w:ascii="宋体" w:hAnsi="宋体" w:eastAsia="宋体" w:cs="宋体"/>
          <w:b/>
          <w:bCs/>
          <w:i w:val="0"/>
          <w:color w:val="auto"/>
          <w:sz w:val="24"/>
          <w:szCs w:val="24"/>
          <w:highlight w:val="none"/>
        </w:rPr>
        <w:t>．废除授标</w:t>
      </w:r>
      <w:bookmarkEnd w:id="157"/>
      <w:r>
        <w:rPr>
          <w:rStyle w:val="17"/>
          <w:rFonts w:hint="eastAsia" w:ascii="宋体" w:hAnsi="宋体" w:eastAsia="宋体" w:cs="宋体"/>
          <w:b/>
          <w:bCs/>
          <w:i w:val="0"/>
          <w:color w:val="auto"/>
          <w:sz w:val="24"/>
          <w:szCs w:val="24"/>
          <w:highlight w:val="none"/>
        </w:rPr>
        <w:t>及授标</w:t>
      </w:r>
    </w:p>
    <w:p w14:paraId="6F5D045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3.1评定标完成后，中标候选人有下列情形之一的，招标人应按规定取消中标候选人资格或废除授标：</w:t>
      </w:r>
    </w:p>
    <w:p w14:paraId="5761EDE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（1）以他人名义投标或者以其他方式弄虚作假骗取中标的；</w:t>
      </w:r>
    </w:p>
    <w:p w14:paraId="29A613F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（2）与其他投标人串通投标或以行贿的手段谋取中标的；</w:t>
      </w:r>
    </w:p>
    <w:p w14:paraId="34437C4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（3）不是从本投标企业基本账户提交投标担保或以虚假方式提交投标保证金保函（保单）的；</w:t>
      </w:r>
    </w:p>
    <w:p w14:paraId="2CD47F0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（4）中标人于投标有效期终止之前撤回投标文件，或者排名第一的中标候选人放弃中标资格的；</w:t>
      </w:r>
    </w:p>
    <w:p w14:paraId="0DCDC1B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（5）因中标人过错而未能按照规定与招标人签订工程总承包合同或中标人因不可抗力提出不能履行合同的；</w:t>
      </w:r>
    </w:p>
    <w:p w14:paraId="1EBFDBB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（6）因中标人过错而未能按照招标文件要求向招标人提交履约担保的；</w:t>
      </w:r>
    </w:p>
    <w:p w14:paraId="1CB820B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（7）中标单位拟派的项目负责人从投标截止时间起在其他建设工程担任项目负责人；</w:t>
      </w:r>
    </w:p>
    <w:p w14:paraId="18D4A23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（8）中标人被有关部门查实存在影响中标结果的违法行为，不符合中标条件的；</w:t>
      </w:r>
    </w:p>
    <w:p w14:paraId="382F114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（9）中标人在参加本项目投标时有本企业投标承诺书所列被依法限制或暂停承揽业务或停业的处罚的；</w:t>
      </w:r>
    </w:p>
    <w:p w14:paraId="2CE748D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（10）招标文件明确规定可以废除授标的其他情形。</w:t>
      </w:r>
    </w:p>
    <w:p w14:paraId="4CF98D6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456F4F2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3.3 招标人有下列情形之一的，应依法承担相应的责任：</w:t>
      </w:r>
    </w:p>
    <w:p w14:paraId="066BAEA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（1）无正当理由不发出中标通知书的；</w:t>
      </w:r>
    </w:p>
    <w:p w14:paraId="47FF8AB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（2）招标人不按照规定确定中标人的；</w:t>
      </w:r>
    </w:p>
    <w:p w14:paraId="30126BB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（3）中标通知书发出后无正当理由改变中标结果的；</w:t>
      </w:r>
    </w:p>
    <w:p w14:paraId="08A581F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（4）无正当理由不与中标人签订工程总承包合同的；</w:t>
      </w:r>
    </w:p>
    <w:p w14:paraId="058A589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0"/>
          <w:rFonts w:hint="eastAsia" w:ascii="宋体" w:hAnsi="宋体" w:eastAsia="宋体" w:cs="宋体"/>
          <w:color w:val="auto"/>
          <w:kern w:val="0"/>
          <w:sz w:val="24"/>
          <w:szCs w:val="24"/>
          <w:highlight w:val="none"/>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（5）在签订工程总承包合同时向中标人提出附加条件或者更改合同实质性内容的。</w:t>
      </w:r>
    </w:p>
    <w:p w14:paraId="453B91BC">
      <w:pPr>
        <w:keepNext w:val="0"/>
        <w:keepLines w:val="0"/>
        <w:pageBreakBefore w:val="0"/>
        <w:kinsoku/>
        <w:wordWrap w:val="0"/>
        <w:overflowPunct/>
        <w:topLinePunct w:val="0"/>
        <w:bidi w:val="0"/>
        <w:spacing w:line="360" w:lineRule="auto"/>
        <w:rPr>
          <w:rFonts w:hint="eastAsia"/>
          <w:color w:val="auto"/>
          <w:sz w:val="24"/>
          <w:szCs w:val="24"/>
          <w:highlight w:val="none"/>
        </w:rPr>
        <w:sectPr>
          <w:endnotePr>
            <w:numFmt w:val="decimal"/>
          </w:endnotePr>
          <w:pgSz w:w="11906" w:h="16838"/>
          <w:pgMar w:top="1247" w:right="1304" w:bottom="1247" w:left="1304" w:header="850" w:footer="544" w:gutter="0"/>
          <w:pgBorders>
            <w:top w:val="none" w:sz="0" w:space="0"/>
            <w:left w:val="none" w:sz="0" w:space="0"/>
            <w:bottom w:val="none" w:sz="0" w:space="0"/>
            <w:right w:val="none" w:sz="0" w:space="0"/>
          </w:pgBorders>
          <w:cols w:space="720" w:num="1"/>
          <w:rtlGutter w:val="0"/>
          <w:docGrid w:linePitch="327" w:charSpace="0"/>
        </w:sectPr>
      </w:pPr>
    </w:p>
    <w:p w14:paraId="5413A7C9">
      <w:pPr>
        <w:pageBreakBefore w:val="0"/>
        <w:kinsoku/>
        <w:wordWrap w:val="0"/>
        <w:overflowPunct/>
        <w:topLinePunct w:val="0"/>
        <w:bidi w:val="0"/>
        <w:spacing w:before="78" w:line="219" w:lineRule="auto"/>
        <w:ind w:left="3525"/>
        <w:outlineLvl w:val="0"/>
        <w:rPr>
          <w:rFonts w:hint="eastAsia" w:ascii="宋体" w:hAnsi="宋体" w:eastAsia="宋体" w:cs="宋体"/>
          <w:color w:val="auto"/>
          <w:sz w:val="24"/>
          <w:szCs w:val="24"/>
          <w:highlight w:val="none"/>
        </w:rPr>
      </w:pPr>
      <w:bookmarkStart w:id="158" w:name="_Toc6398"/>
      <w:r>
        <w:rPr>
          <w:rFonts w:hint="eastAsia" w:ascii="宋体" w:hAnsi="宋体" w:eastAsia="宋体" w:cs="宋体"/>
          <w:b/>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
          <w:bCs/>
          <w:color w:val="auto"/>
          <w:spacing w:val="-7"/>
          <w:sz w:val="24"/>
          <w:szCs w:val="24"/>
          <w:highlight w:val="none"/>
        </w:rPr>
        <w:t>中标人须知</w:t>
      </w:r>
      <w:bookmarkEnd w:id="158"/>
    </w:p>
    <w:p w14:paraId="73FD4C9A">
      <w:pPr>
        <w:pageBreakBefore w:val="0"/>
        <w:kinsoku/>
        <w:wordWrap w:val="0"/>
        <w:overflowPunct/>
        <w:topLinePunct w:val="0"/>
        <w:bidi w:val="0"/>
        <w:spacing w:before="78" w:line="219" w:lineRule="auto"/>
        <w:ind w:left="582"/>
        <w:outlineLvl w:val="2"/>
        <w:rPr>
          <w:rFonts w:hint="eastAsia" w:ascii="宋体" w:hAnsi="宋体" w:eastAsia="宋体" w:cs="宋体"/>
          <w:color w:val="auto"/>
          <w:sz w:val="24"/>
          <w:szCs w:val="24"/>
          <w:highlight w:val="none"/>
        </w:rPr>
      </w:pPr>
      <w:bookmarkStart w:id="159" w:name="_Toc1365"/>
      <w:r>
        <w:rPr>
          <w:rFonts w:hint="eastAsia" w:ascii="宋体" w:hAnsi="宋体" w:eastAsia="宋体" w:cs="宋体"/>
          <w:b/>
          <w:bCs/>
          <w:color w:val="auto"/>
          <w:spacing w:val="-9"/>
          <w:sz w:val="24"/>
          <w:szCs w:val="24"/>
          <w:highlight w:val="none"/>
        </w:rPr>
        <w:t>1</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9"/>
          <w:sz w:val="24"/>
          <w:szCs w:val="24"/>
          <w:highlight w:val="none"/>
        </w:rPr>
        <w:t>．中标通知书</w:t>
      </w:r>
      <w:bookmarkEnd w:id="159"/>
    </w:p>
    <w:p w14:paraId="72AC753B">
      <w:pPr>
        <w:pageBreakBefore w:val="0"/>
        <w:kinsoku/>
        <w:wordWrap w:val="0"/>
        <w:overflowPunct/>
        <w:topLinePunct w:val="0"/>
        <w:bidi w:val="0"/>
        <w:spacing w:before="152" w:line="332" w:lineRule="auto"/>
        <w:ind w:left="17" w:firstLine="55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招标人确定第一中标候选人为中标人，并在中标人确定之日起</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1"/>
          <w:sz w:val="24"/>
          <w:szCs w:val="24"/>
          <w:highlight w:val="none"/>
        </w:rPr>
        <w:t>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14:paraId="0FA046D1">
      <w:pPr>
        <w:pStyle w:val="3"/>
        <w:pageBreakBefore w:val="0"/>
        <w:kinsoku/>
        <w:wordWrap w:val="0"/>
        <w:overflowPunct/>
        <w:topLinePunct w:val="0"/>
        <w:bidi w:val="0"/>
        <w:spacing w:line="394" w:lineRule="auto"/>
        <w:rPr>
          <w:rFonts w:hint="eastAsia" w:ascii="宋体" w:hAnsi="宋体" w:eastAsia="宋体" w:cs="宋体"/>
          <w:color w:val="auto"/>
          <w:highlight w:val="none"/>
        </w:rPr>
      </w:pPr>
    </w:p>
    <w:p w14:paraId="4EF45B28">
      <w:pPr>
        <w:pageBreakBefore w:val="0"/>
        <w:kinsoku/>
        <w:wordWrap w:val="0"/>
        <w:overflowPunct/>
        <w:topLinePunct w:val="0"/>
        <w:bidi w:val="0"/>
        <w:spacing w:before="78" w:line="221" w:lineRule="auto"/>
        <w:ind w:left="572"/>
        <w:outlineLvl w:val="2"/>
        <w:rPr>
          <w:rFonts w:hint="eastAsia" w:ascii="宋体" w:hAnsi="宋体" w:eastAsia="宋体" w:cs="宋体"/>
          <w:color w:val="auto"/>
          <w:sz w:val="24"/>
          <w:szCs w:val="24"/>
          <w:highlight w:val="none"/>
        </w:rPr>
      </w:pPr>
      <w:bookmarkStart w:id="160" w:name="_Toc15303"/>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．中标结果公示</w:t>
      </w:r>
      <w:bookmarkEnd w:id="160"/>
    </w:p>
    <w:p w14:paraId="4213F0D5">
      <w:pPr>
        <w:pageBreakBefore w:val="0"/>
        <w:kinsoku/>
        <w:wordWrap w:val="0"/>
        <w:overflowPunct/>
        <w:topLinePunct w:val="0"/>
        <w:bidi w:val="0"/>
        <w:spacing w:before="115" w:line="316" w:lineRule="auto"/>
        <w:ind w:left="2" w:right="203" w:firstLine="595"/>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中标通知书发出后</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15日内，招标人应将中标结果在广东省招标投标</w:t>
      </w:r>
      <w:r>
        <w:rPr>
          <w:rFonts w:hint="eastAsia" w:ascii="宋体" w:hAnsi="宋体" w:eastAsia="宋体" w:cs="宋体"/>
          <w:color w:val="auto"/>
          <w:spacing w:val="-3"/>
          <w:sz w:val="24"/>
          <w:szCs w:val="24"/>
          <w:highlight w:val="none"/>
        </w:rPr>
        <w:t>监管网（http:</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//zbtb.gd.gov.cn）、全国公共资源交易平台（广东省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14:paraId="3E0F2192">
      <w:pPr>
        <w:pStyle w:val="3"/>
        <w:pageBreakBefore w:val="0"/>
        <w:kinsoku/>
        <w:wordWrap w:val="0"/>
        <w:overflowPunct/>
        <w:topLinePunct w:val="0"/>
        <w:bidi w:val="0"/>
        <w:spacing w:line="475" w:lineRule="auto"/>
        <w:rPr>
          <w:rFonts w:hint="eastAsia" w:ascii="宋体" w:hAnsi="宋体" w:eastAsia="宋体" w:cs="宋体"/>
          <w:color w:val="auto"/>
          <w:highlight w:val="none"/>
        </w:rPr>
      </w:pPr>
    </w:p>
    <w:p w14:paraId="0D126311">
      <w:pPr>
        <w:pageBreakBefore w:val="0"/>
        <w:kinsoku/>
        <w:wordWrap w:val="0"/>
        <w:overflowPunct/>
        <w:topLinePunct w:val="0"/>
        <w:bidi w:val="0"/>
        <w:spacing w:before="79" w:line="221" w:lineRule="auto"/>
        <w:ind w:left="570"/>
        <w:outlineLvl w:val="2"/>
        <w:rPr>
          <w:rFonts w:hint="eastAsia" w:ascii="宋体" w:hAnsi="宋体" w:eastAsia="宋体" w:cs="宋体"/>
          <w:color w:val="auto"/>
          <w:sz w:val="24"/>
          <w:szCs w:val="24"/>
          <w:highlight w:val="none"/>
        </w:rPr>
      </w:pPr>
      <w:bookmarkStart w:id="161" w:name="_Toc22911"/>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．履约保证</w:t>
      </w:r>
      <w:bookmarkEnd w:id="161"/>
    </w:p>
    <w:p w14:paraId="768BD984">
      <w:pPr>
        <w:keepNext w:val="0"/>
        <w:keepLines w:val="0"/>
        <w:pageBreakBefore w:val="0"/>
        <w:widowControl/>
        <w:kinsoku/>
        <w:wordWrap w:val="0"/>
        <w:overflowPunct/>
        <w:topLinePunct w:val="0"/>
        <w:autoSpaceDE w:val="0"/>
        <w:autoSpaceDN w:val="0"/>
        <w:bidi w:val="0"/>
        <w:adjustRightInd w:val="0"/>
        <w:snapToGrid w:val="0"/>
        <w:spacing w:before="153" w:line="312" w:lineRule="auto"/>
        <w:ind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b/>
          <w:bCs/>
          <w:color w:val="auto"/>
          <w:spacing w:val="17"/>
          <w:sz w:val="24"/>
          <w:szCs w:val="24"/>
          <w:highlight w:val="none"/>
        </w:rPr>
        <w:t xml:space="preserve">  </w:t>
      </w:r>
      <w:r>
        <w:rPr>
          <w:rFonts w:hint="eastAsia" w:ascii="宋体" w:hAnsi="宋体" w:eastAsia="宋体" w:cs="宋体"/>
          <w:color w:val="auto"/>
          <w:spacing w:val="-3"/>
          <w:sz w:val="24"/>
          <w:szCs w:val="24"/>
          <w:highlight w:val="none"/>
        </w:rPr>
        <w:t>中标人须在领取中标通知书之日起</w:t>
      </w:r>
      <w:r>
        <w:rPr>
          <w:rFonts w:hint="eastAsia" w:ascii="宋体" w:hAnsi="宋体" w:eastAsia="宋体" w:cs="宋体"/>
          <w:color w:val="auto"/>
          <w:spacing w:val="-3"/>
          <w:sz w:val="24"/>
          <w:szCs w:val="24"/>
          <w:highlight w:val="none"/>
          <w:u w:val="single"/>
          <w:lang w:val="en-US" w:eastAsia="zh-CN"/>
        </w:rPr>
        <w:t xml:space="preserve"> 10 </w:t>
      </w:r>
      <w:r>
        <w:rPr>
          <w:rFonts w:hint="eastAsia" w:ascii="宋体" w:hAnsi="宋体" w:eastAsia="宋体" w:cs="宋体"/>
          <w:color w:val="auto"/>
          <w:spacing w:val="-3"/>
          <w:sz w:val="24"/>
          <w:szCs w:val="24"/>
          <w:highlight w:val="none"/>
        </w:rPr>
        <w:t>个工作日内、签订合同前向招标人提交金额</w:t>
      </w:r>
      <w:r>
        <w:rPr>
          <w:rFonts w:hint="eastAsia" w:ascii="宋体" w:hAnsi="宋体" w:eastAsia="宋体" w:cs="宋体"/>
          <w:color w:val="auto"/>
          <w:spacing w:val="-1"/>
          <w:position w:val="2"/>
          <w:sz w:val="24"/>
          <w:szCs w:val="24"/>
          <w:highlight w:val="none"/>
        </w:rPr>
        <w:t>为中标价</w:t>
      </w:r>
      <w:r>
        <w:rPr>
          <w:rFonts w:hint="eastAsia" w:ascii="宋体" w:hAnsi="宋体" w:eastAsia="宋体" w:cs="宋体"/>
          <w:color w:val="auto"/>
          <w:spacing w:val="-1"/>
          <w:position w:val="2"/>
          <w:sz w:val="24"/>
          <w:szCs w:val="24"/>
          <w:highlight w:val="none"/>
          <w:u w:val="single"/>
          <w:lang w:val="en-US" w:eastAsia="zh-CN"/>
        </w:rPr>
        <w:t xml:space="preserve"> 5</w:t>
      </w:r>
      <w:r>
        <w:rPr>
          <w:rFonts w:hint="eastAsia" w:ascii="宋体" w:hAnsi="宋体" w:eastAsia="宋体" w:cs="宋体"/>
          <w:color w:val="auto"/>
          <w:spacing w:val="-1"/>
          <w:position w:val="2"/>
          <w:sz w:val="24"/>
          <w:szCs w:val="24"/>
          <w:highlight w:val="none"/>
          <w:u w:val="single"/>
        </w:rPr>
        <w:t xml:space="preserve">%  </w:t>
      </w:r>
      <w:r>
        <w:rPr>
          <w:rFonts w:hint="eastAsia" w:ascii="宋体" w:hAnsi="宋体" w:eastAsia="宋体" w:cs="宋体"/>
          <w:color w:val="auto"/>
          <w:spacing w:val="-1"/>
          <w:position w:val="2"/>
          <w:sz w:val="24"/>
          <w:szCs w:val="24"/>
          <w:highlight w:val="none"/>
        </w:rPr>
        <w:t>的履约保证。</w:t>
      </w:r>
    </w:p>
    <w:p w14:paraId="49C84C93">
      <w:pPr>
        <w:pageBreakBefore w:val="0"/>
        <w:kinsoku/>
        <w:wordWrap w:val="0"/>
        <w:overflowPunct/>
        <w:topLinePunct w:val="0"/>
        <w:bidi w:val="0"/>
        <w:spacing w:before="89" w:line="286" w:lineRule="auto"/>
        <w:ind w:left="12" w:right="108" w:firstLine="47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3.2</w:t>
      </w:r>
      <w:r>
        <w:rPr>
          <w:rFonts w:hint="eastAsia" w:ascii="宋体" w:hAnsi="宋体" w:eastAsia="宋体" w:cs="宋体"/>
          <w:b/>
          <w:bCs/>
          <w:color w:val="auto"/>
          <w:spacing w:val="34"/>
          <w:w w:val="101"/>
          <w:sz w:val="24"/>
          <w:szCs w:val="24"/>
          <w:highlight w:val="none"/>
        </w:rPr>
        <w:t xml:space="preserve"> </w:t>
      </w:r>
      <w:r>
        <w:rPr>
          <w:rFonts w:hint="eastAsia" w:ascii="宋体" w:hAnsi="宋体" w:eastAsia="宋体" w:cs="宋体"/>
          <w:color w:val="auto"/>
          <w:spacing w:val="-1"/>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rPr>
        <w:t>。商业保函、银行保函或保险合同（或保险单）的</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1"/>
          <w:sz w:val="24"/>
          <w:szCs w:val="24"/>
          <w:highlight w:val="none"/>
        </w:rPr>
        <w:t>有效期应当自合同生效之日起至项目通过竣工验收之日后</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
          <w:sz w:val="24"/>
          <w:szCs w:val="24"/>
          <w:highlight w:val="none"/>
        </w:rPr>
        <w:t>28 天止。</w:t>
      </w:r>
    </w:p>
    <w:p w14:paraId="2796A316">
      <w:pPr>
        <w:pageBreakBefore w:val="0"/>
        <w:kinsoku/>
        <w:wordWrap w:val="0"/>
        <w:overflowPunct/>
        <w:topLinePunct w:val="0"/>
        <w:bidi w:val="0"/>
        <w:spacing w:line="440" w:lineRule="exact"/>
        <w:ind w:firstLine="562"/>
        <w:rPr>
          <w:rFonts w:hint="eastAsia"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35FFE1C4">
      <w:pPr>
        <w:pageBreakBefore w:val="0"/>
        <w:kinsoku/>
        <w:wordWrap w:val="0"/>
        <w:overflowPunct/>
        <w:topLinePunct w:val="0"/>
        <w:bidi w:val="0"/>
        <w:spacing w:before="145" w:line="319" w:lineRule="auto"/>
        <w:ind w:left="12" w:right="108"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3.3</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4"/>
          <w:sz w:val="24"/>
          <w:szCs w:val="24"/>
          <w:highlight w:val="none"/>
        </w:rPr>
        <w:t>中标人在领取中标通知书之日起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 个工</w:t>
      </w:r>
      <w:r>
        <w:rPr>
          <w:rFonts w:hint="eastAsia" w:ascii="宋体" w:hAnsi="宋体" w:eastAsia="宋体" w:cs="宋体"/>
          <w:color w:val="auto"/>
          <w:spacing w:val="-5"/>
          <w:sz w:val="24"/>
          <w:szCs w:val="24"/>
          <w:highlight w:val="none"/>
        </w:rPr>
        <w:t>作日内仍未提交履约保证的，招标人发</w:t>
      </w:r>
      <w:r>
        <w:rPr>
          <w:rFonts w:hint="eastAsia" w:ascii="宋体" w:hAnsi="宋体" w:eastAsia="宋体" w:cs="宋体"/>
          <w:color w:val="auto"/>
          <w:spacing w:val="1"/>
          <w:sz w:val="24"/>
          <w:szCs w:val="24"/>
          <w:highlight w:val="none"/>
        </w:rPr>
        <w:t>出第一次提醒函；在领取中标通知书之日起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15 个工作日内仍未提交的</w:t>
      </w:r>
      <w:r>
        <w:rPr>
          <w:rFonts w:hint="eastAsia" w:ascii="宋体" w:hAnsi="宋体" w:eastAsia="宋体" w:cs="宋体"/>
          <w:color w:val="auto"/>
          <w:sz w:val="24"/>
          <w:szCs w:val="24"/>
          <w:highlight w:val="none"/>
        </w:rPr>
        <w:t>，招标人发出第</w:t>
      </w:r>
      <w:r>
        <w:rPr>
          <w:rFonts w:hint="eastAsia" w:ascii="宋体" w:hAnsi="宋体" w:eastAsia="宋体" w:cs="宋体"/>
          <w:color w:val="auto"/>
          <w:spacing w:val="1"/>
          <w:sz w:val="24"/>
          <w:szCs w:val="24"/>
          <w:highlight w:val="none"/>
        </w:rPr>
        <w:t>二次提醒函；在领取中标通知书之日起</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
          <w:sz w:val="24"/>
          <w:szCs w:val="24"/>
          <w:highlight w:val="none"/>
        </w:rPr>
        <w:t>20 个工作日内仍未提交的，视其放弃中标。并</w:t>
      </w:r>
      <w:r>
        <w:rPr>
          <w:rFonts w:hint="eastAsia"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rPr>
        <w:t>保函、银行保函或保险合同。</w:t>
      </w:r>
    </w:p>
    <w:p w14:paraId="514C5854">
      <w:pPr>
        <w:pageBreakBefore w:val="0"/>
        <w:kinsoku/>
        <w:wordWrap w:val="0"/>
        <w:overflowPunct/>
        <w:topLinePunct w:val="0"/>
        <w:bidi w:val="0"/>
        <w:spacing w:before="152" w:line="299" w:lineRule="auto"/>
        <w:ind w:left="12"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3.4  </w:t>
      </w:r>
      <w:r>
        <w:rPr>
          <w:rFonts w:hint="eastAsia" w:ascii="宋体" w:hAnsi="宋体" w:eastAsia="宋体" w:cs="宋体"/>
          <w:color w:val="auto"/>
          <w:sz w:val="24"/>
          <w:szCs w:val="24"/>
          <w:highlight w:val="none"/>
        </w:rPr>
        <w:t>在工程实施过程中，如果承包人（即招标阶段的中标人，下同）由于自身的资</w:t>
      </w:r>
      <w:r>
        <w:rPr>
          <w:rFonts w:hint="eastAsia" w:ascii="宋体" w:hAnsi="宋体" w:eastAsia="宋体" w:cs="宋体"/>
          <w:color w:val="auto"/>
          <w:spacing w:val="-2"/>
          <w:sz w:val="24"/>
          <w:szCs w:val="24"/>
          <w:highlight w:val="none"/>
        </w:rPr>
        <w:t>金、技术、质量、非不可抗力等原因给发包人（即招标阶段的招标人，下同）造成经济</w:t>
      </w:r>
      <w:r>
        <w:rPr>
          <w:rFonts w:hint="eastAsia" w:ascii="宋体" w:hAnsi="宋体" w:eastAsia="宋体" w:cs="宋体"/>
          <w:color w:val="auto"/>
          <w:spacing w:val="-1"/>
          <w:sz w:val="24"/>
          <w:szCs w:val="24"/>
          <w:highlight w:val="none"/>
        </w:rPr>
        <w:t>损失，发包人有权扣划相应金额的履约保证。</w:t>
      </w:r>
    </w:p>
    <w:p w14:paraId="0B05782F">
      <w:pPr>
        <w:pageBreakBefore w:val="0"/>
        <w:kinsoku/>
        <w:wordWrap w:val="0"/>
        <w:overflowPunct/>
        <w:topLinePunct w:val="0"/>
        <w:bidi w:val="0"/>
        <w:spacing w:before="154" w:line="220" w:lineRule="auto"/>
        <w:ind w:left="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3.5  </w:t>
      </w:r>
      <w:r>
        <w:rPr>
          <w:rFonts w:hint="eastAsia" w:ascii="宋体" w:hAnsi="宋体" w:eastAsia="宋体" w:cs="宋体"/>
          <w:color w:val="auto"/>
          <w:sz w:val="24"/>
          <w:szCs w:val="24"/>
          <w:highlight w:val="none"/>
        </w:rPr>
        <w:t>项目通过竣工验收之日后</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28 天内，发包人将履</w:t>
      </w:r>
      <w:r>
        <w:rPr>
          <w:rFonts w:hint="eastAsia" w:ascii="宋体" w:hAnsi="宋体" w:eastAsia="宋体" w:cs="宋体"/>
          <w:color w:val="auto"/>
          <w:spacing w:val="-1"/>
          <w:sz w:val="24"/>
          <w:szCs w:val="24"/>
          <w:highlight w:val="none"/>
        </w:rPr>
        <w:t>约保证退还给承包人。</w:t>
      </w:r>
    </w:p>
    <w:p w14:paraId="5942DFEF">
      <w:pPr>
        <w:pStyle w:val="3"/>
        <w:pageBreakBefore w:val="0"/>
        <w:kinsoku/>
        <w:wordWrap w:val="0"/>
        <w:overflowPunct/>
        <w:topLinePunct w:val="0"/>
        <w:bidi w:val="0"/>
        <w:spacing w:line="256" w:lineRule="auto"/>
        <w:rPr>
          <w:rFonts w:hint="eastAsia" w:ascii="宋体" w:hAnsi="宋体" w:eastAsia="宋体" w:cs="宋体"/>
          <w:color w:val="auto"/>
          <w:highlight w:val="none"/>
        </w:rPr>
      </w:pPr>
    </w:p>
    <w:p w14:paraId="0EC79573">
      <w:pPr>
        <w:pStyle w:val="3"/>
        <w:pageBreakBefore w:val="0"/>
        <w:kinsoku/>
        <w:wordWrap w:val="0"/>
        <w:overflowPunct/>
        <w:topLinePunct w:val="0"/>
        <w:bidi w:val="0"/>
        <w:spacing w:line="257" w:lineRule="auto"/>
        <w:rPr>
          <w:rFonts w:hint="eastAsia" w:ascii="宋体" w:hAnsi="宋体" w:eastAsia="宋体" w:cs="宋体"/>
          <w:color w:val="auto"/>
          <w:highlight w:val="none"/>
        </w:rPr>
      </w:pPr>
    </w:p>
    <w:p w14:paraId="6839761F">
      <w:pPr>
        <w:pageBreakBefore w:val="0"/>
        <w:kinsoku/>
        <w:wordWrap w:val="0"/>
        <w:overflowPunct/>
        <w:topLinePunct w:val="0"/>
        <w:bidi w:val="0"/>
        <w:spacing w:before="78" w:line="222" w:lineRule="auto"/>
        <w:ind w:left="488"/>
        <w:outlineLvl w:val="2"/>
        <w:rPr>
          <w:rFonts w:hint="eastAsia" w:ascii="宋体" w:hAnsi="宋体" w:eastAsia="宋体" w:cs="宋体"/>
          <w:color w:val="auto"/>
          <w:sz w:val="24"/>
          <w:szCs w:val="24"/>
          <w:highlight w:val="none"/>
        </w:rPr>
      </w:pPr>
      <w:bookmarkStart w:id="162" w:name="_Toc25309"/>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．合同订立</w:t>
      </w:r>
      <w:bookmarkEnd w:id="162"/>
    </w:p>
    <w:p w14:paraId="76D76CF8">
      <w:pPr>
        <w:pageBreakBefore w:val="0"/>
        <w:kinsoku/>
        <w:wordWrap w:val="0"/>
        <w:overflowPunct/>
        <w:topLinePunct w:val="0"/>
        <w:bidi w:val="0"/>
        <w:spacing w:before="150" w:line="279" w:lineRule="auto"/>
        <w:ind w:left="13"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color w:val="auto"/>
          <w:sz w:val="24"/>
          <w:szCs w:val="24"/>
          <w:highlight w:val="none"/>
        </w:rPr>
        <w:t>招标人应当自中标通知书发出之日起</w:t>
      </w:r>
      <w:r>
        <w:rPr>
          <w:rFonts w:hint="eastAsia" w:ascii="宋体" w:hAnsi="宋体" w:eastAsia="宋体" w:cs="宋体"/>
          <w:color w:val="auto"/>
          <w:sz w:val="24"/>
          <w:szCs w:val="24"/>
          <w:highlight w:val="none"/>
          <w:u w:val="single"/>
          <w:lang w:val="en-US" w:eastAsia="zh-CN"/>
        </w:rPr>
        <w:t xml:space="preserve"> 30 </w:t>
      </w:r>
      <w:r>
        <w:rPr>
          <w:rFonts w:hint="eastAsia" w:ascii="宋体" w:hAnsi="宋体" w:eastAsia="宋体" w:cs="宋体"/>
          <w:color w:val="auto"/>
          <w:sz w:val="24"/>
          <w:szCs w:val="24"/>
          <w:highlight w:val="none"/>
        </w:rPr>
        <w:t>日内，按照招标文件、中标人的投标</w:t>
      </w:r>
      <w:r>
        <w:rPr>
          <w:rFonts w:hint="eastAsia" w:ascii="宋体" w:hAnsi="宋体" w:eastAsia="宋体" w:cs="宋体"/>
          <w:color w:val="auto"/>
          <w:spacing w:val="-1"/>
          <w:sz w:val="24"/>
          <w:szCs w:val="24"/>
          <w:highlight w:val="none"/>
        </w:rPr>
        <w:t>文件与中标人订立书面合同。</w:t>
      </w:r>
    </w:p>
    <w:p w14:paraId="4E43A176">
      <w:pPr>
        <w:pageBreakBefore w:val="0"/>
        <w:kinsoku/>
        <w:wordWrap w:val="0"/>
        <w:overflowPunct/>
        <w:topLinePunct w:val="0"/>
        <w:bidi w:val="0"/>
        <w:spacing w:before="156"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4.2  </w:t>
      </w:r>
      <w:r>
        <w:rPr>
          <w:rFonts w:hint="eastAsia" w:ascii="宋体" w:hAnsi="宋体" w:eastAsia="宋体" w:cs="宋体"/>
          <w:color w:val="auto"/>
          <w:spacing w:val="-1"/>
          <w:sz w:val="24"/>
          <w:szCs w:val="24"/>
          <w:highlight w:val="none"/>
        </w:rPr>
        <w:t>不正常报价的梳理和确认</w:t>
      </w:r>
    </w:p>
    <w:p w14:paraId="648BF508">
      <w:pPr>
        <w:pageBreakBefore w:val="0"/>
        <w:kinsoku/>
        <w:wordWrap w:val="0"/>
        <w:overflowPunct/>
        <w:topLinePunct w:val="0"/>
        <w:bidi w:val="0"/>
        <w:spacing w:before="154" w:line="299" w:lineRule="auto"/>
        <w:ind w:left="14" w:right="64"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4.2.1 合同订立期间，在不改变中标人的投标总价的前提下，招标人应对中标人的</w:t>
      </w:r>
      <w:r>
        <w:rPr>
          <w:rFonts w:hint="eastAsia" w:ascii="宋体" w:hAnsi="宋体" w:eastAsia="宋体" w:cs="宋体"/>
          <w:b/>
          <w:bCs/>
          <w:color w:val="auto"/>
          <w:spacing w:val="-3"/>
          <w:sz w:val="24"/>
          <w:szCs w:val="24"/>
          <w:highlight w:val="none"/>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rPr>
        <w:t>招标人不具备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w:t>
      </w:r>
      <w:r>
        <w:rPr>
          <w:rFonts w:hint="eastAsia" w:ascii="宋体" w:hAnsi="宋体" w:eastAsia="宋体" w:cs="宋体"/>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的造价咨询单位实施。</w:t>
      </w:r>
    </w:p>
    <w:p w14:paraId="7F0442D0">
      <w:pPr>
        <w:pageBreakBefore w:val="0"/>
        <w:kinsoku/>
        <w:wordWrap w:val="0"/>
        <w:overflowPunct/>
        <w:topLinePunct w:val="0"/>
        <w:bidi w:val="0"/>
        <w:spacing w:before="121" w:line="309" w:lineRule="auto"/>
        <w:ind w:left="14" w:right="65"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4.2.2  </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14:paraId="460300C3">
      <w:pPr>
        <w:pageBreakBefore w:val="0"/>
        <w:kinsoku/>
        <w:wordWrap w:val="0"/>
        <w:overflowPunct/>
        <w:topLinePunct w:val="0"/>
        <w:bidi w:val="0"/>
        <w:spacing w:before="157" w:line="279" w:lineRule="auto"/>
        <w:ind w:left="12" w:right="66"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4.2.3  </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14:paraId="15350C8A">
      <w:pPr>
        <w:pageBreakBefore w:val="0"/>
        <w:kinsoku/>
        <w:wordWrap w:val="0"/>
        <w:overflowPunct/>
        <w:topLinePunct w:val="0"/>
        <w:bidi w:val="0"/>
        <w:spacing w:before="121" w:line="360" w:lineRule="auto"/>
        <w:ind w:firstLine="490"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4.2.4  </w:t>
      </w:r>
      <w:r>
        <w:rPr>
          <w:rFonts w:hint="eastAsia" w:ascii="宋体" w:hAnsi="宋体" w:eastAsia="宋体" w:cs="宋体"/>
          <w:color w:val="auto"/>
          <w:spacing w:val="2"/>
          <w:sz w:val="24"/>
          <w:szCs w:val="24"/>
          <w:highlight w:val="none"/>
        </w:rPr>
        <w:t>不平衡报价的认定。经修正算术性错误后的中标人已标价工程量清单中，</w:t>
      </w:r>
      <w:r>
        <w:rPr>
          <w:rFonts w:hint="eastAsia" w:ascii="宋体" w:hAnsi="宋体" w:eastAsia="宋体" w:cs="宋体"/>
          <w:color w:val="auto"/>
          <w:spacing w:val="2"/>
          <w:sz w:val="24"/>
          <w:szCs w:val="24"/>
          <w:highlight w:val="none"/>
          <w:u w:val="single"/>
        </w:rPr>
        <w:t>对于投标报价中综合单价相对</w:t>
      </w:r>
      <w:r>
        <w:rPr>
          <w:rFonts w:hint="eastAsia" w:ascii="宋体" w:hAnsi="宋体" w:eastAsia="宋体" w:cs="宋体"/>
          <w:color w:val="auto"/>
          <w:spacing w:val="2"/>
          <w:sz w:val="24"/>
          <w:szCs w:val="24"/>
          <w:highlight w:val="none"/>
          <w:u w:val="single"/>
          <w:lang w:eastAsia="zh-CN"/>
        </w:rPr>
        <w:t>最高投标限价</w:t>
      </w:r>
      <w:r>
        <w:rPr>
          <w:rFonts w:hint="eastAsia" w:ascii="宋体" w:hAnsi="宋体" w:eastAsia="宋体" w:cs="宋体"/>
          <w:color w:val="auto"/>
          <w:spacing w:val="2"/>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2"/>
          <w:sz w:val="24"/>
          <w:szCs w:val="24"/>
          <w:highlight w:val="none"/>
          <w:u w:val="none"/>
        </w:rPr>
        <w:t>的清</w:t>
      </w:r>
      <w:r>
        <w:rPr>
          <w:rFonts w:hint="eastAsia" w:ascii="宋体" w:hAnsi="宋体" w:eastAsia="宋体" w:cs="宋体"/>
          <w:color w:val="auto"/>
          <w:spacing w:val="-3"/>
          <w:sz w:val="24"/>
          <w:szCs w:val="24"/>
          <w:highlight w:val="none"/>
          <w:u w:val="none"/>
        </w:rPr>
        <w:t>单项目</w:t>
      </w:r>
      <w:r>
        <w:rPr>
          <w:rFonts w:hint="eastAsia" w:ascii="宋体" w:hAnsi="宋体" w:eastAsia="宋体" w:cs="宋体"/>
          <w:color w:val="auto"/>
          <w:spacing w:val="-3"/>
          <w:sz w:val="24"/>
          <w:szCs w:val="24"/>
          <w:highlight w:val="none"/>
        </w:rPr>
        <w:t>，视为不平衡报价项目。</w:t>
      </w:r>
    </w:p>
    <w:p w14:paraId="528861A1">
      <w:pPr>
        <w:pageBreakBefore w:val="0"/>
        <w:kinsoku/>
        <w:wordWrap w:val="0"/>
        <w:overflowPunct/>
        <w:topLinePunct w:val="0"/>
        <w:bidi w:val="0"/>
        <w:spacing w:before="146" w:line="330" w:lineRule="auto"/>
        <w:ind w:left="10" w:right="65" w:firstLine="478"/>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4.2.5 </w:t>
      </w:r>
      <w:r>
        <w:rPr>
          <w:rFonts w:hint="eastAsia" w:ascii="宋体" w:hAnsi="宋体" w:eastAsia="宋体" w:cs="宋体"/>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096AAFEE">
      <w:pPr>
        <w:pageBreakBefore w:val="0"/>
        <w:kinsoku/>
        <w:wordWrap w:val="0"/>
        <w:overflowPunct/>
        <w:topLinePunct w:val="0"/>
        <w:bidi w:val="0"/>
        <w:spacing w:before="34" w:line="326" w:lineRule="auto"/>
        <w:ind w:left="12" w:right="65" w:firstLine="47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4.2.6 合同履行过程中，被认定为错漏项的清单项目，结算时按照第三章“拟签订</w:t>
      </w:r>
      <w:r>
        <w:rPr>
          <w:rFonts w:hint="eastAsia" w:ascii="宋体" w:hAnsi="宋体" w:eastAsia="宋体" w:cs="宋体"/>
          <w:b/>
          <w:bCs/>
          <w:color w:val="auto"/>
          <w:spacing w:val="-6"/>
          <w:sz w:val="24"/>
          <w:szCs w:val="24"/>
          <w:highlight w:val="none"/>
        </w:rPr>
        <w:t>合同的主要条款</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6"/>
          <w:sz w:val="24"/>
          <w:szCs w:val="24"/>
          <w:highlight w:val="none"/>
        </w:rPr>
        <w:t>”规定处理。</w:t>
      </w:r>
    </w:p>
    <w:p w14:paraId="3EC03351">
      <w:pPr>
        <w:pageBreakBefore w:val="0"/>
        <w:kinsoku/>
        <w:wordWrap w:val="0"/>
        <w:overflowPunct/>
        <w:topLinePunct w:val="0"/>
        <w:bidi w:val="0"/>
        <w:spacing w:before="33" w:line="317" w:lineRule="auto"/>
        <w:ind w:left="12" w:right="38" w:firstLine="476"/>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4.2.7  合同履行过程中，合同约定的调</w:t>
      </w:r>
      <w:r>
        <w:rPr>
          <w:rFonts w:hint="eastAsia" w:ascii="宋体" w:hAnsi="宋体" w:eastAsia="宋体" w:cs="宋体"/>
          <w:b/>
          <w:bCs/>
          <w:color w:val="auto"/>
          <w:spacing w:val="-1"/>
          <w:sz w:val="24"/>
          <w:szCs w:val="24"/>
          <w:highlight w:val="none"/>
        </w:rPr>
        <w:t>整因素（如工程量偏差、工程变更、项目特</w:t>
      </w:r>
      <w:r>
        <w:rPr>
          <w:rFonts w:hint="eastAsia" w:ascii="宋体" w:hAnsi="宋体" w:eastAsia="宋体" w:cs="宋体"/>
          <w:b/>
          <w:bCs/>
          <w:color w:val="auto"/>
          <w:spacing w:val="-4"/>
          <w:sz w:val="24"/>
          <w:szCs w:val="24"/>
          <w:highlight w:val="none"/>
        </w:rPr>
        <w:t>征不符、招标工程量清单缺项等）出现时，被认定为不平衡报价的清单项目以及</w:t>
      </w:r>
      <w:r>
        <w:rPr>
          <w:rFonts w:hint="eastAsia" w:ascii="宋体" w:hAnsi="宋体" w:eastAsia="宋体" w:cs="宋体"/>
          <w:b/>
          <w:bCs/>
          <w:color w:val="auto"/>
          <w:spacing w:val="-5"/>
          <w:sz w:val="24"/>
          <w:szCs w:val="24"/>
          <w:highlight w:val="none"/>
        </w:rPr>
        <w:t>采用被</w:t>
      </w:r>
      <w:r>
        <w:rPr>
          <w:rFonts w:hint="eastAsia" w:ascii="宋体" w:hAnsi="宋体" w:eastAsia="宋体" w:cs="宋体"/>
          <w:b/>
          <w:bCs/>
          <w:color w:val="auto"/>
          <w:spacing w:val="-3"/>
          <w:sz w:val="24"/>
          <w:szCs w:val="24"/>
          <w:highlight w:val="none"/>
        </w:rPr>
        <w:t>认定为不平衡报价的清单项目的价格作为取价（或参照取</w:t>
      </w:r>
      <w:r>
        <w:rPr>
          <w:rFonts w:hint="eastAsia" w:ascii="宋体" w:hAnsi="宋体" w:eastAsia="宋体" w:cs="宋体"/>
          <w:b/>
          <w:bCs/>
          <w:color w:val="auto"/>
          <w:spacing w:val="-4"/>
          <w:sz w:val="24"/>
          <w:szCs w:val="24"/>
          <w:highlight w:val="none"/>
        </w:rPr>
        <w:t>价）依据的变更、新增项目，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3"/>
          <w:sz w:val="24"/>
          <w:szCs w:val="24"/>
          <w:highlight w:val="none"/>
        </w:rPr>
        <w:t>按照第三章“拟签订合同的主要条款</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”有关规定调整</w:t>
      </w:r>
      <w:r>
        <w:rPr>
          <w:rFonts w:hint="eastAsia" w:ascii="宋体" w:hAnsi="宋体" w:eastAsia="宋体" w:cs="宋体"/>
          <w:b/>
          <w:bCs/>
          <w:color w:val="auto"/>
          <w:spacing w:val="-4"/>
          <w:sz w:val="24"/>
          <w:szCs w:val="24"/>
          <w:highlight w:val="none"/>
        </w:rPr>
        <w:t>合同价款。</w:t>
      </w:r>
    </w:p>
    <w:p w14:paraId="2828B542">
      <w:pPr>
        <w:pageBreakBefore w:val="0"/>
        <w:kinsoku/>
        <w:wordWrap w:val="0"/>
        <w:overflowPunct/>
        <w:topLinePunct w:val="0"/>
        <w:bidi w:val="0"/>
        <w:spacing w:before="87" w:line="276"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4.3  </w:t>
      </w:r>
      <w:r>
        <w:rPr>
          <w:rFonts w:hint="eastAsia" w:ascii="宋体" w:hAnsi="宋体" w:eastAsia="宋体" w:cs="宋体"/>
          <w:color w:val="auto"/>
          <w:sz w:val="24"/>
          <w:szCs w:val="24"/>
          <w:highlight w:val="none"/>
        </w:rPr>
        <w:t>本招标项目合同计价方式为：</w:t>
      </w:r>
      <w:r>
        <w:rPr>
          <w:rFonts w:hint="eastAsia" w:ascii="宋体" w:hAnsi="宋体" w:eastAsia="宋体" w:cs="宋体"/>
          <w:color w:val="auto"/>
          <w:sz w:val="24"/>
          <w:szCs w:val="24"/>
          <w:highlight w:val="none"/>
          <w:u w:val="single"/>
        </w:rPr>
        <w:t xml:space="preserve"> 单价 </w:t>
      </w:r>
      <w:r>
        <w:rPr>
          <w:rFonts w:hint="eastAsia" w:ascii="宋体" w:hAnsi="宋体" w:eastAsia="宋体" w:cs="宋体"/>
          <w:color w:val="auto"/>
          <w:spacing w:val="-1"/>
          <w:sz w:val="24"/>
          <w:szCs w:val="24"/>
          <w:highlight w:val="none"/>
        </w:rPr>
        <w:t>合同。</w:t>
      </w:r>
    </w:p>
    <w:p w14:paraId="4BAAE47D">
      <w:pPr>
        <w:pageBreakBefore w:val="0"/>
        <w:kinsoku/>
        <w:wordWrap w:val="0"/>
        <w:overflowPunct/>
        <w:topLinePunct w:val="0"/>
        <w:bidi w:val="0"/>
        <w:spacing w:before="120" w:line="298" w:lineRule="auto"/>
        <w:ind w:left="11" w:right="28"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 xml:space="preserve">4.4  </w:t>
      </w:r>
      <w:r>
        <w:rPr>
          <w:rFonts w:hint="eastAsia" w:ascii="宋体" w:hAnsi="宋体" w:eastAsia="宋体" w:cs="宋体"/>
          <w:color w:val="auto"/>
          <w:spacing w:val="-4"/>
          <w:sz w:val="24"/>
          <w:szCs w:val="24"/>
          <w:highlight w:val="none"/>
        </w:rPr>
        <w:t>合同的标的、质量、履行期限条款和合同的价款、单</w:t>
      </w:r>
      <w:r>
        <w:rPr>
          <w:rFonts w:hint="eastAsia" w:ascii="宋体" w:hAnsi="宋体" w:eastAsia="宋体" w:cs="宋体"/>
          <w:color w:val="auto"/>
          <w:spacing w:val="-5"/>
          <w:sz w:val="24"/>
          <w:szCs w:val="24"/>
          <w:highlight w:val="none"/>
        </w:rPr>
        <w:t>价、比例条款等主要条款，</w:t>
      </w:r>
      <w:r>
        <w:rPr>
          <w:rFonts w:hint="eastAsia" w:ascii="宋体" w:hAnsi="宋体" w:eastAsia="宋体" w:cs="宋体"/>
          <w:color w:val="auto"/>
          <w:spacing w:val="-2"/>
          <w:sz w:val="24"/>
          <w:szCs w:val="24"/>
          <w:highlight w:val="none"/>
        </w:rPr>
        <w:t>应当与招标文件、中标人的投标文件的内容一致。中标人在签订合同时不得向招标人提出附加条件。</w:t>
      </w:r>
    </w:p>
    <w:p w14:paraId="366E90A8">
      <w:pPr>
        <w:pageBreakBefore w:val="0"/>
        <w:kinsoku/>
        <w:wordWrap w:val="0"/>
        <w:overflowPunct/>
        <w:topLinePunct w:val="0"/>
        <w:bidi w:val="0"/>
        <w:spacing w:before="158" w:line="298" w:lineRule="auto"/>
        <w:ind w:left="12" w:right="9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4.5  </w:t>
      </w:r>
      <w:r>
        <w:rPr>
          <w:rFonts w:hint="eastAsia" w:ascii="宋体" w:hAnsi="宋体" w:eastAsia="宋体" w:cs="宋体"/>
          <w:color w:val="auto"/>
          <w:spacing w:val="-3"/>
          <w:sz w:val="24"/>
          <w:szCs w:val="24"/>
          <w:highlight w:val="none"/>
        </w:rPr>
        <w:t>若中标人在领取中标通知书之日起</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30天内仍未签订合同，招标人发出第一次提</w:t>
      </w:r>
      <w:r>
        <w:rPr>
          <w:rFonts w:hint="eastAsia" w:ascii="宋体" w:hAnsi="宋体" w:eastAsia="宋体" w:cs="宋体"/>
          <w:color w:val="auto"/>
          <w:spacing w:val="1"/>
          <w:sz w:val="24"/>
          <w:szCs w:val="24"/>
          <w:highlight w:val="none"/>
        </w:rPr>
        <w:t>醒函；在领取中标通知书之日起</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40天内仍未签订，招标人发出第二次提醒函；在</w:t>
      </w:r>
      <w:r>
        <w:rPr>
          <w:rFonts w:hint="eastAsia" w:ascii="宋体" w:hAnsi="宋体" w:eastAsia="宋体" w:cs="宋体"/>
          <w:color w:val="auto"/>
          <w:sz w:val="24"/>
          <w:szCs w:val="24"/>
          <w:highlight w:val="none"/>
        </w:rPr>
        <w:t>领取</w:t>
      </w:r>
      <w:r>
        <w:rPr>
          <w:rFonts w:hint="eastAsia" w:ascii="宋体" w:hAnsi="宋体" w:eastAsia="宋体" w:cs="宋体"/>
          <w:color w:val="auto"/>
          <w:spacing w:val="-1"/>
          <w:sz w:val="24"/>
          <w:szCs w:val="24"/>
          <w:highlight w:val="none"/>
        </w:rPr>
        <w:t>中标通知书之日起</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45天内仍未签订，视其放弃中标。</w:t>
      </w:r>
    </w:p>
    <w:p w14:paraId="3517AD8D">
      <w:pPr>
        <w:pageBreakBefore w:val="0"/>
        <w:kinsoku/>
        <w:wordWrap w:val="0"/>
        <w:overflowPunct/>
        <w:topLinePunct w:val="0"/>
        <w:bidi w:val="0"/>
        <w:spacing w:before="155" w:line="299" w:lineRule="auto"/>
        <w:ind w:left="12" w:right="82"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4.6  </w:t>
      </w:r>
      <w:r>
        <w:rPr>
          <w:rFonts w:hint="eastAsia" w:ascii="宋体" w:hAnsi="宋体" w:eastAsia="宋体" w:cs="宋体"/>
          <w:color w:val="auto"/>
          <w:sz w:val="24"/>
          <w:szCs w:val="24"/>
          <w:highlight w:val="none"/>
        </w:rPr>
        <w:t>在书面合同订立之日起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 个工作日内，由中标人或招标代理机构将合同上传至</w:t>
      </w:r>
      <w:r>
        <w:rPr>
          <w:rFonts w:hint="eastAsia" w:ascii="宋体" w:hAnsi="宋体" w:eastAsia="宋体" w:cs="宋体"/>
          <w:color w:val="auto"/>
          <w:spacing w:val="-2"/>
          <w:sz w:val="24"/>
          <w:szCs w:val="24"/>
          <w:highlight w:val="none"/>
        </w:rPr>
        <w:t>建设工程交易系统，并发起退还投标保证的申请。韶关市公共资源交易中心在收到申请之日起</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3 个工作日内，将投标保证金（或银行保函）退还给中标人和其他中标候选人。</w:t>
      </w:r>
    </w:p>
    <w:p w14:paraId="556FD923">
      <w:pPr>
        <w:pageBreakBefore w:val="0"/>
        <w:kinsoku/>
        <w:wordWrap w:val="0"/>
        <w:overflowPunct/>
        <w:topLinePunct w:val="0"/>
        <w:bidi w:val="0"/>
        <w:spacing w:before="78" w:line="220" w:lineRule="auto"/>
        <w:ind w:left="489"/>
        <w:outlineLvl w:val="2"/>
        <w:rPr>
          <w:rFonts w:hint="eastAsia" w:ascii="宋体" w:hAnsi="宋体" w:eastAsia="宋体" w:cs="宋体"/>
          <w:color w:val="auto"/>
          <w:sz w:val="24"/>
          <w:szCs w:val="24"/>
          <w:highlight w:val="none"/>
        </w:rPr>
      </w:pPr>
      <w:bookmarkStart w:id="163" w:name="_Toc28192"/>
      <w:r>
        <w:rPr>
          <w:rFonts w:hint="eastAsia" w:ascii="宋体" w:hAnsi="宋体" w:eastAsia="宋体" w:cs="宋体"/>
          <w:b/>
          <w:bCs/>
          <w:color w:val="auto"/>
          <w:spacing w:val="-6"/>
          <w:sz w:val="24"/>
          <w:szCs w:val="24"/>
          <w:highlight w:val="none"/>
        </w:rPr>
        <w:t>5</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6"/>
          <w:sz w:val="24"/>
          <w:szCs w:val="24"/>
          <w:highlight w:val="none"/>
        </w:rPr>
        <w:t>．放弃中标的处理</w:t>
      </w:r>
      <w:bookmarkEnd w:id="163"/>
    </w:p>
    <w:p w14:paraId="68CE2017">
      <w:pPr>
        <w:pageBreakBefore w:val="0"/>
        <w:kinsoku/>
        <w:wordWrap w:val="0"/>
        <w:overflowPunct/>
        <w:topLinePunct w:val="0"/>
        <w:bidi w:val="0"/>
        <w:spacing w:before="150" w:line="319" w:lineRule="auto"/>
        <w:ind w:left="12" w:right="91" w:firstLine="47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5.1</w:t>
      </w:r>
      <w:r>
        <w:rPr>
          <w:rFonts w:hint="eastAsia" w:ascii="宋体" w:hAnsi="宋体" w:eastAsia="宋体" w:cs="宋体"/>
          <w:b/>
          <w:bCs/>
          <w:color w:val="auto"/>
          <w:spacing w:val="19"/>
          <w:w w:val="101"/>
          <w:sz w:val="24"/>
          <w:szCs w:val="24"/>
          <w:highlight w:val="none"/>
        </w:rPr>
        <w:t xml:space="preserve">  </w:t>
      </w:r>
      <w:r>
        <w:rPr>
          <w:rFonts w:hint="eastAsia" w:ascii="宋体" w:hAnsi="宋体" w:eastAsia="宋体" w:cs="宋体"/>
          <w:color w:val="auto"/>
          <w:spacing w:val="-1"/>
          <w:sz w:val="24"/>
          <w:szCs w:val="24"/>
          <w:highlight w:val="none"/>
        </w:rPr>
        <w:t>中标人无正当理由放弃中标的，取消其中标资格，其投标保证不予退还，给招</w:t>
      </w:r>
      <w:r>
        <w:rPr>
          <w:rFonts w:hint="eastAsia" w:ascii="宋体" w:hAnsi="宋体" w:eastAsia="宋体" w:cs="宋体"/>
          <w:color w:val="auto"/>
          <w:spacing w:val="-2"/>
          <w:sz w:val="24"/>
          <w:szCs w:val="24"/>
          <w:highlight w:val="none"/>
        </w:rPr>
        <w:t>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招标人可不接受该弃标人再次投标。同时，</w:t>
      </w:r>
      <w:r>
        <w:rPr>
          <w:rFonts w:hint="eastAsia" w:ascii="宋体" w:hAnsi="宋体" w:eastAsia="宋体" w:cs="宋体"/>
          <w:b/>
          <w:bCs/>
          <w:color w:val="auto"/>
          <w:spacing w:val="-2"/>
          <w:sz w:val="24"/>
          <w:szCs w:val="24"/>
          <w:highlight w:val="none"/>
        </w:rPr>
        <w:t>招</w:t>
      </w:r>
      <w:r>
        <w:rPr>
          <w:rFonts w:hint="eastAsia" w:ascii="宋体" w:hAnsi="宋体" w:eastAsia="宋体" w:cs="宋体"/>
          <w:b/>
          <w:bCs/>
          <w:color w:val="auto"/>
          <w:spacing w:val="-3"/>
          <w:sz w:val="24"/>
          <w:szCs w:val="24"/>
          <w:highlight w:val="none"/>
        </w:rPr>
        <w:t>标人应将该弃标人的失信行为向行政监督部门报告。</w:t>
      </w:r>
    </w:p>
    <w:p w14:paraId="2BA7A379">
      <w:pPr>
        <w:pageBreakBefore w:val="0"/>
        <w:kinsoku/>
        <w:wordWrap w:val="0"/>
        <w:overflowPunct/>
        <w:topLinePunct w:val="0"/>
        <w:bidi w:val="0"/>
        <w:spacing w:before="79" w:line="298" w:lineRule="auto"/>
        <w:ind w:left="10" w:right="91"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5.2</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5"/>
          <w:sz w:val="24"/>
          <w:szCs w:val="24"/>
          <w:highlight w:val="none"/>
        </w:rPr>
        <w:t>中标人因不可抗力提出不能履行合同的，须在领取中标通知书之日起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10天</w:t>
      </w:r>
      <w:r>
        <w:rPr>
          <w:rFonts w:hint="eastAsia" w:ascii="宋体" w:hAnsi="宋体" w:eastAsia="宋体" w:cs="宋体"/>
          <w:color w:val="auto"/>
          <w:spacing w:val="-6"/>
          <w:sz w:val="24"/>
          <w:szCs w:val="24"/>
          <w:highlight w:val="none"/>
        </w:rPr>
        <w:t>内提</w:t>
      </w:r>
      <w:r>
        <w:rPr>
          <w:rFonts w:hint="eastAsia" w:ascii="宋体" w:hAnsi="宋体" w:eastAsia="宋体" w:cs="宋体"/>
          <w:color w:val="auto"/>
          <w:spacing w:val="-2"/>
          <w:sz w:val="24"/>
          <w:szCs w:val="24"/>
          <w:highlight w:val="none"/>
        </w:rPr>
        <w:t>供有关证明文件或资料，其投标保证予以退还，招标人可按照评标委员会提出的中标候选人名单排序依次确定其他中标候选人为中标人。如果招标人认为其他中标候选人的条</w:t>
      </w:r>
      <w:bookmarkStart w:id="164" w:name="bookmark84"/>
      <w:bookmarkEnd w:id="164"/>
      <w:r>
        <w:rPr>
          <w:rFonts w:hint="eastAsia" w:ascii="宋体" w:hAnsi="宋体" w:eastAsia="宋体" w:cs="宋体"/>
          <w:color w:val="auto"/>
          <w:spacing w:val="-2"/>
          <w:sz w:val="24"/>
          <w:szCs w:val="24"/>
          <w:highlight w:val="none"/>
        </w:rPr>
        <w:t>件明显不利于招标人的，也可以重新招标</w:t>
      </w:r>
      <w:r>
        <w:rPr>
          <w:rFonts w:hint="eastAsia" w:ascii="宋体" w:hAnsi="宋体" w:eastAsia="宋体" w:cs="宋体"/>
          <w:color w:val="auto"/>
          <w:spacing w:val="-1"/>
          <w:sz w:val="24"/>
          <w:szCs w:val="24"/>
          <w:highlight w:val="none"/>
        </w:rPr>
        <w:t>。</w:t>
      </w:r>
    </w:p>
    <w:p w14:paraId="7240C6CF">
      <w:pPr>
        <w:pStyle w:val="2"/>
        <w:pageBreakBefore w:val="0"/>
        <w:kinsoku/>
        <w:wordWrap w:val="0"/>
        <w:overflowPunct/>
        <w:topLinePunct w:val="0"/>
        <w:bidi w:val="0"/>
        <w:rPr>
          <w:rFonts w:hint="eastAsia" w:ascii="宋体" w:hAnsi="宋体" w:eastAsia="宋体" w:cs="宋体"/>
          <w:color w:val="auto"/>
          <w:highlight w:val="none"/>
        </w:rPr>
        <w:sectPr>
          <w:footerReference r:id="rId1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166CD33">
      <w:pPr>
        <w:pageBreakBefore w:val="0"/>
        <w:kinsoku/>
        <w:wordWrap w:val="0"/>
        <w:overflowPunct/>
        <w:topLinePunct w:val="0"/>
        <w:bidi w:val="0"/>
        <w:spacing w:before="78" w:line="219" w:lineRule="auto"/>
        <w:ind w:left="2923"/>
        <w:outlineLvl w:val="0"/>
        <w:rPr>
          <w:rFonts w:hint="eastAsia" w:ascii="宋体" w:hAnsi="宋体" w:eastAsia="宋体" w:cs="宋体"/>
          <w:color w:val="auto"/>
          <w:sz w:val="24"/>
          <w:szCs w:val="24"/>
          <w:highlight w:val="none"/>
        </w:rPr>
      </w:pPr>
      <w:bookmarkStart w:id="165" w:name="bookmark86"/>
      <w:bookmarkEnd w:id="165"/>
      <w:bookmarkStart w:id="166" w:name="_Toc10612"/>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拟签订合同的主要条款</w:t>
      </w:r>
      <w:bookmarkEnd w:id="166"/>
    </w:p>
    <w:p w14:paraId="3C6B0B52">
      <w:pPr>
        <w:pStyle w:val="3"/>
        <w:pageBreakBefore w:val="0"/>
        <w:kinsoku/>
        <w:wordWrap w:val="0"/>
        <w:overflowPunct/>
        <w:topLinePunct w:val="0"/>
        <w:bidi w:val="0"/>
        <w:spacing w:line="257" w:lineRule="auto"/>
        <w:rPr>
          <w:rFonts w:hint="eastAsia" w:ascii="宋体" w:hAnsi="宋体" w:eastAsia="宋体" w:cs="宋体"/>
          <w:color w:val="auto"/>
          <w:highlight w:val="none"/>
        </w:rPr>
      </w:pPr>
    </w:p>
    <w:p w14:paraId="6CC8F324">
      <w:pPr>
        <w:pStyle w:val="3"/>
        <w:pageBreakBefore w:val="0"/>
        <w:kinsoku/>
        <w:wordWrap w:val="0"/>
        <w:overflowPunct/>
        <w:topLinePunct w:val="0"/>
        <w:bidi w:val="0"/>
        <w:spacing w:line="257" w:lineRule="auto"/>
        <w:rPr>
          <w:rFonts w:hint="eastAsia" w:ascii="宋体" w:hAnsi="宋体" w:eastAsia="宋体" w:cs="宋体"/>
          <w:color w:val="auto"/>
          <w:highlight w:val="none"/>
        </w:rPr>
      </w:pPr>
    </w:p>
    <w:p w14:paraId="67BF6DEB">
      <w:pPr>
        <w:pageBreakBefore w:val="0"/>
        <w:kinsoku/>
        <w:wordWrap w:val="0"/>
        <w:overflowPunct/>
        <w:topLinePunct w:val="0"/>
        <w:bidi w:val="0"/>
        <w:spacing w:before="78" w:line="220" w:lineRule="auto"/>
        <w:ind w:left="498"/>
        <w:outlineLvl w:val="2"/>
        <w:rPr>
          <w:rFonts w:hint="eastAsia" w:ascii="宋体" w:hAnsi="宋体" w:eastAsia="宋体" w:cs="宋体"/>
          <w:color w:val="auto"/>
          <w:sz w:val="24"/>
          <w:szCs w:val="24"/>
          <w:highlight w:val="none"/>
        </w:rPr>
      </w:pPr>
      <w:bookmarkStart w:id="167" w:name="_Toc9868"/>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．工程承包方式</w:t>
      </w:r>
      <w:bookmarkEnd w:id="167"/>
    </w:p>
    <w:p w14:paraId="26524AE3">
      <w:pPr>
        <w:pageBreakBefore w:val="0"/>
        <w:kinsoku/>
        <w:wordWrap w:val="0"/>
        <w:overflowPunct/>
        <w:topLinePunct w:val="0"/>
        <w:bidi w:val="0"/>
        <w:spacing w:before="153" w:line="299" w:lineRule="auto"/>
        <w:ind w:left="11" w:right="295" w:firstLine="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1.1  </w:t>
      </w:r>
      <w:r>
        <w:rPr>
          <w:rFonts w:hint="eastAsia" w:ascii="宋体" w:hAnsi="宋体" w:eastAsia="宋体" w:cs="宋体"/>
          <w:color w:val="auto"/>
          <w:sz w:val="24"/>
          <w:szCs w:val="24"/>
          <w:highlight w:val="none"/>
        </w:rPr>
        <w:t>承包人以中标价按包工包料、包质量、包安全包文明施工、包工期</w:t>
      </w:r>
      <w:r>
        <w:rPr>
          <w:rFonts w:hint="eastAsia" w:ascii="宋体" w:hAnsi="宋体" w:eastAsia="宋体" w:cs="宋体"/>
          <w:color w:val="auto"/>
          <w:spacing w:val="-1"/>
          <w:sz w:val="24"/>
          <w:szCs w:val="24"/>
          <w:highlight w:val="none"/>
        </w:rPr>
        <w:t>方式总承包</w:t>
      </w:r>
      <w:r>
        <w:rPr>
          <w:rFonts w:hint="eastAsia" w:ascii="宋体" w:hAnsi="宋体" w:eastAsia="宋体" w:cs="宋体"/>
          <w:color w:val="auto"/>
          <w:spacing w:val="-2"/>
          <w:sz w:val="24"/>
          <w:szCs w:val="24"/>
          <w:highlight w:val="none"/>
        </w:rPr>
        <w:t>施工，不允许转包和违法分包，如果确需分包须与发包人协商，在得到发包人和监理单</w:t>
      </w:r>
      <w:r>
        <w:rPr>
          <w:rFonts w:hint="eastAsia" w:ascii="宋体" w:hAnsi="宋体" w:eastAsia="宋体" w:cs="宋体"/>
          <w:color w:val="auto"/>
          <w:spacing w:val="-1"/>
          <w:sz w:val="24"/>
          <w:szCs w:val="24"/>
          <w:highlight w:val="none"/>
        </w:rPr>
        <w:t>位同意后报建设行政主管部门备案。</w:t>
      </w:r>
    </w:p>
    <w:p w14:paraId="258B5D98">
      <w:pPr>
        <w:pageBreakBefore w:val="0"/>
        <w:kinsoku/>
        <w:wordWrap w:val="0"/>
        <w:overflowPunct/>
        <w:topLinePunct w:val="0"/>
        <w:bidi w:val="0"/>
        <w:spacing w:before="153"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1.1.1  </w:t>
      </w:r>
      <w:r>
        <w:rPr>
          <w:rFonts w:hint="eastAsia" w:ascii="宋体" w:hAnsi="宋体" w:eastAsia="宋体" w:cs="宋体"/>
          <w:color w:val="auto"/>
          <w:spacing w:val="-1"/>
          <w:sz w:val="24"/>
          <w:szCs w:val="24"/>
          <w:highlight w:val="none"/>
        </w:rPr>
        <w:t>包工包料：材料符合招标文件要求并报验使用；办理用工保险。</w:t>
      </w:r>
    </w:p>
    <w:p w14:paraId="515689EE">
      <w:pPr>
        <w:pageBreakBefore w:val="0"/>
        <w:kinsoku/>
        <w:wordWrap w:val="0"/>
        <w:overflowPunct/>
        <w:topLinePunct w:val="0"/>
        <w:bidi w:val="0"/>
        <w:spacing w:before="156"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1.1.2  </w:t>
      </w:r>
      <w:r>
        <w:rPr>
          <w:rFonts w:hint="eastAsia" w:ascii="宋体" w:hAnsi="宋体" w:eastAsia="宋体" w:cs="宋体"/>
          <w:color w:val="auto"/>
          <w:spacing w:val="-1"/>
          <w:sz w:val="24"/>
          <w:szCs w:val="24"/>
          <w:highlight w:val="none"/>
        </w:rPr>
        <w:t>包质量：符合招标文件要求。</w:t>
      </w:r>
    </w:p>
    <w:p w14:paraId="58D57A6E">
      <w:pPr>
        <w:pageBreakBefore w:val="0"/>
        <w:kinsoku/>
        <w:wordWrap w:val="0"/>
        <w:overflowPunct/>
        <w:topLinePunct w:val="0"/>
        <w:bidi w:val="0"/>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1.1.3  </w:t>
      </w:r>
      <w:r>
        <w:rPr>
          <w:rFonts w:hint="eastAsia" w:ascii="宋体" w:hAnsi="宋体" w:eastAsia="宋体" w:cs="宋体"/>
          <w:color w:val="auto"/>
          <w:spacing w:val="-1"/>
          <w:sz w:val="24"/>
          <w:szCs w:val="24"/>
          <w:highlight w:val="none"/>
        </w:rPr>
        <w:t>包安全包文明施工：符合招标文件要求。</w:t>
      </w:r>
    </w:p>
    <w:p w14:paraId="6A1C9A7C">
      <w:pPr>
        <w:pageBreakBefore w:val="0"/>
        <w:kinsoku/>
        <w:wordWrap w:val="0"/>
        <w:overflowPunct/>
        <w:topLinePunct w:val="0"/>
        <w:bidi w:val="0"/>
        <w:spacing w:before="154"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1.1.4  </w:t>
      </w:r>
      <w:r>
        <w:rPr>
          <w:rFonts w:hint="eastAsia" w:ascii="宋体" w:hAnsi="宋体" w:eastAsia="宋体" w:cs="宋体"/>
          <w:color w:val="auto"/>
          <w:spacing w:val="-1"/>
          <w:sz w:val="24"/>
          <w:szCs w:val="24"/>
          <w:highlight w:val="none"/>
        </w:rPr>
        <w:t>包工期：本招标项目施工必须在招标工期内完成。</w:t>
      </w:r>
    </w:p>
    <w:p w14:paraId="6067FEF5">
      <w:pPr>
        <w:pStyle w:val="3"/>
        <w:pageBreakBefore w:val="0"/>
        <w:kinsoku/>
        <w:wordWrap w:val="0"/>
        <w:overflowPunct/>
        <w:topLinePunct w:val="0"/>
        <w:bidi w:val="0"/>
        <w:spacing w:line="257" w:lineRule="auto"/>
        <w:rPr>
          <w:rFonts w:hint="eastAsia" w:ascii="宋体" w:hAnsi="宋体" w:eastAsia="宋体" w:cs="宋体"/>
          <w:color w:val="auto"/>
          <w:highlight w:val="none"/>
        </w:rPr>
      </w:pPr>
    </w:p>
    <w:p w14:paraId="1A3CB02C">
      <w:pPr>
        <w:pStyle w:val="3"/>
        <w:pageBreakBefore w:val="0"/>
        <w:kinsoku/>
        <w:wordWrap w:val="0"/>
        <w:overflowPunct/>
        <w:topLinePunct w:val="0"/>
        <w:bidi w:val="0"/>
        <w:spacing w:line="257" w:lineRule="auto"/>
        <w:rPr>
          <w:rFonts w:hint="eastAsia" w:ascii="宋体" w:hAnsi="宋体" w:eastAsia="宋体" w:cs="宋体"/>
          <w:color w:val="auto"/>
          <w:highlight w:val="none"/>
        </w:rPr>
      </w:pPr>
    </w:p>
    <w:p w14:paraId="48096343">
      <w:pPr>
        <w:pageBreakBefore w:val="0"/>
        <w:kinsoku/>
        <w:wordWrap w:val="0"/>
        <w:overflowPunct/>
        <w:topLinePunct w:val="0"/>
        <w:bidi w:val="0"/>
        <w:spacing w:before="78" w:line="220" w:lineRule="auto"/>
        <w:ind w:left="488"/>
        <w:outlineLvl w:val="2"/>
        <w:rPr>
          <w:rFonts w:hint="eastAsia" w:ascii="宋体" w:hAnsi="宋体" w:eastAsia="宋体" w:cs="宋体"/>
          <w:color w:val="auto"/>
          <w:sz w:val="24"/>
          <w:szCs w:val="24"/>
          <w:highlight w:val="none"/>
        </w:rPr>
      </w:pPr>
      <w:bookmarkStart w:id="168" w:name="bookmark88"/>
      <w:bookmarkEnd w:id="168"/>
      <w:bookmarkStart w:id="169" w:name="_Toc3771"/>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．工程结算原则</w:t>
      </w:r>
      <w:bookmarkEnd w:id="169"/>
    </w:p>
    <w:p w14:paraId="5F789777">
      <w:pPr>
        <w:pageBreakBefore w:val="0"/>
        <w:kinsoku/>
        <w:wordWrap w:val="0"/>
        <w:overflowPunct/>
        <w:topLinePunct w:val="0"/>
        <w:bidi w:val="0"/>
        <w:spacing w:before="153"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2.1 </w:t>
      </w:r>
      <w:r>
        <w:rPr>
          <w:rFonts w:hint="eastAsia" w:ascii="宋体" w:hAnsi="宋体" w:eastAsia="宋体" w:cs="宋体"/>
          <w:color w:val="auto"/>
          <w:spacing w:val="-1"/>
          <w:sz w:val="24"/>
          <w:szCs w:val="24"/>
          <w:highlight w:val="none"/>
        </w:rPr>
        <w:t>承包人的投标总价为中标价，即为签约合同价。</w:t>
      </w:r>
    </w:p>
    <w:p w14:paraId="7C2B4B88">
      <w:pPr>
        <w:pageBreakBefore w:val="0"/>
        <w:kinsoku/>
        <w:wordWrap w:val="0"/>
        <w:overflowPunct/>
        <w:topLinePunct w:val="0"/>
        <w:bidi w:val="0"/>
        <w:spacing w:before="155" w:line="319" w:lineRule="auto"/>
        <w:ind w:left="12" w:right="231"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2.2 </w:t>
      </w:r>
      <w:r>
        <w:rPr>
          <w:rFonts w:hint="eastAsia" w:ascii="宋体" w:hAnsi="宋体" w:eastAsia="宋体" w:cs="宋体"/>
          <w:color w:val="auto"/>
          <w:spacing w:val="2"/>
          <w:sz w:val="24"/>
          <w:szCs w:val="24"/>
          <w:highlight w:val="none"/>
        </w:rPr>
        <w:t>招标工程量清单标明的工程量是投标人投标报价的</w:t>
      </w:r>
      <w:r>
        <w:rPr>
          <w:rFonts w:hint="eastAsia" w:ascii="宋体" w:hAnsi="宋体" w:eastAsia="宋体" w:cs="宋体"/>
          <w:color w:val="auto"/>
          <w:spacing w:val="1"/>
          <w:sz w:val="24"/>
          <w:szCs w:val="24"/>
          <w:highlight w:val="none"/>
        </w:rPr>
        <w:t>共同基础，竣工结算的工程</w:t>
      </w:r>
      <w:r>
        <w:rPr>
          <w:rFonts w:hint="eastAsia" w:ascii="宋体" w:hAnsi="宋体" w:eastAsia="宋体" w:cs="宋体"/>
          <w:color w:val="auto"/>
          <w:spacing w:val="-5"/>
          <w:sz w:val="24"/>
          <w:szCs w:val="24"/>
          <w:highlight w:val="none"/>
        </w:rPr>
        <w:t>量按</w:t>
      </w:r>
      <w:bookmarkStart w:id="170" w:name="OLE_LINK28"/>
      <w:r>
        <w:rPr>
          <w:rFonts w:hint="eastAsia" w:ascii="宋体" w:hAnsi="宋体" w:eastAsia="宋体" w:cs="宋体"/>
          <w:color w:val="auto"/>
          <w:spacing w:val="-5"/>
          <w:sz w:val="24"/>
          <w:szCs w:val="24"/>
          <w:highlight w:val="none"/>
        </w:rPr>
        <w:t>《建设工程工程量清单计价</w:t>
      </w:r>
      <w:r>
        <w:rPr>
          <w:rFonts w:hint="eastAsia" w:ascii="宋体" w:hAnsi="宋体" w:eastAsia="宋体" w:cs="宋体"/>
          <w:color w:val="auto"/>
          <w:spacing w:val="-5"/>
          <w:sz w:val="24"/>
          <w:szCs w:val="24"/>
          <w:highlight w:val="none"/>
          <w:lang w:val="en-US" w:eastAsia="zh-CN"/>
        </w:rPr>
        <w:t>标准</w:t>
      </w:r>
      <w:r>
        <w:rPr>
          <w:rFonts w:hint="eastAsia" w:ascii="宋体" w:hAnsi="宋体" w:eastAsia="宋体" w:cs="宋体"/>
          <w:color w:val="auto"/>
          <w:spacing w:val="-5"/>
          <w:sz w:val="24"/>
          <w:szCs w:val="24"/>
          <w:highlight w:val="none"/>
        </w:rPr>
        <w:t>》（GB50500—</w:t>
      </w:r>
      <w:r>
        <w:rPr>
          <w:rFonts w:hint="eastAsia" w:ascii="宋体" w:hAnsi="宋体" w:eastAsia="宋体" w:cs="宋体"/>
          <w:color w:val="auto"/>
          <w:spacing w:val="-5"/>
          <w:sz w:val="24"/>
          <w:szCs w:val="24"/>
          <w:highlight w:val="none"/>
          <w:lang w:val="en-US" w:eastAsia="zh-CN"/>
        </w:rPr>
        <w:t>2024</w:t>
      </w:r>
      <w:r>
        <w:rPr>
          <w:rFonts w:hint="eastAsia" w:ascii="宋体" w:hAnsi="宋体" w:eastAsia="宋体" w:cs="宋体"/>
          <w:color w:val="auto"/>
          <w:spacing w:val="-5"/>
          <w:sz w:val="24"/>
          <w:szCs w:val="24"/>
          <w:highlight w:val="none"/>
        </w:rPr>
        <w:t>）对工程计量的规定进行计量，</w:t>
      </w:r>
      <w:r>
        <w:rPr>
          <w:rFonts w:hint="eastAsia" w:ascii="宋体" w:hAnsi="宋体" w:eastAsia="宋体" w:cs="宋体"/>
          <w:color w:val="auto"/>
          <w:spacing w:val="-2"/>
          <w:sz w:val="24"/>
          <w:szCs w:val="24"/>
          <w:highlight w:val="none"/>
        </w:rPr>
        <w:t>必须以承包人完成合同工程应予计量的工程量确定。施</w:t>
      </w:r>
      <w:bookmarkEnd w:id="170"/>
      <w:r>
        <w:rPr>
          <w:rFonts w:hint="eastAsia" w:ascii="宋体" w:hAnsi="宋体" w:eastAsia="宋体" w:cs="宋体"/>
          <w:color w:val="auto"/>
          <w:spacing w:val="-2"/>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rPr>
        <w:t>的工程量，发包人不予计量。</w:t>
      </w:r>
    </w:p>
    <w:p w14:paraId="01C87EDF">
      <w:pPr>
        <w:pageBreakBefore w:val="0"/>
        <w:kinsoku/>
        <w:wordWrap w:val="0"/>
        <w:overflowPunct/>
        <w:topLinePunct w:val="0"/>
        <w:bidi w:val="0"/>
        <w:spacing w:before="38" w:line="299" w:lineRule="auto"/>
        <w:ind w:left="12" w:right="183" w:firstLine="475"/>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2.3  </w:t>
      </w:r>
      <w:r>
        <w:rPr>
          <w:rFonts w:hint="eastAsia" w:ascii="宋体" w:hAnsi="宋体" w:eastAsia="宋体" w:cs="宋体"/>
          <w:color w:val="auto"/>
          <w:sz w:val="24"/>
          <w:szCs w:val="24"/>
          <w:highlight w:val="none"/>
        </w:rPr>
        <w:t>施工合同履行期间，若出现下列情形的，发、承包双方应当按照以下规定调整</w:t>
      </w:r>
      <w:r>
        <w:rPr>
          <w:rFonts w:hint="eastAsia" w:ascii="宋体" w:hAnsi="宋体" w:eastAsia="宋体" w:cs="宋体"/>
          <w:color w:val="auto"/>
          <w:spacing w:val="-3"/>
          <w:sz w:val="24"/>
          <w:szCs w:val="24"/>
          <w:highlight w:val="none"/>
        </w:rPr>
        <w:t>合同价款：</w:t>
      </w:r>
    </w:p>
    <w:p w14:paraId="50F65D12">
      <w:pPr>
        <w:pageBreakBefore w:val="0"/>
        <w:kinsoku/>
        <w:wordWrap w:val="0"/>
        <w:overflowPunct/>
        <w:topLinePunct w:val="0"/>
        <w:bidi w:val="0"/>
        <w:spacing w:before="227"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2.3.1  </w:t>
      </w:r>
      <w:r>
        <w:rPr>
          <w:rFonts w:hint="eastAsia" w:ascii="宋体" w:hAnsi="宋体" w:eastAsia="宋体" w:cs="宋体"/>
          <w:color w:val="auto"/>
          <w:spacing w:val="-1"/>
          <w:sz w:val="24"/>
          <w:szCs w:val="24"/>
          <w:highlight w:val="none"/>
        </w:rPr>
        <w:t>法律法规变化</w:t>
      </w:r>
    </w:p>
    <w:p w14:paraId="0AC2BD08">
      <w:pPr>
        <w:pageBreakBefore w:val="0"/>
        <w:kinsoku/>
        <w:wordWrap w:val="0"/>
        <w:overflowPunct/>
        <w:topLinePunct w:val="0"/>
        <w:bidi w:val="0"/>
        <w:spacing w:before="156" w:line="298"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2.3.1.1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基准日之后，因国家法律、法规、规章和政策发生变化引起工程造价增减变</w:t>
      </w:r>
      <w:r>
        <w:rPr>
          <w:rFonts w:hint="eastAsia" w:ascii="宋体" w:hAnsi="宋体" w:eastAsia="宋体" w:cs="宋体"/>
          <w:color w:val="auto"/>
          <w:spacing w:val="-2"/>
          <w:sz w:val="24"/>
          <w:szCs w:val="24"/>
          <w:highlight w:val="none"/>
        </w:rPr>
        <w:t>化时，发、承包双方应按照省级建设主管部门（或省级行业主管部门）或其授权的工程</w:t>
      </w:r>
      <w:r>
        <w:rPr>
          <w:rFonts w:hint="eastAsia" w:ascii="宋体" w:hAnsi="宋体" w:eastAsia="宋体" w:cs="宋体"/>
          <w:color w:val="auto"/>
          <w:spacing w:val="-1"/>
          <w:sz w:val="24"/>
          <w:szCs w:val="24"/>
          <w:highlight w:val="none"/>
        </w:rPr>
        <w:t>造价管理机构据此发布的最新规定调整合同价款。</w:t>
      </w:r>
    </w:p>
    <w:p w14:paraId="393945A3">
      <w:pPr>
        <w:pageBreakBefore w:val="0"/>
        <w:kinsoku/>
        <w:wordWrap w:val="0"/>
        <w:overflowPunct/>
        <w:topLinePunct w:val="0"/>
        <w:bidi w:val="0"/>
        <w:spacing w:before="157" w:line="325" w:lineRule="auto"/>
        <w:ind w:left="12" w:right="183"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注：本招标文件所称“基准日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11"/>
          <w:sz w:val="24"/>
          <w:szCs w:val="24"/>
          <w:highlight w:val="none"/>
        </w:rPr>
        <w:t>”，均指投标文</w:t>
      </w:r>
      <w:r>
        <w:rPr>
          <w:rFonts w:hint="eastAsia" w:ascii="宋体" w:hAnsi="宋体" w:eastAsia="宋体" w:cs="宋体"/>
          <w:b/>
          <w:bCs/>
          <w:color w:val="auto"/>
          <w:spacing w:val="-12"/>
          <w:sz w:val="24"/>
          <w:szCs w:val="24"/>
          <w:highlight w:val="none"/>
        </w:rPr>
        <w:t>件递交截止时间（见第一章第二节“重</w:t>
      </w:r>
      <w:r>
        <w:rPr>
          <w:rFonts w:hint="eastAsia" w:ascii="宋体" w:hAnsi="宋体" w:eastAsia="宋体" w:cs="宋体"/>
          <w:b/>
          <w:bCs/>
          <w:color w:val="auto"/>
          <w:spacing w:val="-5"/>
          <w:sz w:val="24"/>
          <w:szCs w:val="24"/>
          <w:highlight w:val="none"/>
        </w:rPr>
        <w:t>要事项时间地点一览表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”）前</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5"/>
          <w:sz w:val="24"/>
          <w:szCs w:val="24"/>
          <w:highlight w:val="none"/>
        </w:rPr>
        <w:t>28 天。</w:t>
      </w:r>
    </w:p>
    <w:p w14:paraId="23643975">
      <w:pPr>
        <w:pageBreakBefore w:val="0"/>
        <w:kinsoku/>
        <w:wordWrap w:val="0"/>
        <w:overflowPunct/>
        <w:topLinePunct w:val="0"/>
        <w:bidi w:val="0"/>
        <w:spacing w:before="33" w:line="299" w:lineRule="auto"/>
        <w:ind w:left="11"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2.3.1.2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1"/>
          <w:sz w:val="24"/>
          <w:szCs w:val="24"/>
          <w:highlight w:val="none"/>
        </w:rPr>
        <w:t>因承包人原因导致工程延误，本章第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1"/>
          <w:sz w:val="24"/>
          <w:szCs w:val="24"/>
          <w:highlight w:val="none"/>
        </w:rPr>
        <w:t>2</w:t>
      </w:r>
      <w:r>
        <w:rPr>
          <w:rFonts w:hint="eastAsia" w:ascii="宋体" w:hAnsi="宋体" w:eastAsia="宋体" w:cs="宋体"/>
          <w:b/>
          <w:bCs/>
          <w:color w:val="auto"/>
          <w:sz w:val="24"/>
          <w:szCs w:val="24"/>
          <w:highlight w:val="none"/>
        </w:rPr>
        <w:t xml:space="preserve">.3.1.1 </w:t>
      </w:r>
      <w:r>
        <w:rPr>
          <w:rFonts w:hint="eastAsia" w:ascii="宋体" w:hAnsi="宋体" w:eastAsia="宋体" w:cs="宋体"/>
          <w:color w:val="auto"/>
          <w:sz w:val="24"/>
          <w:szCs w:val="24"/>
          <w:highlight w:val="none"/>
        </w:rPr>
        <w:t>子目中的法定机构根据国家法</w:t>
      </w:r>
      <w:r>
        <w:rPr>
          <w:rFonts w:hint="eastAsia" w:ascii="宋体" w:hAnsi="宋体" w:eastAsia="宋体" w:cs="宋体"/>
          <w:color w:val="auto"/>
          <w:spacing w:val="-3"/>
          <w:sz w:val="24"/>
          <w:szCs w:val="24"/>
          <w:highlight w:val="none"/>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rPr>
        <w:t>合同价款调减的予以调整。</w:t>
      </w:r>
    </w:p>
    <w:p w14:paraId="3BE6F0A0">
      <w:pPr>
        <w:pageBreakBefore w:val="0"/>
        <w:kinsoku/>
        <w:wordWrap w:val="0"/>
        <w:overflowPunct/>
        <w:topLinePunct w:val="0"/>
        <w:bidi w:val="0"/>
        <w:spacing w:before="155"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2.3.2  </w:t>
      </w:r>
      <w:r>
        <w:rPr>
          <w:rFonts w:hint="eastAsia" w:ascii="宋体" w:hAnsi="宋体" w:eastAsia="宋体" w:cs="宋体"/>
          <w:color w:val="auto"/>
          <w:spacing w:val="-1"/>
          <w:sz w:val="24"/>
          <w:szCs w:val="24"/>
          <w:highlight w:val="none"/>
        </w:rPr>
        <w:t>工程量偏差或变化</w:t>
      </w:r>
    </w:p>
    <w:p w14:paraId="53B8677A">
      <w:pPr>
        <w:pageBreakBefore w:val="0"/>
        <w:kinsoku/>
        <w:wordWrap w:val="0"/>
        <w:overflowPunct/>
        <w:topLinePunct w:val="0"/>
        <w:bidi w:val="0"/>
        <w:spacing w:before="158" w:line="309"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2.3.2.1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合同履行期间，当应予计算的实际工程量与招标工程量清单出现偏差或因工程变更引起已标价工程量清单项目的工程数量发生变化时，工程量偏差或变化在</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3"/>
          <w:sz w:val="24"/>
          <w:szCs w:val="24"/>
          <w:highlight w:val="none"/>
        </w:rPr>
        <w:t>15%以</w:t>
      </w:r>
      <w:r>
        <w:rPr>
          <w:rFonts w:hint="eastAsia" w:ascii="宋体" w:hAnsi="宋体" w:eastAsia="宋体" w:cs="宋体"/>
          <w:color w:val="auto"/>
          <w:spacing w:val="-4"/>
          <w:sz w:val="24"/>
          <w:szCs w:val="24"/>
          <w:highlight w:val="none"/>
        </w:rPr>
        <w:t>内（含</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4"/>
          <w:sz w:val="24"/>
          <w:szCs w:val="24"/>
          <w:highlight w:val="none"/>
        </w:rPr>
        <w:t>15%）的，其综合单价不予调整；工程量偏差或变化超过</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15%的，按照以下规定</w:t>
      </w:r>
      <w:r>
        <w:rPr>
          <w:rFonts w:hint="eastAsia" w:ascii="宋体" w:hAnsi="宋体" w:eastAsia="宋体" w:cs="宋体"/>
          <w:color w:val="auto"/>
          <w:spacing w:val="-3"/>
          <w:sz w:val="24"/>
          <w:szCs w:val="24"/>
          <w:highlight w:val="none"/>
        </w:rPr>
        <w:t>调整：</w:t>
      </w:r>
    </w:p>
    <w:p w14:paraId="5B55EA75">
      <w:pPr>
        <w:pageBreakBefore w:val="0"/>
        <w:kinsoku/>
        <w:wordWrap w:val="0"/>
        <w:overflowPunct/>
        <w:topLinePunct w:val="0"/>
        <w:bidi w:val="0"/>
        <w:spacing w:before="78" w:line="327" w:lineRule="auto"/>
        <w:ind w:left="12" w:firstLine="478"/>
        <w:jc w:val="both"/>
        <w:rPr>
          <w:rFonts w:hint="eastAsia" w:ascii="宋体" w:hAnsi="宋体" w:eastAsia="宋体" w:cs="宋体"/>
          <w:color w:val="auto"/>
          <w:sz w:val="24"/>
          <w:szCs w:val="24"/>
          <w:highlight w:val="none"/>
        </w:rPr>
      </w:pPr>
      <w:bookmarkStart w:id="171" w:name="bookmark142"/>
      <w:bookmarkEnd w:id="171"/>
      <w:r>
        <w:rPr>
          <w:rFonts w:hint="eastAsia" w:ascii="宋体" w:hAnsi="宋体" w:eastAsia="宋体" w:cs="宋体"/>
          <w:color w:val="auto"/>
          <w:spacing w:val="-3"/>
          <w:sz w:val="24"/>
          <w:szCs w:val="24"/>
          <w:highlight w:val="none"/>
        </w:rPr>
        <w:t>对于合理报价的清单项目，当工程量增加超过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15%时，增加部分的工程量的综合单</w:t>
      </w:r>
      <w:r>
        <w:rPr>
          <w:rFonts w:hint="eastAsia" w:ascii="宋体" w:hAnsi="宋体" w:eastAsia="宋体" w:cs="宋体"/>
          <w:color w:val="auto"/>
          <w:spacing w:val="-7"/>
          <w:sz w:val="24"/>
          <w:szCs w:val="24"/>
          <w:highlight w:val="none"/>
        </w:rPr>
        <w:t>价以</w:t>
      </w:r>
      <w:r>
        <w:rPr>
          <w:rFonts w:hint="eastAsia" w:ascii="宋体" w:hAnsi="宋体" w:eastAsia="宋体" w:cs="宋体"/>
          <w:color w:val="auto"/>
          <w:spacing w:val="-3"/>
          <w:sz w:val="24"/>
          <w:szCs w:val="24"/>
          <w:highlight w:val="none"/>
        </w:rPr>
        <w:t>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r>
        <w:rPr>
          <w:rFonts w:hint="eastAsia" w:ascii="宋体" w:hAnsi="宋体" w:eastAsia="宋体" w:cs="宋体"/>
          <w:color w:val="auto"/>
          <w:spacing w:val="-1"/>
          <w:sz w:val="24"/>
          <w:szCs w:val="24"/>
          <w:highlight w:val="none"/>
        </w:rPr>
        <w:t>。</w:t>
      </w:r>
    </w:p>
    <w:p w14:paraId="2482612A">
      <w:pPr>
        <w:pageBreakBefore w:val="0"/>
        <w:kinsoku/>
        <w:wordWrap w:val="0"/>
        <w:overflowPunct/>
        <w:topLinePunct w:val="0"/>
        <w:bidi w:val="0"/>
        <w:spacing w:before="97" w:line="324" w:lineRule="auto"/>
        <w:ind w:left="13" w:right="179"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对于按照第二章“</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 条被认定为不平衡报价的清单项目，其综合</w:t>
      </w:r>
      <w:r>
        <w:rPr>
          <w:rFonts w:hint="eastAsia" w:ascii="宋体" w:hAnsi="宋体" w:eastAsia="宋体" w:cs="宋体"/>
          <w:b/>
          <w:bCs/>
          <w:color w:val="auto"/>
          <w:spacing w:val="-3"/>
          <w:sz w:val="24"/>
          <w:szCs w:val="24"/>
          <w:highlight w:val="none"/>
        </w:rPr>
        <w:t>单价按照以下方法调整：</w:t>
      </w:r>
    </w:p>
    <w:p w14:paraId="5A5F1B3C">
      <w:pPr>
        <w:pageBreakBefore w:val="0"/>
        <w:kinsoku/>
        <w:wordWrap w:val="0"/>
        <w:overflowPunct/>
        <w:topLinePunct w:val="0"/>
        <w:bidi w:val="0"/>
        <w:spacing w:before="97" w:line="324" w:lineRule="auto"/>
        <w:ind w:left="13" w:right="179" w:firstLine="477"/>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t>以</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中《分部分项工程和单价措施项目清单与计价表》子目相对应综合单价×（1-中标下浮率）。</w:t>
      </w:r>
    </w:p>
    <w:p w14:paraId="51501E43">
      <w:pPr>
        <w:pageBreakBefore w:val="0"/>
        <w:kinsoku/>
        <w:wordWrap w:val="0"/>
        <w:overflowPunct/>
        <w:topLinePunct w:val="0"/>
        <w:bidi w:val="0"/>
        <w:spacing w:before="97" w:line="324" w:lineRule="auto"/>
        <w:ind w:left="13" w:right="179" w:firstLine="477"/>
        <w:rPr>
          <w:rFonts w:hint="eastAsia" w:ascii="宋体" w:hAnsi="宋体" w:eastAsia="宋体" w:cs="宋体"/>
          <w:b/>
          <w:bCs/>
          <w:color w:val="auto"/>
          <w:spacing w:val="-4"/>
          <w:sz w:val="24"/>
          <w:szCs w:val="24"/>
          <w:highlight w:val="none"/>
        </w:rPr>
      </w:pPr>
      <w:bookmarkStart w:id="172" w:name="_Toc18478"/>
      <w:bookmarkStart w:id="173" w:name="_Toc12035"/>
      <w:bookmarkStart w:id="174" w:name="_Toc30068"/>
      <w:r>
        <w:rPr>
          <w:rFonts w:hint="eastAsia" w:ascii="宋体" w:hAnsi="宋体" w:eastAsia="宋体" w:cs="宋体"/>
          <w:b/>
          <w:bCs/>
          <w:color w:val="auto"/>
          <w:spacing w:val="-4"/>
          <w:sz w:val="24"/>
          <w:szCs w:val="24"/>
          <w:highlight w:val="none"/>
        </w:rPr>
        <w:t>中标下浮率=[1-（中标价-</w:t>
      </w:r>
      <w:r>
        <w:rPr>
          <w:rFonts w:hint="eastAsia" w:ascii="宋体" w:hAnsi="宋体" w:eastAsia="宋体" w:cs="宋体"/>
          <w:b/>
          <w:bCs/>
          <w:color w:val="auto"/>
          <w:spacing w:val="-4"/>
          <w:sz w:val="24"/>
          <w:szCs w:val="24"/>
          <w:highlight w:val="none"/>
          <w:lang w:val="en-US" w:eastAsia="zh-CN"/>
        </w:rPr>
        <w:t>中标安全生产措施费</w:t>
      </w:r>
      <w:r>
        <w:rPr>
          <w:rFonts w:hint="eastAsia" w:ascii="宋体" w:hAnsi="宋体" w:eastAsia="宋体" w:cs="宋体"/>
          <w:b/>
          <w:bCs/>
          <w:color w:val="auto"/>
          <w:spacing w:val="-4"/>
          <w:sz w:val="24"/>
          <w:szCs w:val="24"/>
          <w:highlight w:val="none"/>
        </w:rPr>
        <w:t>-暂列金额-暂估价）/（</w:t>
      </w:r>
      <w:bookmarkEnd w:id="172"/>
      <w:bookmarkEnd w:id="173"/>
      <w:bookmarkStart w:id="175" w:name="_Toc13602"/>
      <w:bookmarkStart w:id="176" w:name="_Toc15512"/>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-控制价</w:t>
      </w:r>
      <w:r>
        <w:rPr>
          <w:rFonts w:hint="eastAsia" w:ascii="宋体" w:hAnsi="宋体" w:eastAsia="宋体" w:cs="宋体"/>
          <w:b/>
          <w:bCs/>
          <w:color w:val="auto"/>
          <w:spacing w:val="-4"/>
          <w:sz w:val="24"/>
          <w:szCs w:val="24"/>
          <w:highlight w:val="none"/>
          <w:lang w:val="en-US" w:eastAsia="zh-CN"/>
        </w:rPr>
        <w:t>安全生产措施费</w:t>
      </w:r>
      <w:r>
        <w:rPr>
          <w:rFonts w:hint="eastAsia" w:ascii="宋体" w:hAnsi="宋体" w:eastAsia="宋体" w:cs="宋体"/>
          <w:b/>
          <w:bCs/>
          <w:color w:val="auto"/>
          <w:spacing w:val="-4"/>
          <w:sz w:val="24"/>
          <w:szCs w:val="24"/>
          <w:highlight w:val="none"/>
        </w:rPr>
        <w:t>-暂列金额-暂估价）] ×100%</w:t>
      </w:r>
      <w:bookmarkEnd w:id="174"/>
      <w:bookmarkEnd w:id="175"/>
      <w:bookmarkEnd w:id="176"/>
    </w:p>
    <w:p w14:paraId="6393F5EA">
      <w:pPr>
        <w:pageBreakBefore w:val="0"/>
        <w:kinsoku/>
        <w:wordWrap w:val="0"/>
        <w:overflowPunct/>
        <w:topLinePunct w:val="0"/>
        <w:bidi w:val="0"/>
        <w:spacing w:before="123" w:line="301" w:lineRule="auto"/>
        <w:ind w:left="10" w:right="116" w:firstLine="48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若修正后的该部分《分部分项工程和单价措施项目清单与计价表》总金额大于原投</w:t>
      </w:r>
      <w:r>
        <w:rPr>
          <w:rFonts w:hint="eastAsia" w:ascii="宋体" w:hAnsi="宋体" w:eastAsia="宋体" w:cs="宋体"/>
          <w:color w:val="auto"/>
          <w:spacing w:val="-1"/>
          <w:sz w:val="24"/>
          <w:szCs w:val="24"/>
          <w:highlight w:val="none"/>
        </w:rPr>
        <w:t>标报价中的该部分总金额，则从投标报价需</w:t>
      </w:r>
      <w:r>
        <w:rPr>
          <w:rFonts w:hint="eastAsia" w:ascii="宋体" w:hAnsi="宋体" w:eastAsia="宋体" w:cs="宋体"/>
          <w:color w:val="auto"/>
          <w:spacing w:val="-2"/>
          <w:sz w:val="24"/>
          <w:szCs w:val="24"/>
          <w:highlight w:val="none"/>
        </w:rPr>
        <w:t>调高的综合单价中选择偏离最大的清单开始</w:t>
      </w:r>
      <w:r>
        <w:rPr>
          <w:rFonts w:hint="eastAsia" w:ascii="宋体" w:hAnsi="宋体" w:eastAsia="宋体" w:cs="宋体"/>
          <w:color w:val="auto"/>
          <w:spacing w:val="-1"/>
          <w:sz w:val="24"/>
          <w:szCs w:val="24"/>
          <w:highlight w:val="none"/>
        </w:rPr>
        <w:t>调整，调整幅度逐步减少，直至修正后的该</w:t>
      </w:r>
      <w:r>
        <w:rPr>
          <w:rFonts w:hint="eastAsia" w:ascii="宋体" w:hAnsi="宋体" w:eastAsia="宋体" w:cs="宋体"/>
          <w:color w:val="auto"/>
          <w:spacing w:val="-2"/>
          <w:sz w:val="24"/>
          <w:szCs w:val="24"/>
          <w:highlight w:val="none"/>
        </w:rPr>
        <w:t>部分《分部分项工程和单价措施项目清单与</w:t>
      </w:r>
      <w:r>
        <w:rPr>
          <w:rFonts w:hint="eastAsia" w:ascii="宋体" w:hAnsi="宋体" w:eastAsia="宋体" w:cs="宋体"/>
          <w:color w:val="auto"/>
          <w:spacing w:val="-1"/>
          <w:sz w:val="24"/>
          <w:szCs w:val="24"/>
          <w:highlight w:val="none"/>
        </w:rPr>
        <w:t>计价表》总金额与原投标报价中的该部分总</w:t>
      </w:r>
      <w:r>
        <w:rPr>
          <w:rFonts w:hint="eastAsia" w:ascii="宋体" w:hAnsi="宋体" w:eastAsia="宋体" w:cs="宋体"/>
          <w:color w:val="auto"/>
          <w:spacing w:val="-2"/>
          <w:sz w:val="24"/>
          <w:szCs w:val="24"/>
          <w:highlight w:val="none"/>
        </w:rPr>
        <w:t>金额一致；若修正后的该部分《分部分项工</w:t>
      </w:r>
      <w:r>
        <w:rPr>
          <w:rFonts w:hint="eastAsia" w:ascii="宋体" w:hAnsi="宋体" w:eastAsia="宋体" w:cs="宋体"/>
          <w:color w:val="auto"/>
          <w:spacing w:val="-1"/>
          <w:sz w:val="24"/>
          <w:szCs w:val="24"/>
          <w:highlight w:val="none"/>
        </w:rPr>
        <w:t>程和单价措施项目清单与计价表》总金额小</w:t>
      </w:r>
      <w:r>
        <w:rPr>
          <w:rFonts w:hint="eastAsia" w:ascii="宋体" w:hAnsi="宋体" w:eastAsia="宋体" w:cs="宋体"/>
          <w:color w:val="auto"/>
          <w:spacing w:val="-2"/>
          <w:sz w:val="24"/>
          <w:szCs w:val="24"/>
          <w:highlight w:val="none"/>
        </w:rPr>
        <w:t>于原投标报价中的该部分总金额，则从投标</w:t>
      </w:r>
      <w:r>
        <w:rPr>
          <w:rFonts w:hint="eastAsia" w:ascii="宋体" w:hAnsi="宋体" w:eastAsia="宋体" w:cs="宋体"/>
          <w:color w:val="auto"/>
          <w:spacing w:val="-1"/>
          <w:sz w:val="24"/>
          <w:szCs w:val="24"/>
          <w:highlight w:val="none"/>
        </w:rPr>
        <w:t>报价需调低的综合单价中选择偏离最大的清</w:t>
      </w:r>
      <w:r>
        <w:rPr>
          <w:rFonts w:hint="eastAsia" w:ascii="宋体" w:hAnsi="宋体" w:eastAsia="宋体" w:cs="宋体"/>
          <w:color w:val="auto"/>
          <w:spacing w:val="-2"/>
          <w:sz w:val="24"/>
          <w:szCs w:val="24"/>
          <w:highlight w:val="none"/>
        </w:rPr>
        <w:t>单开始调整，调整幅度逐步减少，直至修正</w:t>
      </w:r>
      <w:r>
        <w:rPr>
          <w:rFonts w:hint="eastAsia" w:ascii="宋体" w:hAnsi="宋体" w:eastAsia="宋体" w:cs="宋体"/>
          <w:color w:val="auto"/>
          <w:spacing w:val="-1"/>
          <w:sz w:val="24"/>
          <w:szCs w:val="24"/>
          <w:highlight w:val="none"/>
        </w:rPr>
        <w:t>后的该部分《分部分项工程和单价措施项目</w:t>
      </w:r>
      <w:r>
        <w:rPr>
          <w:rFonts w:hint="eastAsia" w:ascii="宋体" w:hAnsi="宋体" w:eastAsia="宋体" w:cs="宋体"/>
          <w:color w:val="auto"/>
          <w:spacing w:val="-2"/>
          <w:sz w:val="24"/>
          <w:szCs w:val="24"/>
          <w:highlight w:val="none"/>
        </w:rPr>
        <w:t>清单与计价表》总金额与原投标报价中的该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2"/>
          <w:sz w:val="24"/>
          <w:szCs w:val="24"/>
          <w:highlight w:val="none"/>
        </w:rPr>
        <w:t>部分总金额一致。修正后的总造价应与总中标价保持一致，形成《不平衡报价修正报告》，</w:t>
      </w:r>
      <w:r>
        <w:rPr>
          <w:rFonts w:hint="eastAsia" w:ascii="宋体" w:hAnsi="宋体" w:eastAsia="宋体" w:cs="宋体"/>
          <w:color w:val="auto"/>
          <w:spacing w:val="-1"/>
          <w:sz w:val="24"/>
          <w:szCs w:val="24"/>
          <w:highlight w:val="none"/>
        </w:rPr>
        <w:t>并由招标人和中标人共同签章确认。</w:t>
      </w:r>
    </w:p>
    <w:p w14:paraId="68FBC4E8">
      <w:pPr>
        <w:pageBreakBefore w:val="0"/>
        <w:kinsoku/>
        <w:wordWrap w:val="0"/>
        <w:overflowPunct/>
        <w:topLinePunct w:val="0"/>
        <w:bidi w:val="0"/>
        <w:spacing w:before="129" w:line="299" w:lineRule="auto"/>
        <w:ind w:left="12" w:right="17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2.3.2.2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如果工程量出现本章第</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1"/>
          <w:sz w:val="24"/>
          <w:szCs w:val="24"/>
          <w:highlight w:val="none"/>
        </w:rPr>
        <w:t xml:space="preserve">2.3.2.1 </w:t>
      </w:r>
      <w:r>
        <w:rPr>
          <w:rFonts w:hint="eastAsia" w:ascii="宋体" w:hAnsi="宋体" w:eastAsia="宋体" w:cs="宋体"/>
          <w:color w:val="auto"/>
          <w:spacing w:val="1"/>
          <w:sz w:val="24"/>
          <w:szCs w:val="24"/>
          <w:highlight w:val="none"/>
        </w:rPr>
        <w:t>子目的变化，且该变化引起相关措施项目相</w:t>
      </w:r>
      <w:r>
        <w:rPr>
          <w:rFonts w:hint="eastAsia" w:ascii="宋体" w:hAnsi="宋体" w:eastAsia="宋体" w:cs="宋体"/>
          <w:color w:val="auto"/>
          <w:spacing w:val="-2"/>
          <w:sz w:val="24"/>
          <w:szCs w:val="24"/>
          <w:highlight w:val="none"/>
        </w:rPr>
        <w:t>应发生变化时，按系数或单一总价方式计价的，工程量增加的措施项目费调增，工程量</w:t>
      </w:r>
      <w:r>
        <w:rPr>
          <w:rFonts w:hint="eastAsia" w:ascii="宋体" w:hAnsi="宋体" w:eastAsia="宋体" w:cs="宋体"/>
          <w:color w:val="auto"/>
          <w:spacing w:val="-1"/>
          <w:sz w:val="24"/>
          <w:szCs w:val="24"/>
          <w:highlight w:val="none"/>
        </w:rPr>
        <w:t>减少的措施项目费调减。</w:t>
      </w:r>
    </w:p>
    <w:p w14:paraId="3EF8AFC3">
      <w:pPr>
        <w:pageBreakBefore w:val="0"/>
        <w:kinsoku/>
        <w:wordWrap w:val="0"/>
        <w:overflowPunct/>
        <w:topLinePunct w:val="0"/>
        <w:bidi w:val="0"/>
        <w:spacing w:before="154" w:line="221"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工程变更</w:t>
      </w:r>
    </w:p>
    <w:p w14:paraId="662453EE">
      <w:pPr>
        <w:pageBreakBefore w:val="0"/>
        <w:kinsoku/>
        <w:wordWrap w:val="0"/>
        <w:overflowPunct/>
        <w:topLinePunct w:val="0"/>
        <w:bidi w:val="0"/>
        <w:spacing w:before="153" w:line="279" w:lineRule="auto"/>
        <w:ind w:left="19" w:right="179" w:firstLine="468"/>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合同履行期间，因工程变更引起已标价工程量清单项目发生变化时，按照以下规定调整：</w:t>
      </w:r>
    </w:p>
    <w:p w14:paraId="5EF0AACD">
      <w:pPr>
        <w:pageBreakBefore w:val="0"/>
        <w:numPr>
          <w:ilvl w:val="0"/>
          <w:numId w:val="2"/>
        </w:numPr>
        <w:kinsoku/>
        <w:wordWrap w:val="0"/>
        <w:overflowPunct/>
        <w:topLinePunct w:val="0"/>
        <w:bidi w:val="0"/>
        <w:spacing w:before="78" w:line="360" w:lineRule="auto"/>
        <w:ind w:firstLine="242" w:firstLineChars="100"/>
        <w:rPr>
          <w:rFonts w:hint="eastAsia" w:ascii="宋体" w:hAnsi="宋体" w:eastAsia="宋体" w:cs="宋体"/>
          <w:b/>
          <w:bCs/>
          <w:color w:val="auto"/>
          <w:spacing w:val="-2"/>
          <w:sz w:val="24"/>
          <w:szCs w:val="24"/>
          <w:highlight w:val="none"/>
        </w:rPr>
      </w:pPr>
      <w:r>
        <w:rPr>
          <w:rFonts w:hint="eastAsia" w:ascii="宋体" w:hAnsi="宋体" w:eastAsia="宋体" w:cs="宋体"/>
          <w:color w:val="auto"/>
          <w:spacing w:val="1"/>
          <w:sz w:val="24"/>
          <w:szCs w:val="24"/>
          <w:highlight w:val="none"/>
        </w:rPr>
        <w:t>已标价工程量清单中有适用于变更工程项目的，采用该项目的单价。</w:t>
      </w:r>
      <w:r>
        <w:rPr>
          <w:rFonts w:hint="eastAsia" w:ascii="宋体" w:hAnsi="宋体" w:eastAsia="宋体" w:cs="宋体"/>
          <w:b/>
          <w:bCs/>
          <w:color w:val="auto"/>
          <w:spacing w:val="1"/>
          <w:sz w:val="24"/>
          <w:szCs w:val="24"/>
          <w:highlight w:val="none"/>
        </w:rPr>
        <w:t>但如果</w:t>
      </w:r>
      <w:bookmarkStart w:id="177" w:name="bookmark143"/>
      <w:bookmarkEnd w:id="177"/>
      <w:r>
        <w:rPr>
          <w:rFonts w:hint="eastAsia" w:ascii="宋体" w:hAnsi="宋体" w:eastAsia="宋体" w:cs="宋体"/>
          <w:b/>
          <w:bCs/>
          <w:color w:val="auto"/>
          <w:spacing w:val="-7"/>
          <w:sz w:val="24"/>
          <w:szCs w:val="24"/>
          <w:highlight w:val="none"/>
        </w:rPr>
        <w:t>被采用的项目属于按照第二章“中标人须知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7"/>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8"/>
          <w:sz w:val="24"/>
          <w:szCs w:val="24"/>
          <w:highlight w:val="none"/>
        </w:rPr>
        <w:t>4.2 条被认定为不平衡报价的清单项目，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2"/>
          <w:sz w:val="24"/>
          <w:szCs w:val="24"/>
          <w:highlight w:val="none"/>
        </w:rPr>
        <w:t>变更工程项目的单价按照</w:t>
      </w:r>
      <w:r>
        <w:rPr>
          <w:rFonts w:hint="eastAsia" w:ascii="宋体" w:hAnsi="宋体" w:eastAsia="宋体" w:cs="宋体"/>
          <w:b/>
          <w:bCs/>
          <w:color w:val="auto"/>
          <w:spacing w:val="-7"/>
          <w:sz w:val="24"/>
          <w:szCs w:val="24"/>
          <w:highlight w:val="none"/>
        </w:rPr>
        <w:t>本章 2.3.2.1 的</w:t>
      </w:r>
      <w:r>
        <w:rPr>
          <w:rFonts w:hint="eastAsia" w:ascii="宋体" w:hAnsi="宋体" w:eastAsia="宋体" w:cs="宋体"/>
          <w:b/>
          <w:bCs/>
          <w:color w:val="auto"/>
          <w:spacing w:val="-2"/>
          <w:sz w:val="24"/>
          <w:szCs w:val="24"/>
          <w:highlight w:val="none"/>
        </w:rPr>
        <w:t>方法调整。】</w:t>
      </w:r>
    </w:p>
    <w:p w14:paraId="2C5B3DDC">
      <w:pPr>
        <w:pageBreakBefore w:val="0"/>
        <w:numPr>
          <w:ilvl w:val="0"/>
          <w:numId w:val="0"/>
        </w:numPr>
        <w:kinsoku/>
        <w:wordWrap w:val="0"/>
        <w:overflowPunct/>
        <w:topLinePunct w:val="0"/>
        <w:bidi w:val="0"/>
        <w:spacing w:before="78" w:line="360" w:lineRule="auto"/>
        <w:ind w:firstLine="237" w:firstLineChars="1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2</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已标价工程量清单中没有适用但有类似于变更工程项目的，可在合理范围内</w:t>
      </w:r>
      <w:r>
        <w:rPr>
          <w:rFonts w:hint="eastAsia" w:ascii="宋体" w:hAnsi="宋体" w:eastAsia="宋体" w:cs="宋体"/>
          <w:color w:val="auto"/>
          <w:spacing w:val="-3"/>
          <w:sz w:val="24"/>
          <w:szCs w:val="24"/>
          <w:highlight w:val="none"/>
        </w:rPr>
        <w:t>参照类似项目的单价。</w:t>
      </w:r>
      <w:r>
        <w:rPr>
          <w:rFonts w:hint="eastAsia" w:ascii="宋体" w:hAnsi="宋体" w:eastAsia="宋体" w:cs="宋体"/>
          <w:b/>
          <w:bCs/>
          <w:color w:val="auto"/>
          <w:spacing w:val="-3"/>
          <w:sz w:val="24"/>
          <w:szCs w:val="24"/>
          <w:highlight w:val="none"/>
        </w:rPr>
        <w:t>但如果被参考的类似项目属于按照第二章“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pacing w:val="-4"/>
          <w:sz w:val="24"/>
          <w:szCs w:val="24"/>
          <w:highlight w:val="none"/>
        </w:rPr>
        <w:t>条被认定为不平衡报价的清单项目，变更工程项目的单价按照本章2.3.2.1 的方法调整。</w:t>
      </w:r>
    </w:p>
    <w:p w14:paraId="044009E5">
      <w:pPr>
        <w:pageBreakBefore w:val="0"/>
        <w:numPr>
          <w:ilvl w:val="0"/>
          <w:numId w:val="0"/>
        </w:numPr>
        <w:kinsoku/>
        <w:wordWrap w:val="0"/>
        <w:overflowPunct/>
        <w:topLinePunct w:val="0"/>
        <w:bidi w:val="0"/>
        <w:spacing w:before="38" w:line="310" w:lineRule="auto"/>
        <w:ind w:right="81" w:rightChars="0" w:firstLine="242" w:firstLineChars="10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已标价工程量清单中没有适用也没有类似于变更工程项目的，由承包人根据</w:t>
      </w:r>
      <w:r>
        <w:rPr>
          <w:rFonts w:hint="eastAsia" w:ascii="宋体" w:hAnsi="宋体" w:eastAsia="宋体" w:cs="宋体"/>
          <w:color w:val="auto"/>
          <w:spacing w:val="-2"/>
          <w:sz w:val="24"/>
          <w:szCs w:val="24"/>
          <w:highlight w:val="none"/>
        </w:rPr>
        <w:t>变更工程资料、计量规则、计价办法、施工当月项目所在地工程造价管理机构发布的价格信息和中标下浮率提出变更工程项目的单价，报发包人确认后调整。中标下浮率的计算公式如下：</w:t>
      </w:r>
    </w:p>
    <w:p w14:paraId="5388631A">
      <w:pPr>
        <w:pageBreakBefore w:val="0"/>
        <w:kinsoku/>
        <w:wordWrap w:val="0"/>
        <w:overflowPunct/>
        <w:topLinePunct w:val="0"/>
        <w:bidi w:val="0"/>
        <w:spacing w:before="126" w:line="314" w:lineRule="auto"/>
        <w:ind w:left="29" w:right="21" w:firstLine="50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中标下浮率=[1-（中标价-中标</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2"/>
          <w:sz w:val="24"/>
          <w:szCs w:val="24"/>
          <w:highlight w:val="none"/>
        </w:rPr>
        <w:t>-暂列</w:t>
      </w:r>
      <w:r>
        <w:rPr>
          <w:rFonts w:hint="eastAsia" w:ascii="宋体" w:hAnsi="宋体" w:eastAsia="宋体" w:cs="宋体"/>
          <w:b/>
          <w:bCs/>
          <w:color w:val="auto"/>
          <w:spacing w:val="-3"/>
          <w:sz w:val="24"/>
          <w:szCs w:val="24"/>
          <w:highlight w:val="none"/>
        </w:rPr>
        <w:t>金额-暂估价）/（</w:t>
      </w:r>
      <w:r>
        <w:rPr>
          <w:rFonts w:hint="eastAsia" w:ascii="宋体" w:hAnsi="宋体" w:eastAsia="宋体" w:cs="宋体"/>
          <w:b/>
          <w:bCs/>
          <w:color w:val="auto"/>
          <w:spacing w:val="-3"/>
          <w:sz w:val="24"/>
          <w:szCs w:val="24"/>
          <w:highlight w:val="none"/>
          <w:lang w:eastAsia="zh-CN"/>
        </w:rPr>
        <w:t>最高投标限价</w:t>
      </w:r>
      <w:r>
        <w:rPr>
          <w:rFonts w:hint="eastAsia" w:ascii="宋体" w:hAnsi="宋体" w:eastAsia="宋体" w:cs="宋体"/>
          <w:b/>
          <w:bCs/>
          <w:color w:val="auto"/>
          <w:spacing w:val="-3"/>
          <w:sz w:val="24"/>
          <w:szCs w:val="24"/>
          <w:highlight w:val="none"/>
        </w:rPr>
        <w:t>-控制价</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3"/>
          <w:sz w:val="24"/>
          <w:szCs w:val="24"/>
          <w:highlight w:val="none"/>
        </w:rPr>
        <w:t>-暂列金额-暂估价）]</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3"/>
          <w:sz w:val="24"/>
          <w:szCs w:val="24"/>
          <w:highlight w:val="none"/>
        </w:rPr>
        <w:t>×100%</w:t>
      </w:r>
    </w:p>
    <w:p w14:paraId="3EAAA9C2">
      <w:pPr>
        <w:pageBreakBefore w:val="0"/>
        <w:kinsoku/>
        <w:wordWrap w:val="0"/>
        <w:overflowPunct/>
        <w:topLinePunct w:val="0"/>
        <w:bidi w:val="0"/>
        <w:spacing w:before="145" w:line="309" w:lineRule="auto"/>
        <w:ind w:right="81" w:firstLine="242" w:firstLineChars="1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snapToGrid w:val="0"/>
          <w:color w:val="auto"/>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11F70C36">
      <w:pPr>
        <w:pageBreakBefore w:val="0"/>
        <w:kinsoku/>
        <w:wordWrap w:val="0"/>
        <w:overflowPunct/>
        <w:topLinePunct w:val="0"/>
        <w:bidi w:val="0"/>
        <w:spacing w:before="156" w:line="309" w:lineRule="auto"/>
        <w:ind w:left="7" w:right="81"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2.3.3.2</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工程变更引起施工方案改变并使措施项目发生变化时，承包人提出调整措施</w:t>
      </w:r>
      <w:r>
        <w:rPr>
          <w:rFonts w:hint="eastAsia" w:ascii="宋体" w:hAnsi="宋体" w:eastAsia="宋体" w:cs="宋体"/>
          <w:color w:val="auto"/>
          <w:spacing w:val="-2"/>
          <w:sz w:val="24"/>
          <w:szCs w:val="24"/>
          <w:highlight w:val="none"/>
        </w:rPr>
        <w:t>项目费的，应事先将拟实施的方案提交发包人确认，并应详细说明与原方案措施项目相比的变化情况。拟实施的方案经发、承包双方确认后执行，并按照本章下列规定调整措施项目费：</w:t>
      </w:r>
    </w:p>
    <w:p w14:paraId="531604AE">
      <w:pPr>
        <w:pageBreakBefore w:val="0"/>
        <w:kinsoku/>
        <w:wordWrap w:val="0"/>
        <w:overflowPunct/>
        <w:topLinePunct w:val="0"/>
        <w:bidi w:val="0"/>
        <w:spacing w:before="152" w:line="220" w:lineRule="auto"/>
        <w:ind w:left="499"/>
        <w:rPr>
          <w:rFonts w:hint="eastAsia" w:ascii="宋体" w:hAnsi="宋体" w:eastAsia="宋体" w:cs="宋体"/>
          <w:b w:val="0"/>
          <w:bCs w:val="0"/>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b/>
          <w:bCs/>
          <w:color w:val="auto"/>
          <w:spacing w:val="-1"/>
          <w:sz w:val="24"/>
          <w:szCs w:val="24"/>
          <w:highlight w:val="none"/>
        </w:rPr>
        <w:t>）</w:t>
      </w:r>
      <w:r>
        <w:rPr>
          <w:rFonts w:hint="eastAsia" w:ascii="宋体" w:hAnsi="宋体" w:eastAsia="宋体" w:cs="宋体"/>
          <w:b w:val="0"/>
          <w:bCs w:val="0"/>
          <w:color w:val="auto"/>
          <w:spacing w:val="-1"/>
          <w:sz w:val="24"/>
          <w:szCs w:val="24"/>
          <w:highlight w:val="none"/>
        </w:rPr>
        <w:t>安全生产措施费应按照实际发生变化的措施项目计算。</w:t>
      </w:r>
    </w:p>
    <w:p w14:paraId="601BC492">
      <w:pPr>
        <w:pageBreakBefore w:val="0"/>
        <w:kinsoku/>
        <w:wordWrap w:val="0"/>
        <w:overflowPunct/>
        <w:topLinePunct w:val="0"/>
        <w:bidi w:val="0"/>
        <w:spacing w:before="156" w:line="309" w:lineRule="auto"/>
        <w:ind w:left="7" w:right="81" w:firstLine="477"/>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3"/>
          <w:sz w:val="24"/>
          <w:szCs w:val="24"/>
          <w:highlight w:val="none"/>
        </w:rPr>
        <w:t>采用单价计算的措施项目费，应按照实际发生变化的措施项目，按本章第 2.3.3.1 子目的规定确定单价。</w:t>
      </w:r>
    </w:p>
    <w:p w14:paraId="4D9326AB">
      <w:pPr>
        <w:pageBreakBefore w:val="0"/>
        <w:kinsoku/>
        <w:wordWrap w:val="0"/>
        <w:overflowPunct/>
        <w:topLinePunct w:val="0"/>
        <w:bidi w:val="0"/>
        <w:spacing w:before="154" w:line="360" w:lineRule="auto"/>
        <w:ind w:left="8"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（3）按总价或系数计算的措施项目费，应按照实际发生变化的措施项目费调整并</w:t>
      </w:r>
      <w:r>
        <w:rPr>
          <w:rFonts w:hint="eastAsia" w:ascii="宋体" w:hAnsi="宋体" w:eastAsia="宋体" w:cs="宋体"/>
          <w:color w:val="auto"/>
          <w:spacing w:val="-3"/>
          <w:sz w:val="24"/>
          <w:szCs w:val="24"/>
          <w:highlight w:val="none"/>
        </w:rPr>
        <w:t>考虑中标下浮率因素，即调整金额＝按照实际变化调整后的金额×（ 1-中标下浮率）。</w:t>
      </w:r>
    </w:p>
    <w:p w14:paraId="0F4567BC">
      <w:pPr>
        <w:pageBreakBefore w:val="0"/>
        <w:kinsoku/>
        <w:wordWrap w:val="0"/>
        <w:overflowPunct/>
        <w:topLinePunct w:val="0"/>
        <w:bidi w:val="0"/>
        <w:spacing w:before="157" w:line="324" w:lineRule="auto"/>
        <w:ind w:left="21" w:right="81" w:firstLine="47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如果承包人未事先将拟实施的方案提交发包人确认，视为工程变更不引起措施项目费的调整或承包人放弃调整措施项目费的权利。</w:t>
      </w:r>
    </w:p>
    <w:p w14:paraId="09FC9918">
      <w:pPr>
        <w:pageBreakBefore w:val="0"/>
        <w:kinsoku/>
        <w:wordWrap w:val="0"/>
        <w:overflowPunct/>
        <w:topLinePunct w:val="0"/>
        <w:bidi w:val="0"/>
        <w:spacing w:before="35" w:line="309" w:lineRule="auto"/>
        <w:ind w:right="81"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当因非承包人原因，发包人提出的工程变更删减了合同中的某项原定工作或</w:t>
      </w:r>
      <w:r>
        <w:rPr>
          <w:rFonts w:hint="eastAsia" w:ascii="宋体" w:hAnsi="宋体" w:eastAsia="宋体" w:cs="宋体"/>
          <w:color w:val="auto"/>
          <w:spacing w:val="-2"/>
          <w:sz w:val="24"/>
          <w:szCs w:val="24"/>
          <w:highlight w:val="none"/>
        </w:rPr>
        <w:t>工程，致使承包人发生的费用或（和）得到的收益不能被包括在其他已支付或应支付的项目中，也未被包含在任何替代的工作或工程中时，承包人有权提出并应得到合理的费用及利润补偿。</w:t>
      </w:r>
    </w:p>
    <w:p w14:paraId="768E8515">
      <w:pPr>
        <w:pageBreakBefore w:val="0"/>
        <w:kinsoku/>
        <w:wordWrap w:val="0"/>
        <w:overflowPunct/>
        <w:topLinePunct w:val="0"/>
        <w:bidi w:val="0"/>
        <w:spacing w:before="155" w:line="22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2.3.4  </w:t>
      </w:r>
      <w:r>
        <w:rPr>
          <w:rFonts w:hint="eastAsia" w:ascii="宋体" w:hAnsi="宋体" w:eastAsia="宋体" w:cs="宋体"/>
          <w:color w:val="auto"/>
          <w:spacing w:val="-1"/>
          <w:sz w:val="24"/>
          <w:szCs w:val="24"/>
          <w:highlight w:val="none"/>
        </w:rPr>
        <w:t>项目特征不符</w:t>
      </w:r>
    </w:p>
    <w:p w14:paraId="76795D8D">
      <w:pPr>
        <w:pageBreakBefore w:val="0"/>
        <w:kinsoku/>
        <w:wordWrap w:val="0"/>
        <w:overflowPunct/>
        <w:topLinePunct w:val="0"/>
        <w:bidi w:val="0"/>
        <w:spacing w:before="78" w:line="331" w:lineRule="auto"/>
        <w:ind w:left="8" w:right="108" w:firstLine="480"/>
        <w:jc w:val="both"/>
        <w:rPr>
          <w:rFonts w:hint="eastAsia" w:ascii="宋体" w:hAnsi="宋体" w:eastAsia="宋体" w:cs="宋体"/>
          <w:color w:val="auto"/>
          <w:sz w:val="24"/>
          <w:szCs w:val="24"/>
          <w:highlight w:val="none"/>
        </w:rPr>
      </w:pPr>
      <w:bookmarkStart w:id="178" w:name="bookmark144"/>
      <w:bookmarkEnd w:id="178"/>
      <w:r>
        <w:rPr>
          <w:rFonts w:hint="eastAsia" w:ascii="宋体" w:hAnsi="宋体" w:eastAsia="宋体" w:cs="宋体"/>
          <w:color w:val="auto"/>
          <w:spacing w:val="-2"/>
          <w:sz w:val="24"/>
          <w:szCs w:val="24"/>
          <w:highlight w:val="none"/>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rPr>
        <w:t>程造价增减变化的，应按照实际施工的项目特征，并按本章第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z w:val="24"/>
          <w:szCs w:val="24"/>
          <w:highlight w:val="none"/>
        </w:rPr>
        <w:t xml:space="preserve">2.3.3 </w:t>
      </w:r>
      <w:r>
        <w:rPr>
          <w:rFonts w:hint="eastAsia" w:ascii="宋体" w:hAnsi="宋体" w:eastAsia="宋体" w:cs="宋体"/>
          <w:color w:val="auto"/>
          <w:sz w:val="24"/>
          <w:szCs w:val="24"/>
          <w:highlight w:val="none"/>
        </w:rPr>
        <w:t>目相</w:t>
      </w:r>
      <w:r>
        <w:rPr>
          <w:rFonts w:hint="eastAsia" w:ascii="宋体" w:hAnsi="宋体" w:eastAsia="宋体" w:cs="宋体"/>
          <w:color w:val="auto"/>
          <w:spacing w:val="-1"/>
          <w:sz w:val="24"/>
          <w:szCs w:val="24"/>
          <w:highlight w:val="none"/>
        </w:rPr>
        <w:t>关条款的规定重新确定相应工程量清单项目的综合单价，并调整合同价款。</w:t>
      </w:r>
    </w:p>
    <w:p w14:paraId="668F6256">
      <w:pPr>
        <w:pageBreakBefore w:val="0"/>
        <w:kinsoku/>
        <w:wordWrap w:val="0"/>
        <w:overflowPunct/>
        <w:topLinePunct w:val="0"/>
        <w:bidi w:val="0"/>
        <w:spacing w:before="38" w:line="221"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2.3.5  </w:t>
      </w:r>
      <w:r>
        <w:rPr>
          <w:rFonts w:hint="eastAsia" w:ascii="宋体" w:hAnsi="宋体" w:eastAsia="宋体" w:cs="宋体"/>
          <w:color w:val="auto"/>
          <w:spacing w:val="-1"/>
          <w:sz w:val="24"/>
          <w:szCs w:val="24"/>
          <w:highlight w:val="none"/>
        </w:rPr>
        <w:t>招标工程量清单缺项</w:t>
      </w:r>
    </w:p>
    <w:p w14:paraId="12962E2B">
      <w:pPr>
        <w:pageBreakBefore w:val="0"/>
        <w:kinsoku/>
        <w:wordWrap w:val="0"/>
        <w:overflowPunct/>
        <w:topLinePunct w:val="0"/>
        <w:bidi w:val="0"/>
        <w:spacing w:before="156" w:line="279" w:lineRule="auto"/>
        <w:ind w:left="13" w:right="108" w:firstLine="471"/>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2.3.5.1</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合同履行期间，由于招标</w:t>
      </w:r>
      <w:r>
        <w:rPr>
          <w:rFonts w:hint="eastAsia" w:ascii="宋体" w:hAnsi="宋体" w:eastAsia="宋体" w:cs="宋体"/>
          <w:color w:val="auto"/>
          <w:spacing w:val="-2"/>
          <w:sz w:val="24"/>
          <w:szCs w:val="24"/>
          <w:highlight w:val="none"/>
        </w:rPr>
        <w:t>工程量清单中缺项，新增分部分项工程清单项目，</w:t>
      </w:r>
      <w:r>
        <w:rPr>
          <w:rFonts w:hint="eastAsia" w:ascii="宋体" w:hAnsi="宋体" w:eastAsia="宋体" w:cs="宋体"/>
          <w:color w:val="auto"/>
          <w:spacing w:val="-1"/>
          <w:sz w:val="24"/>
          <w:szCs w:val="24"/>
          <w:highlight w:val="none"/>
        </w:rPr>
        <w:t>应</w:t>
      </w:r>
      <w:r>
        <w:rPr>
          <w:rFonts w:hint="eastAsia" w:ascii="宋体" w:hAnsi="宋体" w:eastAsia="宋体" w:cs="宋体"/>
          <w:color w:val="auto"/>
          <w:highlight w:val="none"/>
        </w:rPr>
        <w:t>按照本章第</w:t>
      </w:r>
      <w:r>
        <w:rPr>
          <w:rFonts w:hint="eastAsia" w:ascii="宋体" w:hAnsi="宋体" w:eastAsia="宋体" w:cs="宋体"/>
          <w:b/>
          <w:bCs/>
          <w:color w:val="auto"/>
          <w:highlight w:val="none"/>
        </w:rPr>
        <w:t xml:space="preserve"> 2.3.3.1</w:t>
      </w:r>
      <w:r>
        <w:rPr>
          <w:rFonts w:hint="eastAsia" w:ascii="宋体" w:hAnsi="宋体" w:eastAsia="宋体" w:cs="宋体"/>
          <w:color w:val="auto"/>
          <w:highlight w:val="none"/>
        </w:rPr>
        <w:t xml:space="preserve"> 子目的规定确定单价，并调整合同价款。</w:t>
      </w:r>
    </w:p>
    <w:p w14:paraId="1CCA4EE2">
      <w:pPr>
        <w:pageBreakBefore w:val="0"/>
        <w:kinsoku/>
        <w:wordWrap w:val="0"/>
        <w:overflowPunct/>
        <w:topLinePunct w:val="0"/>
        <w:bidi w:val="0"/>
        <w:spacing w:before="156" w:line="279" w:lineRule="auto"/>
        <w:ind w:left="13" w:right="108" w:firstLine="471"/>
        <w:rPr>
          <w:rFonts w:hint="eastAsia" w:ascii="宋体" w:hAnsi="宋体" w:eastAsia="宋体" w:cs="宋体"/>
          <w:color w:val="auto"/>
          <w:sz w:val="24"/>
          <w:szCs w:val="24"/>
          <w:highlight w:val="none"/>
        </w:rPr>
      </w:pPr>
      <w:r>
        <w:rPr>
          <w:rFonts w:hint="eastAsia" w:ascii="宋体" w:hAnsi="宋体" w:eastAsia="宋体" w:cs="宋体"/>
          <w:b/>
          <w:bCs/>
          <w:color w:val="auto"/>
          <w:highlight w:val="none"/>
        </w:rPr>
        <w:fldChar w:fldCharType="begin"/>
      </w:r>
      <w:r>
        <w:rPr>
          <w:rFonts w:hint="eastAsia" w:ascii="宋体" w:hAnsi="宋体" w:eastAsia="宋体" w:cs="宋体"/>
          <w:b/>
          <w:bCs/>
          <w:color w:val="auto"/>
          <w:highlight w:val="none"/>
        </w:rPr>
        <w:instrText xml:space="preserve"> HYPERLINK "2.3.5.2" </w:instrText>
      </w:r>
      <w:r>
        <w:rPr>
          <w:rFonts w:hint="eastAsia" w:ascii="宋体" w:hAnsi="宋体" w:eastAsia="宋体" w:cs="宋体"/>
          <w:b/>
          <w:bCs/>
          <w:color w:val="auto"/>
          <w:highlight w:val="none"/>
        </w:rPr>
        <w:fldChar w:fldCharType="separate"/>
      </w:r>
      <w:r>
        <w:rPr>
          <w:rFonts w:hint="eastAsia" w:ascii="宋体" w:hAnsi="宋体" w:eastAsia="宋体" w:cs="宋体"/>
          <w:b/>
          <w:bCs/>
          <w:color w:val="auto"/>
          <w:highlight w:val="none"/>
        </w:rPr>
        <w:t>2.3.5.2</w:t>
      </w:r>
      <w:r>
        <w:rPr>
          <w:rFonts w:hint="eastAsia" w:ascii="宋体" w:hAnsi="宋体" w:eastAsia="宋体" w:cs="宋体"/>
          <w:b/>
          <w:bCs/>
          <w:color w:val="auto"/>
          <w:highlight w:val="none"/>
        </w:rPr>
        <w:fldChar w:fldCharType="end"/>
      </w:r>
      <w:r>
        <w:rPr>
          <w:rFonts w:hint="eastAsia" w:ascii="宋体" w:hAnsi="宋体" w:eastAsia="宋体" w:cs="宋体"/>
          <w:color w:val="auto"/>
          <w:highlight w:val="none"/>
        </w:rPr>
        <w:t xml:space="preserve">  新增分部分项工程清单项目后，引起措施项目发生变化的，应按照本章第 2.3.3.2 子目的规定，在承包人提交的实施方</w:t>
      </w:r>
      <w:r>
        <w:rPr>
          <w:rFonts w:hint="eastAsia" w:ascii="宋体" w:hAnsi="宋体" w:eastAsia="宋体" w:cs="宋体"/>
          <w:color w:val="auto"/>
          <w:sz w:val="24"/>
          <w:szCs w:val="24"/>
          <w:highlight w:val="none"/>
        </w:rPr>
        <w:t>案被发包人批准后调整</w:t>
      </w:r>
      <w:r>
        <w:rPr>
          <w:rFonts w:hint="eastAsia" w:ascii="宋体" w:hAnsi="宋体" w:eastAsia="宋体" w:cs="宋体"/>
          <w:color w:val="auto"/>
          <w:spacing w:val="-1"/>
          <w:sz w:val="24"/>
          <w:szCs w:val="24"/>
          <w:highlight w:val="none"/>
        </w:rPr>
        <w:t>合同价款。</w:t>
      </w:r>
    </w:p>
    <w:p w14:paraId="0B453D5A">
      <w:pPr>
        <w:pageBreakBefore w:val="0"/>
        <w:kinsoku/>
        <w:wordWrap w:val="0"/>
        <w:overflowPunct/>
        <w:topLinePunct w:val="0"/>
        <w:bidi w:val="0"/>
        <w:spacing w:before="156" w:line="279" w:lineRule="auto"/>
        <w:ind w:left="13" w:right="108" w:firstLine="471"/>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4"/>
          <w:sz w:val="24"/>
          <w:szCs w:val="24"/>
          <w:highlight w:val="none"/>
        </w:rPr>
        <w:t>2.3.5.3</w:t>
      </w:r>
      <w:r>
        <w:rPr>
          <w:rFonts w:hint="eastAsia" w:ascii="宋体" w:hAnsi="宋体" w:eastAsia="宋体" w:cs="宋体"/>
          <w:b/>
          <w:bCs/>
          <w:color w:val="auto"/>
          <w:spacing w:val="-4"/>
          <w:sz w:val="24"/>
          <w:szCs w:val="24"/>
          <w:highlight w:val="none"/>
        </w:rPr>
        <w:fldChar w:fldCharType="end"/>
      </w:r>
      <w:r>
        <w:rPr>
          <w:rFonts w:hint="eastAsia" w:ascii="宋体" w:hAnsi="宋体" w:eastAsia="宋体" w:cs="宋体"/>
          <w:b/>
          <w:bCs/>
          <w:color w:val="auto"/>
          <w:spacing w:val="22"/>
          <w:w w:val="101"/>
          <w:sz w:val="24"/>
          <w:szCs w:val="24"/>
          <w:highlight w:val="none"/>
        </w:rPr>
        <w:t xml:space="preserve">  </w:t>
      </w:r>
      <w:r>
        <w:rPr>
          <w:rFonts w:hint="eastAsia" w:ascii="宋体" w:hAnsi="宋体" w:eastAsia="宋体" w:cs="宋体"/>
          <w:color w:val="auto"/>
          <w:spacing w:val="-4"/>
          <w:sz w:val="24"/>
          <w:szCs w:val="24"/>
          <w:highlight w:val="none"/>
        </w:rPr>
        <w:t>由于招标工程量清单中措施项目缺项，承包人应将新增措施项目实施方案提</w:t>
      </w:r>
      <w:r>
        <w:rPr>
          <w:rFonts w:hint="eastAsia" w:ascii="宋体" w:hAnsi="宋体" w:eastAsia="宋体" w:cs="宋体"/>
          <w:color w:val="auto"/>
          <w:spacing w:val="-1"/>
          <w:sz w:val="24"/>
          <w:szCs w:val="24"/>
          <w:highlight w:val="none"/>
        </w:rPr>
        <w:t>交发包人批准后，按照本章第</w:t>
      </w:r>
      <w:r>
        <w:rPr>
          <w:rFonts w:hint="eastAsia" w:ascii="宋体" w:hAnsi="宋体" w:eastAsia="宋体" w:cs="宋体"/>
          <w:color w:val="auto"/>
          <w:spacing w:val="-36"/>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 xml:space="preserve">2.3.3.2 </w:t>
      </w:r>
      <w:r>
        <w:rPr>
          <w:rFonts w:hint="eastAsia" w:ascii="宋体" w:hAnsi="宋体" w:eastAsia="宋体" w:cs="宋体"/>
          <w:color w:val="auto"/>
          <w:spacing w:val="-1"/>
          <w:sz w:val="24"/>
          <w:szCs w:val="24"/>
          <w:highlight w:val="none"/>
        </w:rPr>
        <w:t>子目的规定调整合同价款。</w:t>
      </w:r>
    </w:p>
    <w:p w14:paraId="1B89C915">
      <w:pPr>
        <w:pageBreakBefore w:val="0"/>
        <w:kinsoku/>
        <w:wordWrap w:val="0"/>
        <w:overflowPunct/>
        <w:topLinePunct w:val="0"/>
        <w:bidi w:val="0"/>
        <w:spacing w:before="154" w:line="219"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2.3.6  </w:t>
      </w:r>
      <w:r>
        <w:rPr>
          <w:rFonts w:hint="eastAsia" w:ascii="宋体" w:hAnsi="宋体" w:eastAsia="宋体" w:cs="宋体"/>
          <w:color w:val="auto"/>
          <w:spacing w:val="-1"/>
          <w:sz w:val="24"/>
          <w:szCs w:val="24"/>
          <w:highlight w:val="none"/>
        </w:rPr>
        <w:t>物价变化</w:t>
      </w:r>
    </w:p>
    <w:p w14:paraId="431259BB">
      <w:pPr>
        <w:pageBreakBefore w:val="0"/>
        <w:kinsoku/>
        <w:wordWrap w:val="0"/>
        <w:overflowPunct/>
        <w:topLinePunct w:val="0"/>
        <w:bidi w:val="0"/>
        <w:spacing w:before="156" w:line="315" w:lineRule="auto"/>
        <w:ind w:left="8" w:right="108"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合同履行期间，项目所在地工程造价管理机构发布的动态人工调整系数发生变化时，如果承包人投标报价中人工费（以下简称“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中标人工费</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4"/>
          <w:sz w:val="24"/>
          <w:szCs w:val="24"/>
          <w:highlight w:val="none"/>
        </w:rPr>
        <w:t>等于或超过施工当</w:t>
      </w:r>
      <w:r>
        <w:rPr>
          <w:rFonts w:hint="eastAsia" w:ascii="宋体" w:hAnsi="宋体" w:eastAsia="宋体" w:cs="宋体"/>
          <w:color w:val="auto"/>
          <w:spacing w:val="-2"/>
          <w:sz w:val="24"/>
          <w:szCs w:val="24"/>
          <w:highlight w:val="none"/>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eastAsia="宋体" w:cs="宋体"/>
          <w:color w:val="auto"/>
          <w:spacing w:val="-1"/>
          <w:sz w:val="24"/>
          <w:szCs w:val="24"/>
          <w:highlight w:val="none"/>
        </w:rPr>
        <w:t>关规定进行相应调整。结算人工费调整公式为：</w:t>
      </w:r>
    </w:p>
    <w:p w14:paraId="584E8AC9">
      <w:pPr>
        <w:pageBreakBefore w:val="0"/>
        <w:kinsoku/>
        <w:wordWrap w:val="0"/>
        <w:overflowPunct/>
        <w:topLinePunct w:val="0"/>
        <w:bidi w:val="0"/>
        <w:spacing w:before="153" w:line="220" w:lineRule="auto"/>
        <w:ind w:left="494"/>
        <w:rPr>
          <w:rFonts w:hint="eastAsia" w:ascii="宋体" w:hAnsi="宋体" w:eastAsia="宋体" w:cs="宋体"/>
          <w:color w:val="auto"/>
          <w:sz w:val="15"/>
          <w:szCs w:val="15"/>
          <w:highlight w:val="none"/>
        </w:rPr>
      </w:pPr>
      <w:r>
        <w:rPr>
          <w:rFonts w:hint="eastAsia" w:ascii="宋体" w:hAnsi="宋体" w:eastAsia="宋体" w:cs="宋体"/>
          <w:color w:val="auto"/>
          <w:spacing w:val="-1"/>
          <w:sz w:val="24"/>
          <w:szCs w:val="24"/>
          <w:highlight w:val="none"/>
        </w:rPr>
        <w:t>结算人工费＝中标人工费×F</w:t>
      </w:r>
      <w:r>
        <w:rPr>
          <w:rFonts w:hint="eastAsia" w:ascii="宋体" w:hAnsi="宋体" w:eastAsia="宋体" w:cs="宋体"/>
          <w:color w:val="auto"/>
          <w:spacing w:val="-1"/>
          <w:position w:val="-1"/>
          <w:sz w:val="15"/>
          <w:szCs w:val="15"/>
          <w:highlight w:val="none"/>
        </w:rPr>
        <w:t>1</w:t>
      </w:r>
    </w:p>
    <w:p w14:paraId="48504F9D">
      <w:pPr>
        <w:pageBreakBefore w:val="0"/>
        <w:kinsoku/>
        <w:wordWrap w:val="0"/>
        <w:overflowPunct/>
        <w:topLinePunct w:val="0"/>
        <w:bidi w:val="0"/>
        <w:spacing w:before="152"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式中，F</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23"/>
          <w:w w:val="101"/>
          <w:position w:val="-1"/>
          <w:sz w:val="15"/>
          <w:szCs w:val="15"/>
          <w:highlight w:val="none"/>
        </w:rPr>
        <w:t xml:space="preserve"> </w:t>
      </w:r>
      <w:r>
        <w:rPr>
          <w:rFonts w:hint="eastAsia" w:ascii="宋体" w:hAnsi="宋体" w:eastAsia="宋体" w:cs="宋体"/>
          <w:color w:val="auto"/>
          <w:spacing w:val="-1"/>
          <w:sz w:val="24"/>
          <w:szCs w:val="24"/>
          <w:highlight w:val="none"/>
        </w:rPr>
        <w:t>为施工当月项目所在地工程造价管理机构发布的动态人工调整系数。</w:t>
      </w:r>
    </w:p>
    <w:p w14:paraId="620B4A06">
      <w:pPr>
        <w:pageBreakBefore w:val="0"/>
        <w:kinsoku/>
        <w:wordWrap w:val="0"/>
        <w:overflowPunct/>
        <w:topLinePunct w:val="0"/>
        <w:bidi w:val="0"/>
        <w:spacing w:before="119" w:line="324" w:lineRule="auto"/>
        <w:ind w:left="1" w:right="108" w:firstLine="48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fldChar w:fldCharType="begin"/>
      </w:r>
      <w:r>
        <w:rPr>
          <w:rFonts w:hint="eastAsia" w:ascii="宋体" w:hAnsi="宋体" w:eastAsia="宋体" w:cs="宋体"/>
          <w:b/>
          <w:bCs/>
          <w:color w:val="auto"/>
          <w:spacing w:val="-1"/>
          <w:sz w:val="24"/>
          <w:szCs w:val="24"/>
          <w:highlight w:val="none"/>
        </w:rPr>
        <w:instrText xml:space="preserve"> HYPERLINK "2.3.6.2" </w:instrText>
      </w:r>
      <w:r>
        <w:rPr>
          <w:rFonts w:hint="eastAsia" w:ascii="宋体" w:hAnsi="宋体" w:eastAsia="宋体" w:cs="宋体"/>
          <w:b/>
          <w:bCs/>
          <w:color w:val="auto"/>
          <w:spacing w:val="-1"/>
          <w:sz w:val="24"/>
          <w:szCs w:val="24"/>
          <w:highlight w:val="none"/>
        </w:rPr>
        <w:fldChar w:fldCharType="separate"/>
      </w:r>
      <w:r>
        <w:rPr>
          <w:rFonts w:hint="eastAsia" w:ascii="宋体" w:hAnsi="宋体" w:eastAsia="宋体" w:cs="宋体"/>
          <w:b/>
          <w:bCs/>
          <w:color w:val="auto"/>
          <w:spacing w:val="-1"/>
          <w:sz w:val="24"/>
          <w:szCs w:val="24"/>
          <w:highlight w:val="none"/>
        </w:rPr>
        <w:t>2.3.6.2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本招标项目约定，材料、工程设备</w:t>
      </w:r>
      <w:r>
        <w:rPr>
          <w:rFonts w:hint="eastAsia" w:ascii="宋体" w:hAnsi="宋体" w:eastAsia="宋体" w:cs="宋体"/>
          <w:color w:val="auto"/>
          <w:spacing w:val="-2"/>
          <w:sz w:val="24"/>
          <w:szCs w:val="24"/>
          <w:highlight w:val="none"/>
        </w:rPr>
        <w:t>单价涨跌风险幅度值</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2"/>
          <w:sz w:val="24"/>
          <w:szCs w:val="24"/>
          <w:highlight w:val="none"/>
        </w:rPr>
        <w:t>A 为</w:t>
      </w:r>
      <w:r>
        <w:rPr>
          <w:rFonts w:hint="eastAsia" w:ascii="宋体" w:hAnsi="宋体" w:eastAsia="宋体" w:cs="宋体"/>
          <w:color w:val="auto"/>
          <w:spacing w:val="-2"/>
          <w:sz w:val="24"/>
          <w:szCs w:val="24"/>
          <w:highlight w:val="none"/>
          <w:u w:val="single"/>
        </w:rPr>
        <w:t xml:space="preserve">  5%   </w:t>
      </w:r>
      <w:r>
        <w:rPr>
          <w:rFonts w:hint="eastAsia" w:ascii="宋体" w:hAnsi="宋体" w:eastAsia="宋体" w:cs="宋体"/>
          <w:color w:val="auto"/>
          <w:spacing w:val="-2"/>
          <w:sz w:val="24"/>
          <w:szCs w:val="24"/>
          <w:highlight w:val="none"/>
        </w:rPr>
        <w:t>。合同履</w:t>
      </w:r>
      <w:r>
        <w:rPr>
          <w:rFonts w:hint="eastAsia" w:ascii="宋体" w:hAnsi="宋体" w:eastAsia="宋体" w:cs="宋体"/>
          <w:color w:val="auto"/>
          <w:spacing w:val="-1"/>
          <w:sz w:val="24"/>
          <w:szCs w:val="24"/>
          <w:highlight w:val="none"/>
        </w:rPr>
        <w:t>行期间，当《承包人提供主要材料和工程设备一览表》（</w:t>
      </w:r>
      <w:r>
        <w:rPr>
          <w:rFonts w:hint="eastAsia" w:ascii="宋体" w:hAnsi="宋体" w:eastAsia="宋体" w:cs="宋体"/>
          <w:color w:val="auto"/>
          <w:spacing w:val="-2"/>
          <w:sz w:val="24"/>
          <w:szCs w:val="24"/>
          <w:highlight w:val="none"/>
        </w:rPr>
        <w:t>详见招标工程量清单）中的材</w:t>
      </w:r>
      <w:r>
        <w:rPr>
          <w:rFonts w:hint="eastAsia" w:ascii="宋体" w:hAnsi="宋体" w:eastAsia="宋体" w:cs="宋体"/>
          <w:color w:val="auto"/>
          <w:spacing w:val="-3"/>
          <w:sz w:val="24"/>
          <w:szCs w:val="24"/>
          <w:highlight w:val="none"/>
        </w:rPr>
        <w:t>料、工程设备单价涨跌幅度等于或低于</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A 值时，该材料、工程设备单价不予调整；超过</w:t>
      </w:r>
      <w:r>
        <w:rPr>
          <w:rFonts w:hint="eastAsia" w:ascii="宋体" w:hAnsi="宋体" w:eastAsia="宋体" w:cs="宋体"/>
          <w:color w:val="auto"/>
          <w:sz w:val="24"/>
          <w:szCs w:val="24"/>
          <w:highlight w:val="none"/>
        </w:rPr>
        <w:t>A 值时，其超过部分可以调整。相关费用按有关规定进行相</w:t>
      </w:r>
      <w:r>
        <w:rPr>
          <w:rFonts w:hint="eastAsia" w:ascii="宋体" w:hAnsi="宋体" w:eastAsia="宋体" w:cs="宋体"/>
          <w:color w:val="auto"/>
          <w:spacing w:val="-1"/>
          <w:sz w:val="24"/>
          <w:szCs w:val="24"/>
          <w:highlight w:val="none"/>
        </w:rPr>
        <w:t>应调整。</w:t>
      </w:r>
    </w:p>
    <w:p w14:paraId="7A5EF1AF">
      <w:pPr>
        <w:pageBreakBefore w:val="0"/>
        <w:kinsoku/>
        <w:wordWrap w:val="0"/>
        <w:overflowPunct/>
        <w:topLinePunct w:val="0"/>
        <w:bidi w:val="0"/>
        <w:spacing w:before="126" w:line="295" w:lineRule="auto"/>
        <w:ind w:left="11" w:right="108" w:firstLine="477"/>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030C848A">
      <w:pPr>
        <w:pageBreakBefore w:val="0"/>
        <w:kinsoku/>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a．涨价时，</w:t>
      </w:r>
      <w:r>
        <w:rPr>
          <w:rFonts w:hint="eastAsia" w:ascii="宋体" w:hAnsi="宋体" w:eastAsia="宋体" w:cs="宋体"/>
          <w:snapToGrid w:val="0"/>
          <w:color w:val="auto"/>
          <w:kern w:val="0"/>
          <w:position w:val="-30"/>
          <w:sz w:val="24"/>
          <w:szCs w:val="24"/>
          <w:highlight w:val="none"/>
        </w:rPr>
        <w:object>
          <v:shape id="_x0000_i1025" o:spt="75" type="#_x0000_t75" style="height:33.95pt;width:200.95pt;" o:ole="t" filled="f" o:preferrelative="t" stroked="f" coordsize="21600,21600">
            <v:path/>
            <v:fill on="f" focussize="0,0"/>
            <v:stroke on="f"/>
            <v:imagedata r:id="rId28" embosscolor="#FFFFFF" o:title=""/>
            <o:lock v:ext="edit" grouping="f" rotation="f" text="f" aspectratio="t"/>
            <w10:wrap type="none"/>
            <w10:anchorlock/>
          </v:shape>
          <o:OLEObject Type="Embed" ProgID="Equation.KSEE3" ShapeID="_x0000_i1025" DrawAspect="Content" ObjectID="_1468075725" r:id="rId27">
            <o:LockedField>false</o:LockedField>
          </o:OLEObject>
        </w:object>
      </w:r>
    </w:p>
    <w:p w14:paraId="4D492031">
      <w:pPr>
        <w:pageBreakBefore w:val="0"/>
        <w:kinsoku/>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6" o:spt="75" type="#_x0000_t75" style="height:33.95pt;width:198.95pt;" o:ole="t" filled="f" o:preferrelative="t" stroked="f" coordsize="21600,21600">
            <v:path/>
            <v:fill on="f" focussize="0,0"/>
            <v:stroke on="f"/>
            <v:imagedata r:id="rId30" embosscolor="#FFFFFF" o:title=""/>
            <o:lock v:ext="edit" grouping="f" rotation="f" text="f" aspectratio="t"/>
            <w10:wrap type="none"/>
            <w10:anchorlock/>
          </v:shape>
          <o:OLEObject Type="Embed" ProgID="Equation.KSEE3" ShapeID="_x0000_i1026" DrawAspect="Content" ObjectID="_1468075726" r:id="rId29">
            <o:LockedField>false</o:LockedField>
          </o:OLEObject>
        </w:object>
      </w:r>
    </w:p>
    <w:p w14:paraId="608B9F53">
      <w:pPr>
        <w:pageBreakBefore w:val="0"/>
        <w:kinsoku/>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b．涨价时，</w:t>
      </w:r>
      <w:r>
        <w:rPr>
          <w:rFonts w:hint="eastAsia" w:ascii="宋体" w:hAnsi="宋体" w:eastAsia="宋体" w:cs="宋体"/>
          <w:snapToGrid w:val="0"/>
          <w:color w:val="auto"/>
          <w:kern w:val="0"/>
          <w:position w:val="-30"/>
          <w:sz w:val="24"/>
          <w:szCs w:val="24"/>
          <w:highlight w:val="none"/>
        </w:rPr>
        <w:object>
          <v:shape id="_x0000_i1027" o:spt="75" type="#_x0000_t75" style="height:33.95pt;width:198.95pt;" o:ole="t" filled="f" o:preferrelative="t" stroked="f" coordsize="21600,21600">
            <v:path/>
            <v:fill on="f" focussize="0,0"/>
            <v:stroke on="f"/>
            <v:imagedata r:id="rId32" embosscolor="#FFFFFF" o:title=""/>
            <o:lock v:ext="edit" grouping="f" rotation="f" text="f" aspectratio="t"/>
            <w10:wrap type="none"/>
            <w10:anchorlock/>
          </v:shape>
          <o:OLEObject Type="Embed" ProgID="Equation.KSEE3" ShapeID="_x0000_i1027" DrawAspect="Content" ObjectID="_1468075727" r:id="rId31">
            <o:LockedField>false</o:LockedField>
          </o:OLEObject>
        </w:object>
      </w:r>
    </w:p>
    <w:p w14:paraId="5CDA4E90">
      <w:pPr>
        <w:pageBreakBefore w:val="0"/>
        <w:kinsoku/>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8" o:spt="75" type="#_x0000_t75" style="height:33.95pt;width:200.95pt;" o:ole="t" filled="f" o:preferrelative="t" stroked="f" coordsize="21600,21600">
            <v:path/>
            <v:fill on="f" focussize="0,0"/>
            <v:stroke on="f"/>
            <v:imagedata r:id="rId34" embosscolor="#FFFFFF" o:title=""/>
            <o:lock v:ext="edit" grouping="f" rotation="f" text="f" aspectratio="t"/>
            <w10:wrap type="none"/>
            <w10:anchorlock/>
          </v:shape>
          <o:OLEObject Type="Embed" ProgID="Equation.KSEE3" ShapeID="_x0000_i1028" DrawAspect="Content" ObjectID="_1468075728" r:id="rId33">
            <o:LockedField>false</o:LockedField>
          </o:OLEObject>
        </w:object>
      </w:r>
    </w:p>
    <w:p w14:paraId="5FA62F9D">
      <w:pPr>
        <w:pageBreakBefore w:val="0"/>
        <w:kinsoku/>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c．涨价时，</w:t>
      </w:r>
      <w:r>
        <w:rPr>
          <w:rFonts w:hint="eastAsia" w:ascii="宋体" w:hAnsi="宋体" w:eastAsia="宋体" w:cs="宋体"/>
          <w:snapToGrid w:val="0"/>
          <w:color w:val="auto"/>
          <w:kern w:val="0"/>
          <w:position w:val="-30"/>
          <w:sz w:val="24"/>
          <w:szCs w:val="24"/>
          <w:highlight w:val="none"/>
        </w:rPr>
        <w:object>
          <v:shape id="_x0000_i1029" o:spt="75" type="#_x0000_t75" style="height:33.95pt;width:200.95pt;" o:ole="t" filled="f" o:preferrelative="t" stroked="f" coordsize="21600,21600">
            <v:path/>
            <v:fill on="f" focussize="0,0"/>
            <v:stroke on="f"/>
            <v:imagedata r:id="rId36" embosscolor="#FFFFFF" o:title=""/>
            <o:lock v:ext="edit" grouping="f" rotation="f" text="f" aspectratio="t"/>
            <w10:wrap type="none"/>
            <w10:anchorlock/>
          </v:shape>
          <o:OLEObject Type="Embed" ProgID="Equation.KSEE3" ShapeID="_x0000_i1029" DrawAspect="Content" ObjectID="_1468075729" r:id="rId35">
            <o:LockedField>false</o:LockedField>
          </o:OLEObject>
        </w:object>
      </w:r>
    </w:p>
    <w:p w14:paraId="23DD8A28">
      <w:pPr>
        <w:pageBreakBefore w:val="0"/>
        <w:kinsoku/>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0" o:spt="75" type="#_x0000_t75" style="height:33.95pt;width:200.95pt;" o:ole="t" filled="f" o:preferrelative="t" stroked="f" coordsize="21600,21600">
            <v:path/>
            <v:fill on="f" focussize="0,0"/>
            <v:stroke on="f"/>
            <v:imagedata r:id="rId38" embosscolor="#FFFFFF" o:title=""/>
            <o:lock v:ext="edit" grouping="f" rotation="f" text="f" aspectratio="t"/>
            <w10:wrap type="none"/>
            <w10:anchorlock/>
          </v:shape>
          <o:OLEObject Type="Embed" ProgID="Equation.KSEE3" ShapeID="_x0000_i1030" DrawAspect="Content" ObjectID="_1468075730" r:id="rId37">
            <o:LockedField>false</o:LockedField>
          </o:OLEObject>
        </w:object>
      </w:r>
    </w:p>
    <w:p w14:paraId="6D7EB0A5">
      <w:pPr>
        <w:pageBreakBefore w:val="0"/>
        <w:kinsoku/>
        <w:wordWrap w:val="0"/>
        <w:overflowPunct/>
        <w:topLinePunct w:val="0"/>
        <w:bidi w:val="0"/>
        <w:spacing w:before="78"/>
        <w:ind w:left="330"/>
        <w:rPr>
          <w:rFonts w:hint="eastAsia" w:ascii="宋体" w:hAnsi="宋体" w:eastAsia="宋体" w:cs="宋体"/>
          <w:color w:val="auto"/>
          <w:sz w:val="24"/>
          <w:szCs w:val="24"/>
          <w:highlight w:val="none"/>
        </w:rPr>
      </w:pPr>
    </w:p>
    <w:p w14:paraId="06069E38">
      <w:pPr>
        <w:pageBreakBefore w:val="0"/>
        <w:kinsoku/>
        <w:wordWrap w:val="0"/>
        <w:overflowPunct/>
        <w:topLinePunct w:val="0"/>
        <w:bidi w:val="0"/>
        <w:spacing w:before="140" w:line="196" w:lineRule="auto"/>
        <w:ind w:left="3758"/>
        <w:rPr>
          <w:rFonts w:hint="eastAsia" w:ascii="宋体" w:hAnsi="宋体" w:eastAsia="宋体" w:cs="宋体"/>
          <w:color w:val="auto"/>
          <w:sz w:val="13"/>
          <w:szCs w:val="13"/>
          <w:highlight w:val="none"/>
        </w:rPr>
      </w:pPr>
      <w:r>
        <w:rPr>
          <w:rFonts w:hint="eastAsia" w:ascii="宋体" w:hAnsi="宋体" w:eastAsia="宋体" w:cs="宋体"/>
          <w:color w:val="auto"/>
          <w:spacing w:val="-2"/>
          <w:position w:val="1"/>
          <w:sz w:val="24"/>
          <w:szCs w:val="24"/>
          <w:highlight w:val="none"/>
        </w:rPr>
        <w:t>F</w:t>
      </w:r>
      <w:r>
        <w:rPr>
          <w:rFonts w:hint="eastAsia" w:ascii="宋体" w:hAnsi="宋体" w:eastAsia="宋体" w:cs="宋体"/>
          <w:color w:val="auto"/>
          <w:spacing w:val="-2"/>
          <w:position w:val="-4"/>
          <w:sz w:val="13"/>
          <w:szCs w:val="13"/>
          <w:highlight w:val="none"/>
        </w:rPr>
        <w:t>0</w:t>
      </w:r>
    </w:p>
    <w:p w14:paraId="3B8337F3">
      <w:pPr>
        <w:pageBreakBefore w:val="0"/>
        <w:kinsoku/>
        <w:wordWrap w:val="0"/>
        <w:overflowPunct/>
        <w:topLinePunct w:val="0"/>
        <w:bidi w:val="0"/>
        <w:spacing w:before="78" w:line="330" w:lineRule="auto"/>
        <w:ind w:right="59"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理机构发布的材料、工程设备单价；A 为合同约定的材料</w:t>
      </w:r>
      <w:r>
        <w:rPr>
          <w:rFonts w:hint="eastAsia" w:ascii="宋体" w:hAnsi="宋体" w:eastAsia="宋体" w:cs="宋体"/>
          <w:color w:val="auto"/>
          <w:spacing w:val="-2"/>
          <w:sz w:val="24"/>
          <w:szCs w:val="24"/>
          <w:highlight w:val="none"/>
        </w:rPr>
        <w:t>、工程设备单价涨跌风险幅度</w:t>
      </w:r>
      <w:r>
        <w:rPr>
          <w:rFonts w:hint="eastAsia" w:ascii="宋体" w:hAnsi="宋体" w:eastAsia="宋体" w:cs="宋体"/>
          <w:color w:val="auto"/>
          <w:spacing w:val="-5"/>
          <w:sz w:val="24"/>
          <w:szCs w:val="24"/>
          <w:highlight w:val="none"/>
        </w:rPr>
        <w:t>值。</w:t>
      </w:r>
    </w:p>
    <w:p w14:paraId="2FCF1F16">
      <w:pPr>
        <w:pageBreakBefore w:val="0"/>
        <w:kinsoku/>
        <w:wordWrap w:val="0"/>
        <w:overflowPunct/>
        <w:topLinePunct w:val="0"/>
        <w:bidi w:val="0"/>
        <w:spacing w:before="33" w:line="299" w:lineRule="auto"/>
        <w:ind w:right="5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合同履行期间，当《发包人提供材料和工程设备一览表》（详见招标工程量</w:t>
      </w:r>
      <w:r>
        <w:rPr>
          <w:rFonts w:hint="eastAsia" w:ascii="宋体" w:hAnsi="宋体" w:eastAsia="宋体" w:cs="宋体"/>
          <w:color w:val="auto"/>
          <w:spacing w:val="-2"/>
          <w:sz w:val="24"/>
          <w:szCs w:val="24"/>
          <w:highlight w:val="none"/>
        </w:rPr>
        <w:t>清单）中的材料、工程设备单价发生变化时，由发包人按照实际变化调整，并列入合同</w:t>
      </w:r>
      <w:r>
        <w:rPr>
          <w:rFonts w:hint="eastAsia" w:ascii="宋体" w:hAnsi="宋体" w:eastAsia="宋体" w:cs="宋体"/>
          <w:color w:val="auto"/>
          <w:spacing w:val="-4"/>
          <w:sz w:val="24"/>
          <w:szCs w:val="24"/>
          <w:highlight w:val="none"/>
        </w:rPr>
        <w:t>价款。</w:t>
      </w:r>
    </w:p>
    <w:p w14:paraId="081F7290">
      <w:pPr>
        <w:pageBreakBefore w:val="0"/>
        <w:kinsoku/>
        <w:wordWrap w:val="0"/>
        <w:overflowPunct/>
        <w:topLinePunct w:val="0"/>
        <w:bidi w:val="0"/>
        <w:spacing w:before="121" w:line="308" w:lineRule="auto"/>
        <w:ind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"2.3.6.4"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2.3.6.4</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本招标项目约定，施工机具台班单价涨跌风险幅度值</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3"/>
          <w:sz w:val="24"/>
          <w:szCs w:val="24"/>
          <w:highlight w:val="none"/>
        </w:rPr>
        <w:t>B</w:t>
      </w:r>
      <w:r>
        <w:rPr>
          <w:rFonts w:hint="eastAsia" w:ascii="宋体" w:hAnsi="宋体" w:eastAsia="宋体" w:cs="宋体"/>
          <w:color w:val="auto"/>
          <w:spacing w:val="-4"/>
          <w:sz w:val="24"/>
          <w:szCs w:val="24"/>
          <w:highlight w:val="none"/>
        </w:rPr>
        <w:t xml:space="preserve"> 为</w:t>
      </w:r>
      <w:r>
        <w:rPr>
          <w:rFonts w:hint="eastAsia" w:ascii="宋体" w:hAnsi="宋体" w:eastAsia="宋体" w:cs="宋体"/>
          <w:color w:val="auto"/>
          <w:spacing w:val="14"/>
          <w:sz w:val="24"/>
          <w:szCs w:val="24"/>
          <w:highlight w:val="none"/>
          <w:u w:val="single"/>
        </w:rPr>
        <w:t xml:space="preserve">  </w:t>
      </w:r>
      <w:r>
        <w:rPr>
          <w:rFonts w:hint="eastAsia" w:ascii="宋体" w:hAnsi="宋体" w:eastAsia="宋体" w:cs="宋体"/>
          <w:color w:val="auto"/>
          <w:spacing w:val="-4"/>
          <w:sz w:val="24"/>
          <w:szCs w:val="24"/>
          <w:highlight w:val="none"/>
          <w:u w:val="single"/>
        </w:rPr>
        <w:t xml:space="preserve">10%  </w:t>
      </w:r>
      <w:r>
        <w:rPr>
          <w:rFonts w:hint="eastAsia" w:ascii="宋体" w:hAnsi="宋体" w:eastAsia="宋体" w:cs="宋体"/>
          <w:color w:val="auto"/>
          <w:spacing w:val="-4"/>
          <w:sz w:val="24"/>
          <w:szCs w:val="24"/>
          <w:highlight w:val="none"/>
        </w:rPr>
        <w:t>。合同履行</w:t>
      </w:r>
      <w:r>
        <w:rPr>
          <w:rFonts w:hint="eastAsia" w:ascii="宋体" w:hAnsi="宋体" w:eastAsia="宋体" w:cs="宋体"/>
          <w:color w:val="auto"/>
          <w:spacing w:val="-7"/>
          <w:sz w:val="24"/>
          <w:szCs w:val="24"/>
          <w:highlight w:val="none"/>
        </w:rPr>
        <w:t>期间，当施工机具台班单价涨跌幅度等于或低于</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7"/>
          <w:sz w:val="24"/>
          <w:szCs w:val="24"/>
          <w:highlight w:val="none"/>
        </w:rPr>
        <w:t>B 值时，该施工机具台班单价不予调</w:t>
      </w:r>
      <w:r>
        <w:rPr>
          <w:rFonts w:hint="eastAsia" w:ascii="宋体" w:hAnsi="宋体" w:eastAsia="宋体" w:cs="宋体"/>
          <w:color w:val="auto"/>
          <w:spacing w:val="-8"/>
          <w:sz w:val="24"/>
          <w:szCs w:val="24"/>
          <w:highlight w:val="none"/>
        </w:rPr>
        <w:t>整；</w:t>
      </w:r>
      <w:r>
        <w:rPr>
          <w:rFonts w:hint="eastAsia" w:ascii="宋体" w:hAnsi="宋体" w:eastAsia="宋体" w:cs="宋体"/>
          <w:color w:val="auto"/>
          <w:sz w:val="24"/>
          <w:szCs w:val="24"/>
          <w:highlight w:val="none"/>
        </w:rPr>
        <w:t>超过</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z w:val="24"/>
          <w:szCs w:val="24"/>
          <w:highlight w:val="none"/>
        </w:rPr>
        <w:t>B 值时，其超过部分可以调整。相关费</w:t>
      </w:r>
      <w:r>
        <w:rPr>
          <w:rFonts w:hint="eastAsia" w:ascii="宋体" w:hAnsi="宋体" w:eastAsia="宋体" w:cs="宋体"/>
          <w:color w:val="auto"/>
          <w:spacing w:val="-1"/>
          <w:sz w:val="24"/>
          <w:szCs w:val="24"/>
          <w:highlight w:val="none"/>
        </w:rPr>
        <w:t>用按有关规定进行相应调整。</w:t>
      </w:r>
    </w:p>
    <w:p w14:paraId="182F86EE">
      <w:pPr>
        <w:pageBreakBefore w:val="0"/>
        <w:kinsoku/>
        <w:wordWrap w:val="0"/>
        <w:overflowPunct/>
        <w:topLinePunct w:val="0"/>
        <w:bidi w:val="0"/>
        <w:spacing w:before="153" w:line="278" w:lineRule="auto"/>
        <w:ind w:left="42" w:right="59" w:firstLine="4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color w:val="auto"/>
          <w:spacing w:val="-1"/>
          <w:sz w:val="24"/>
          <w:szCs w:val="24"/>
          <w:highlight w:val="none"/>
        </w:rPr>
        <w:t>．如果承包人投标报价中施工机具台班单价（以下简称“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中标单价</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）低于基准</w:t>
      </w:r>
      <w:r>
        <w:rPr>
          <w:rFonts w:hint="eastAsia" w:ascii="宋体" w:hAnsi="宋体" w:eastAsia="宋体" w:cs="宋体"/>
          <w:color w:val="auto"/>
          <w:spacing w:val="-3"/>
          <w:sz w:val="24"/>
          <w:szCs w:val="24"/>
          <w:highlight w:val="none"/>
        </w:rPr>
        <w:t>日当月项目所在地工程造价管理机构发布的对应施工机具台班单价（以下简称“基准单</w:t>
      </w:r>
      <w:r>
        <w:rPr>
          <w:rFonts w:hint="eastAsia" w:ascii="宋体" w:hAnsi="宋体" w:eastAsia="宋体" w:cs="宋体"/>
          <w:color w:val="auto"/>
          <w:spacing w:val="-2"/>
          <w:sz w:val="24"/>
          <w:szCs w:val="24"/>
          <w:highlight w:val="none"/>
        </w:rPr>
        <w:t>价</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”），该施工机具台班的结算单价调整公式为：</w:t>
      </w:r>
    </w:p>
    <w:p w14:paraId="5B588461">
      <w:pPr>
        <w:pageBreakBefore w:val="0"/>
        <w:kinsoku/>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40" embosscolor="#FFFFFF" o:title=""/>
            <o:lock v:ext="edit" grouping="f" rotation="f" text="f" aspectratio="t"/>
            <w10:wrap type="none"/>
            <w10:anchorlock/>
          </v:shape>
          <o:OLEObject Type="Embed" ProgID="Equation.KSEE3" ShapeID="_x0000_i1031" DrawAspect="Content" ObjectID="_1468075731" r:id="rId39">
            <o:LockedField>false</o:LockedField>
          </o:OLEObject>
        </w:object>
      </w:r>
    </w:p>
    <w:p w14:paraId="5A143971">
      <w:pPr>
        <w:pageBreakBefore w:val="0"/>
        <w:kinsoku/>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42" embosscolor="#FFFFFF" o:title=""/>
            <o:lock v:ext="edit" grouping="f" rotation="f" text="f" aspectratio="t"/>
            <w10:wrap type="none"/>
            <w10:anchorlock/>
          </v:shape>
          <o:OLEObject Type="Embed" ProgID="Equation.KSEE3" ShapeID="_x0000_i1032" DrawAspect="Content" ObjectID="_1468075732" r:id="rId41">
            <o:LockedField>false</o:LockedField>
          </o:OLEObject>
        </w:object>
      </w:r>
    </w:p>
    <w:p w14:paraId="71DA5EDB">
      <w:pPr>
        <w:pageBreakBefore w:val="0"/>
        <w:kinsoku/>
        <w:wordWrap w:val="0"/>
        <w:overflowPunct/>
        <w:topLinePunct w:val="0"/>
        <w:bidi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14:paraId="73DAD1F4">
      <w:pPr>
        <w:pageBreakBefore w:val="0"/>
        <w:kinsoku/>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44" embosscolor="#FFFFFF" o:title=""/>
            <o:lock v:ext="edit" grouping="f" rotation="f" text="f" aspectratio="t"/>
            <w10:wrap type="none"/>
            <w10:anchorlock/>
          </v:shape>
          <o:OLEObject Type="Embed" ProgID="Equation.KSEE3" ShapeID="_x0000_i1033" DrawAspect="Content" ObjectID="_1468075733" r:id="rId43">
            <o:LockedField>false</o:LockedField>
          </o:OLEObject>
        </w:object>
      </w:r>
    </w:p>
    <w:p w14:paraId="0DF37DD9">
      <w:pPr>
        <w:pageBreakBefore w:val="0"/>
        <w:kinsoku/>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46" embosscolor="#FFFFFF" o:title=""/>
            <o:lock v:ext="edit" grouping="f" rotation="f" text="f" aspectratio="t"/>
            <w10:wrap type="none"/>
            <w10:anchorlock/>
          </v:shape>
          <o:OLEObject Type="Embed" ProgID="Equation.KSEE3" ShapeID="_x0000_i1034" DrawAspect="Content" ObjectID="_1468075734" r:id="rId45">
            <o:LockedField>false</o:LockedField>
          </o:OLEObject>
        </w:object>
      </w:r>
    </w:p>
    <w:p w14:paraId="3A18FCB0">
      <w:pPr>
        <w:pageBreakBefore w:val="0"/>
        <w:kinsoku/>
        <w:wordWrap w:val="0"/>
        <w:overflowPunct/>
        <w:topLinePunct w:val="0"/>
        <w:bidi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14:paraId="43BF53D3">
      <w:pPr>
        <w:pageBreakBefore w:val="0"/>
        <w:kinsoku/>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48" embosscolor="#FFFFFF" o:title=""/>
            <o:lock v:ext="edit" grouping="f" rotation="f" text="f" aspectratio="t"/>
            <w10:wrap type="none"/>
            <w10:anchorlock/>
          </v:shape>
          <o:OLEObject Type="Embed" ProgID="Equation.KSEE3" ShapeID="_x0000_i1035" DrawAspect="Content" ObjectID="_1468075735" r:id="rId47">
            <o:LockedField>false</o:LockedField>
          </o:OLEObject>
        </w:object>
      </w:r>
    </w:p>
    <w:p w14:paraId="4B570A77">
      <w:pPr>
        <w:pageBreakBefore w:val="0"/>
        <w:kinsoku/>
        <w:wordWrap w:val="0"/>
        <w:overflowPunct/>
        <w:topLinePunct w:val="0"/>
        <w:bidi w:val="0"/>
        <w:spacing w:before="79" w:line="324" w:lineRule="auto"/>
        <w:ind w:left="11" w:right="65" w:firstLine="504"/>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50" embosscolor="#FFFFFF" o:title=""/>
            <o:lock v:ext="edit" grouping="f" rotation="f" text="f" aspectratio="t"/>
            <w10:wrap type="none"/>
            <w10:anchorlock/>
          </v:shape>
          <o:OLEObject Type="Embed" ProgID="Equation.KSEE3" ShapeID="_x0000_i1036" DrawAspect="Content" ObjectID="_1468075736" r:id="rId49">
            <o:LockedField>false</o:LockedField>
          </o:OLEObject>
        </w:object>
      </w:r>
    </w:p>
    <w:p w14:paraId="21C1C499">
      <w:pPr>
        <w:pageBreakBefore w:val="0"/>
        <w:kinsoku/>
        <w:wordWrap w:val="0"/>
        <w:overflowPunct/>
        <w:topLinePunct w:val="0"/>
        <w:bidi w:val="0"/>
        <w:spacing w:before="79" w:line="324" w:lineRule="auto"/>
        <w:ind w:left="11" w:right="65" w:firstLine="50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理机构发布的施工机具台班单价；B 为合同约定的施工机具台班单价</w:t>
      </w:r>
      <w:r>
        <w:rPr>
          <w:rFonts w:hint="eastAsia" w:ascii="宋体" w:hAnsi="宋体" w:eastAsia="宋体" w:cs="宋体"/>
          <w:color w:val="auto"/>
          <w:spacing w:val="-2"/>
          <w:sz w:val="24"/>
          <w:szCs w:val="24"/>
          <w:highlight w:val="none"/>
        </w:rPr>
        <w:t>涨跌风险幅度值。</w:t>
      </w:r>
    </w:p>
    <w:p w14:paraId="6BEA2F3E">
      <w:pPr>
        <w:pageBreakBefore w:val="0"/>
        <w:kinsoku/>
        <w:wordWrap w:val="0"/>
        <w:overflowPunct/>
        <w:topLinePunct w:val="0"/>
        <w:bidi w:val="0"/>
        <w:spacing w:before="39" w:line="219"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2.3.7  </w:t>
      </w:r>
      <w:r>
        <w:rPr>
          <w:rFonts w:hint="eastAsia" w:ascii="宋体" w:hAnsi="宋体" w:eastAsia="宋体" w:cs="宋体"/>
          <w:color w:val="auto"/>
          <w:spacing w:val="-1"/>
          <w:sz w:val="24"/>
          <w:szCs w:val="24"/>
          <w:highlight w:val="none"/>
        </w:rPr>
        <w:t>暂估价和暂列金额</w:t>
      </w:r>
    </w:p>
    <w:p w14:paraId="0EB572A7">
      <w:pPr>
        <w:pageBreakBefore w:val="0"/>
        <w:kinsoku/>
        <w:wordWrap w:val="0"/>
        <w:overflowPunct/>
        <w:topLinePunct w:val="0"/>
        <w:bidi w:val="0"/>
        <w:spacing w:before="154" w:line="299" w:lineRule="auto"/>
        <w:ind w:left="7" w:right="57" w:firstLine="477"/>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2.3.7.1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snapToGrid w:val="0"/>
          <w:color w:val="auto"/>
          <w:kern w:val="0"/>
          <w:sz w:val="24"/>
          <w:szCs w:val="24"/>
          <w:highlight w:val="none"/>
          <w:lang w:eastAsia="zh-CN"/>
        </w:rPr>
        <w:t xml:space="preserve">暂估价项目按第一章第三节“投标人须知正文 ”第 </w:t>
      </w:r>
      <w:r>
        <w:rPr>
          <w:rFonts w:hint="eastAsia" w:ascii="宋体" w:hAnsi="宋体" w:eastAsia="宋体" w:cs="宋体"/>
          <w:b/>
          <w:bCs/>
          <w:snapToGrid w:val="0"/>
          <w:color w:val="auto"/>
          <w:kern w:val="0"/>
          <w:sz w:val="24"/>
          <w:szCs w:val="24"/>
          <w:highlight w:val="none"/>
          <w:lang w:eastAsia="zh-CN"/>
        </w:rPr>
        <w:t>8.5</w:t>
      </w:r>
      <w:r>
        <w:rPr>
          <w:rFonts w:hint="eastAsia" w:ascii="宋体" w:hAnsi="宋体" w:eastAsia="宋体" w:cs="宋体"/>
          <w:snapToGrid w:val="0"/>
          <w:color w:val="auto"/>
          <w:kern w:val="0"/>
          <w:sz w:val="24"/>
          <w:szCs w:val="24"/>
          <w:highlight w:val="none"/>
          <w:lang w:eastAsia="zh-CN"/>
        </w:rPr>
        <w:t xml:space="preserve"> 条的规定确定专业工程承包人（或材料供应商、工程设备供应商）后，将专业工程合同价款（或材料单价、工程设备单价）取代相应暂估价，并调整合同价款。</w:t>
      </w:r>
    </w:p>
    <w:p w14:paraId="13FAEFE8">
      <w:pPr>
        <w:pageBreakBefore w:val="0"/>
        <w:kinsoku/>
        <w:wordWrap w:val="0"/>
        <w:overflowPunct/>
        <w:topLinePunct w:val="0"/>
        <w:bidi w:val="0"/>
        <w:spacing w:before="153" w:line="315" w:lineRule="auto"/>
        <w:ind w:left="8" w:right="2" w:firstLine="476"/>
        <w:rPr>
          <w:rFonts w:hint="eastAsia" w:ascii="宋体" w:hAnsi="宋体" w:eastAsia="宋体" w:cs="宋体"/>
          <w:color w:val="auto"/>
          <w:spacing w:val="-3"/>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8"/>
          <w:sz w:val="24"/>
          <w:szCs w:val="24"/>
          <w:highlight w:val="none"/>
        </w:rPr>
        <w:t>2.3.7.2</w:t>
      </w:r>
      <w:r>
        <w:rPr>
          <w:rFonts w:hint="eastAsia" w:ascii="宋体" w:hAnsi="宋体" w:eastAsia="宋体" w:cs="宋体"/>
          <w:b/>
          <w:bCs/>
          <w:color w:val="auto"/>
          <w:spacing w:val="-8"/>
          <w:sz w:val="24"/>
          <w:szCs w:val="24"/>
          <w:highlight w:val="none"/>
        </w:rPr>
        <w:fldChar w:fldCharType="end"/>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暂列金额由发包人掌握和使用。暂列金额项目若有发</w:t>
      </w:r>
      <w:r>
        <w:rPr>
          <w:rFonts w:hint="eastAsia" w:ascii="宋体" w:hAnsi="宋体" w:eastAsia="宋体" w:cs="宋体"/>
          <w:color w:val="auto"/>
          <w:spacing w:val="-9"/>
          <w:sz w:val="24"/>
          <w:szCs w:val="24"/>
          <w:highlight w:val="none"/>
        </w:rPr>
        <w:t>生，按第一章第三节“投</w:t>
      </w:r>
      <w:r>
        <w:rPr>
          <w:rFonts w:hint="eastAsia" w:ascii="宋体" w:hAnsi="宋体" w:eastAsia="宋体" w:cs="宋体"/>
          <w:color w:val="auto"/>
          <w:spacing w:val="-5"/>
          <w:sz w:val="24"/>
          <w:szCs w:val="24"/>
          <w:highlight w:val="none"/>
        </w:rPr>
        <w:t>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5"/>
          <w:sz w:val="24"/>
          <w:szCs w:val="24"/>
          <w:highlight w:val="none"/>
        </w:rPr>
        <w:t xml:space="preserve">8.6 </w:t>
      </w:r>
      <w:r>
        <w:rPr>
          <w:rFonts w:hint="eastAsia" w:ascii="宋体" w:hAnsi="宋体" w:eastAsia="宋体" w:cs="宋体"/>
          <w:color w:val="auto"/>
          <w:spacing w:val="-5"/>
          <w:sz w:val="24"/>
          <w:szCs w:val="24"/>
          <w:highlight w:val="none"/>
        </w:rPr>
        <w:t>条的规定确定材料供应商（或工程设备供</w:t>
      </w:r>
      <w:r>
        <w:rPr>
          <w:rFonts w:hint="eastAsia" w:ascii="宋体" w:hAnsi="宋体" w:eastAsia="宋体" w:cs="宋体"/>
          <w:color w:val="auto"/>
          <w:spacing w:val="-6"/>
          <w:sz w:val="24"/>
          <w:szCs w:val="24"/>
          <w:highlight w:val="none"/>
        </w:rPr>
        <w:t>应商、服务供应商）后，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auto"/>
          <w:spacing w:val="-1"/>
          <w:sz w:val="24"/>
          <w:szCs w:val="24"/>
          <w:highlight w:val="none"/>
        </w:rPr>
        <w:t>现场签证确认等的费用后，余额（若有）归发包人所有。</w:t>
      </w:r>
    </w:p>
    <w:p w14:paraId="5F0733E8">
      <w:pPr>
        <w:pageBreakBefore w:val="0"/>
        <w:kinsoku/>
        <w:wordWrap w:val="0"/>
        <w:overflowPunct/>
        <w:topLinePunct w:val="0"/>
        <w:bidi w:val="0"/>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2.3.8</w:t>
      </w:r>
      <w:r>
        <w:rPr>
          <w:rFonts w:hint="eastAsia" w:ascii="宋体" w:hAnsi="宋体" w:eastAsia="宋体" w:cs="宋体"/>
          <w:color w:val="auto"/>
          <w:spacing w:val="-8"/>
          <w:sz w:val="24"/>
          <w:szCs w:val="24"/>
          <w:highlight w:val="none"/>
        </w:rPr>
        <w:t xml:space="preserve"> 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w:t>
      </w:r>
      <w:r>
        <w:rPr>
          <w:rFonts w:hint="eastAsia" w:ascii="宋体" w:hAnsi="宋体" w:eastAsia="宋体" w:cs="宋体"/>
          <w:color w:val="auto"/>
          <w:spacing w:val="-8"/>
          <w:sz w:val="24"/>
          <w:szCs w:val="24"/>
          <w:highlight w:val="none"/>
          <w:lang w:val="en-US" w:eastAsia="zh-CN"/>
        </w:rPr>
        <w:t>18</w:t>
      </w:r>
      <w:r>
        <w:rPr>
          <w:rFonts w:hint="eastAsia" w:ascii="宋体" w:hAnsi="宋体" w:eastAsia="宋体" w:cs="宋体"/>
          <w:color w:val="auto"/>
          <w:spacing w:val="-8"/>
          <w:sz w:val="24"/>
          <w:szCs w:val="24"/>
          <w:highlight w:val="none"/>
        </w:rPr>
        <w:t>）》相关规定。若发生工程签证变更，应按合同约定计取预算包干费。</w:t>
      </w:r>
    </w:p>
    <w:p w14:paraId="7F10FE20">
      <w:pPr>
        <w:pageBreakBefore w:val="0"/>
        <w:kinsoku/>
        <w:wordWrap w:val="0"/>
        <w:overflowPunct/>
        <w:topLinePunct w:val="0"/>
        <w:bidi w:val="0"/>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w:t>
      </w:r>
      <w:r>
        <w:rPr>
          <w:rFonts w:hint="eastAsia" w:ascii="宋体" w:hAnsi="宋体" w:eastAsia="宋体" w:cs="宋体"/>
          <w:b/>
          <w:bCs/>
          <w:color w:val="auto"/>
          <w:spacing w:val="-8"/>
          <w:sz w:val="24"/>
          <w:szCs w:val="24"/>
          <w:highlight w:val="none"/>
          <w:lang w:val="en-US" w:eastAsia="zh-CN"/>
        </w:rPr>
        <w:t>9</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其余事项（如不可抗力、索赔、现场签证等）的调整原则按照《建设工程工程量清单计价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8"/>
          <w:sz w:val="24"/>
          <w:szCs w:val="24"/>
          <w:highlight w:val="none"/>
        </w:rPr>
        <w:t>》（GB50500—20</w:t>
      </w:r>
      <w:r>
        <w:rPr>
          <w:rFonts w:hint="eastAsia" w:ascii="宋体" w:hAnsi="宋体" w:eastAsia="宋体" w:cs="宋体"/>
          <w:color w:val="auto"/>
          <w:spacing w:val="-8"/>
          <w:sz w:val="24"/>
          <w:szCs w:val="24"/>
          <w:highlight w:val="none"/>
          <w:lang w:val="en-US" w:eastAsia="zh-CN"/>
        </w:rPr>
        <w:t>24</w:t>
      </w:r>
      <w:r>
        <w:rPr>
          <w:rFonts w:hint="eastAsia" w:ascii="宋体" w:hAnsi="宋体" w:eastAsia="宋体" w:cs="宋体"/>
          <w:color w:val="auto"/>
          <w:spacing w:val="-8"/>
          <w:sz w:val="24"/>
          <w:szCs w:val="24"/>
          <w:highlight w:val="none"/>
        </w:rPr>
        <w:t>）有关规定执行。</w:t>
      </w:r>
    </w:p>
    <w:p w14:paraId="50EB52AA">
      <w:pPr>
        <w:pageBreakBefore w:val="0"/>
        <w:kinsoku/>
        <w:wordWrap w:val="0"/>
        <w:overflowPunct/>
        <w:topLinePunct w:val="0"/>
        <w:bidi w:val="0"/>
        <w:spacing w:before="156" w:line="299" w:lineRule="auto"/>
        <w:ind w:left="12" w:right="65" w:firstLine="55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2.4  </w:t>
      </w:r>
      <w:r>
        <w:rPr>
          <w:rFonts w:hint="eastAsia" w:ascii="宋体" w:hAnsi="宋体" w:eastAsia="宋体" w:cs="宋体"/>
          <w:color w:val="auto"/>
          <w:sz w:val="24"/>
          <w:szCs w:val="24"/>
          <w:highlight w:val="none"/>
        </w:rPr>
        <w:t>凡将引起合同价款调增的事项，承包人必须于拟实施</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z w:val="24"/>
          <w:szCs w:val="24"/>
          <w:highlight w:val="none"/>
        </w:rPr>
        <w:t>14</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z w:val="24"/>
          <w:szCs w:val="24"/>
          <w:highlight w:val="none"/>
        </w:rPr>
        <w:t>天前，将详细的</w:t>
      </w:r>
      <w:r>
        <w:rPr>
          <w:rFonts w:hint="eastAsia" w:ascii="宋体" w:hAnsi="宋体" w:eastAsia="宋体" w:cs="宋体"/>
          <w:color w:val="auto"/>
          <w:spacing w:val="-1"/>
          <w:sz w:val="24"/>
          <w:szCs w:val="24"/>
          <w:highlight w:val="none"/>
        </w:rPr>
        <w:t>报价</w:t>
      </w:r>
      <w:r>
        <w:rPr>
          <w:rFonts w:hint="eastAsia" w:ascii="宋体" w:hAnsi="宋体" w:eastAsia="宋体" w:cs="宋体"/>
          <w:color w:val="auto"/>
          <w:spacing w:val="-2"/>
          <w:sz w:val="24"/>
          <w:szCs w:val="24"/>
          <w:highlight w:val="none"/>
        </w:rPr>
        <w:t>书（含拟实施项目名称、变更部位、理由、预计造价等）报监理单位审核和发包人批准后方可实施。</w:t>
      </w:r>
    </w:p>
    <w:p w14:paraId="19DA12CE">
      <w:pPr>
        <w:pageBreakBefore w:val="0"/>
        <w:kinsoku/>
        <w:wordWrap w:val="0"/>
        <w:overflowPunct/>
        <w:topLinePunct w:val="0"/>
        <w:bidi w:val="0"/>
        <w:spacing w:before="153" w:line="279" w:lineRule="auto"/>
        <w:ind w:left="9" w:right="102"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承包人不得以不完全了解现场情况为理由，提出额外付</w:t>
      </w:r>
      <w:r>
        <w:rPr>
          <w:rFonts w:hint="eastAsia" w:ascii="宋体" w:hAnsi="宋体" w:eastAsia="宋体" w:cs="宋体"/>
          <w:color w:val="auto"/>
          <w:sz w:val="24"/>
          <w:szCs w:val="24"/>
          <w:highlight w:val="none"/>
        </w:rPr>
        <w:t>款或延长工期等要求。</w:t>
      </w:r>
      <w:r>
        <w:rPr>
          <w:rFonts w:hint="eastAsia" w:ascii="宋体" w:hAnsi="宋体" w:eastAsia="宋体" w:cs="宋体"/>
          <w:color w:val="auto"/>
          <w:spacing w:val="-1"/>
          <w:sz w:val="24"/>
          <w:szCs w:val="24"/>
          <w:highlight w:val="none"/>
        </w:rPr>
        <w:t>对此类要求，发包人不作任何考虑及答复。</w:t>
      </w:r>
    </w:p>
    <w:p w14:paraId="01E94B7B">
      <w:pPr>
        <w:pageBreakBefore w:val="0"/>
        <w:kinsoku/>
        <w:wordWrap w:val="0"/>
        <w:overflowPunct/>
        <w:topLinePunct w:val="0"/>
        <w:bidi w:val="0"/>
        <w:spacing w:before="154" w:line="279" w:lineRule="auto"/>
        <w:ind w:left="10" w:right="63"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2.6 </w:t>
      </w:r>
      <w:r>
        <w:rPr>
          <w:rFonts w:hint="eastAsia" w:ascii="宋体" w:hAnsi="宋体" w:eastAsia="宋体" w:cs="宋体"/>
          <w:color w:val="auto"/>
          <w:spacing w:val="2"/>
          <w:sz w:val="24"/>
          <w:szCs w:val="24"/>
          <w:highlight w:val="none"/>
        </w:rPr>
        <w:t>承包人已标价工程量清单中漏报、错报或少报的清单项目</w:t>
      </w:r>
      <w:r>
        <w:rPr>
          <w:rFonts w:hint="eastAsia" w:ascii="宋体" w:hAnsi="宋体" w:eastAsia="宋体" w:cs="宋体"/>
          <w:color w:val="auto"/>
          <w:spacing w:val="1"/>
          <w:sz w:val="24"/>
          <w:szCs w:val="24"/>
          <w:highlight w:val="none"/>
        </w:rPr>
        <w:t>，其价格均视为已经</w:t>
      </w:r>
      <w:r>
        <w:rPr>
          <w:rFonts w:hint="eastAsia" w:ascii="宋体" w:hAnsi="宋体" w:eastAsia="宋体" w:cs="宋体"/>
          <w:color w:val="auto"/>
          <w:spacing w:val="-1"/>
          <w:sz w:val="24"/>
          <w:szCs w:val="24"/>
          <w:highlight w:val="none"/>
        </w:rPr>
        <w:t>包含在其它清单项目中，竣工结算时不得重新组价和调整。</w:t>
      </w:r>
    </w:p>
    <w:p w14:paraId="42772186">
      <w:pPr>
        <w:pageBreakBefore w:val="0"/>
        <w:kinsoku/>
        <w:wordWrap w:val="0"/>
        <w:overflowPunct/>
        <w:topLinePunct w:val="0"/>
        <w:bidi w:val="0"/>
        <w:spacing w:before="155" w:line="299" w:lineRule="auto"/>
        <w:ind w:left="12" w:right="65"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  </w:t>
      </w:r>
      <w:r>
        <w:rPr>
          <w:rFonts w:hint="eastAsia" w:ascii="宋体" w:hAnsi="宋体" w:eastAsia="宋体" w:cs="宋体"/>
          <w:color w:val="auto"/>
          <w:sz w:val="24"/>
          <w:szCs w:val="24"/>
          <w:highlight w:val="none"/>
        </w:rPr>
        <w:t>项目完工后，发、承包双方和受其委托具备相应资质的工程造价咨询单位必须</w:t>
      </w:r>
      <w:r>
        <w:rPr>
          <w:rFonts w:hint="eastAsia" w:ascii="宋体" w:hAnsi="宋体" w:eastAsia="宋体" w:cs="宋体"/>
          <w:color w:val="auto"/>
          <w:spacing w:val="-1"/>
          <w:sz w:val="24"/>
          <w:szCs w:val="24"/>
          <w:highlight w:val="none"/>
        </w:rPr>
        <w:t>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）和国家、省、市的有关规定</w:t>
      </w:r>
      <w:r>
        <w:rPr>
          <w:rFonts w:hint="eastAsia" w:ascii="宋体" w:hAnsi="宋体" w:eastAsia="宋体" w:cs="宋体"/>
          <w:color w:val="auto"/>
          <w:spacing w:val="-2"/>
          <w:sz w:val="24"/>
          <w:szCs w:val="24"/>
          <w:highlight w:val="none"/>
        </w:rPr>
        <w:t>办理竣工结算。</w:t>
      </w:r>
    </w:p>
    <w:p w14:paraId="4212D90A">
      <w:pPr>
        <w:pageBreakBefore w:val="0"/>
        <w:kinsoku/>
        <w:wordWrap w:val="0"/>
        <w:overflowPunct/>
        <w:topLinePunct w:val="0"/>
        <w:bidi w:val="0"/>
        <w:spacing w:before="152" w:line="319" w:lineRule="auto"/>
        <w:ind w:left="8" w:right="38" w:firstLine="55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2.8  </w:t>
      </w:r>
      <w:r>
        <w:rPr>
          <w:rFonts w:hint="eastAsia" w:ascii="宋体" w:hAnsi="宋体" w:eastAsia="宋体" w:cs="宋体"/>
          <w:color w:val="auto"/>
          <w:spacing w:val="-1"/>
          <w:sz w:val="24"/>
          <w:szCs w:val="24"/>
          <w:highlight w:val="none"/>
        </w:rPr>
        <w:t>承包人已标价工程量清单中没有的材料（或工程设备</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承包人在使</w:t>
      </w:r>
      <w:r>
        <w:rPr>
          <w:rFonts w:hint="eastAsia" w:ascii="宋体" w:hAnsi="宋体" w:eastAsia="宋体" w:cs="宋体"/>
          <w:color w:val="auto"/>
          <w:spacing w:val="-2"/>
          <w:sz w:val="24"/>
          <w:szCs w:val="24"/>
          <w:highlight w:val="none"/>
        </w:rPr>
        <w:t>用前必须</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rPr>
        <w:t>包人审定并确定价格后，承包人方可采购和</w:t>
      </w:r>
      <w:r>
        <w:rPr>
          <w:rFonts w:hint="eastAsia" w:ascii="宋体" w:hAnsi="宋体" w:eastAsia="宋体" w:cs="宋体"/>
          <w:color w:val="auto"/>
          <w:spacing w:val="-1"/>
          <w:sz w:val="24"/>
          <w:szCs w:val="24"/>
          <w:highlight w:val="none"/>
        </w:rPr>
        <w:t>使用。如果在交货验收和使用过程中发现货</w:t>
      </w:r>
      <w:r>
        <w:rPr>
          <w:rFonts w:hint="eastAsia" w:ascii="宋体" w:hAnsi="宋体" w:eastAsia="宋体" w:cs="宋体"/>
          <w:color w:val="auto"/>
          <w:spacing w:val="-2"/>
          <w:sz w:val="24"/>
          <w:szCs w:val="24"/>
          <w:highlight w:val="none"/>
        </w:rPr>
        <w:t>不对板，监理单位和发包人有权拒用，并要</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求承包人立即进行更换。更换后的材料（或</w:t>
      </w:r>
      <w:r>
        <w:rPr>
          <w:rFonts w:hint="eastAsia" w:ascii="宋体" w:hAnsi="宋体" w:eastAsia="宋体" w:cs="宋体"/>
          <w:color w:val="auto"/>
          <w:spacing w:val="-2"/>
          <w:sz w:val="24"/>
          <w:szCs w:val="24"/>
          <w:highlight w:val="none"/>
        </w:rPr>
        <w:t>工程设备）应再次进行检查和检验。由此增</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加的费用和（或）工期延误由承包人承担。</w:t>
      </w:r>
    </w:p>
    <w:p w14:paraId="300DDFC8">
      <w:pPr>
        <w:pageBreakBefore w:val="0"/>
        <w:kinsoku/>
        <w:wordWrap w:val="0"/>
        <w:overflowPunct/>
        <w:topLinePunct w:val="0"/>
        <w:bidi w:val="0"/>
        <w:spacing w:before="152" w:line="319" w:lineRule="auto"/>
        <w:ind w:left="8" w:right="38" w:firstLine="55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2.9 </w:t>
      </w:r>
      <w:r>
        <w:rPr>
          <w:rFonts w:hint="eastAsia" w:ascii="宋体" w:hAnsi="宋体" w:eastAsia="宋体" w:cs="宋体"/>
          <w:color w:val="auto"/>
          <w:spacing w:val="-1"/>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w:t>
      </w:r>
      <w:r>
        <w:rPr>
          <w:rFonts w:hint="eastAsia" w:ascii="宋体" w:hAnsi="宋体" w:eastAsia="宋体" w:cs="宋体"/>
          <w:color w:val="auto"/>
          <w:spacing w:val="-1"/>
          <w:sz w:val="24"/>
          <w:szCs w:val="24"/>
          <w:highlight w:val="none"/>
          <w:lang w:val="en-US" w:eastAsia="zh-CN"/>
        </w:rPr>
        <w:t>造价通、</w:t>
      </w:r>
      <w:r>
        <w:rPr>
          <w:rFonts w:hint="eastAsia" w:ascii="宋体" w:hAnsi="宋体" w:eastAsia="宋体" w:cs="宋体"/>
          <w:color w:val="auto"/>
          <w:spacing w:val="-1"/>
          <w:sz w:val="24"/>
          <w:szCs w:val="24"/>
          <w:highlight w:val="none"/>
        </w:rPr>
        <w:t>电商平台价格（优先从京东、国美、苏宁等大型电商平台查询取其平均价）；若以上方式均无法确定材料价格 的，则采用厂商报价或市场询价等方式取得有合法依据的市场价格，报发包人确认。</w:t>
      </w:r>
    </w:p>
    <w:p w14:paraId="6245169A">
      <w:pPr>
        <w:pStyle w:val="29"/>
        <w:pageBreakBefore w:val="0"/>
        <w:kinsoku/>
        <w:wordWrap w:val="0"/>
        <w:overflowPunct/>
        <w:topLinePunct w:val="0"/>
        <w:bidi w:val="0"/>
        <w:snapToGrid w:val="0"/>
        <w:spacing w:line="440" w:lineRule="exact"/>
        <w:ind w:firstLine="480"/>
        <w:jc w:val="both"/>
        <w:outlineLvl w:val="2"/>
        <w:rPr>
          <w:rStyle w:val="20"/>
          <w:rFonts w:hint="eastAsia" w:ascii="宋体" w:hAnsi="宋体" w:eastAsia="宋体" w:cs="宋体"/>
          <w:b/>
          <w:bCs/>
          <w:color w:val="auto"/>
          <w:sz w:val="24"/>
          <w:szCs w:val="24"/>
          <w:highlight w:val="none"/>
        </w:rPr>
      </w:pPr>
      <w:bookmarkStart w:id="179" w:name="_Toc1816"/>
      <w:bookmarkStart w:id="180" w:name="_Toc12732"/>
      <w:r>
        <w:rPr>
          <w:rStyle w:val="20"/>
          <w:rFonts w:hint="eastAsia" w:ascii="宋体" w:hAnsi="宋体" w:eastAsia="宋体" w:cs="宋体"/>
          <w:b/>
          <w:bCs/>
          <w:color w:val="auto"/>
          <w:sz w:val="24"/>
          <w:szCs w:val="24"/>
          <w:highlight w:val="none"/>
        </w:rPr>
        <w:t>3. 工程付款办法</w:t>
      </w:r>
      <w:bookmarkEnd w:id="179"/>
      <w:bookmarkEnd w:id="180"/>
    </w:p>
    <w:p w14:paraId="47DD6CF3">
      <w:pPr>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3.1</w:t>
      </w:r>
      <w:r>
        <w:rPr>
          <w:rFonts w:hint="eastAsia" w:ascii="宋体" w:hAnsi="宋体" w:eastAsia="宋体" w:cs="宋体"/>
          <w:snapToGrid w:val="0"/>
          <w:color w:val="auto"/>
          <w:kern w:val="0"/>
          <w:sz w:val="24"/>
          <w:szCs w:val="20"/>
          <w:highlight w:val="none"/>
          <w:lang w:eastAsia="zh-CN"/>
        </w:rPr>
        <w:t xml:space="preserve"> 本工程 </w:t>
      </w:r>
      <w:r>
        <w:rPr>
          <w:rFonts w:hint="eastAsia" w:ascii="宋体" w:hAnsi="宋体" w:eastAsia="宋体" w:cs="宋体"/>
          <w:snapToGrid w:val="0"/>
          <w:color w:val="auto"/>
          <w:kern w:val="0"/>
          <w:sz w:val="24"/>
          <w:szCs w:val="20"/>
          <w:highlight w:val="none"/>
          <w:u w:val="single"/>
          <w:lang w:eastAsia="zh-CN"/>
        </w:rPr>
        <w:t>支付</w:t>
      </w:r>
      <w:r>
        <w:rPr>
          <w:rFonts w:hint="eastAsia" w:ascii="宋体" w:hAnsi="宋体" w:eastAsia="宋体" w:cs="宋体"/>
          <w:snapToGrid w:val="0"/>
          <w:color w:val="auto"/>
          <w:kern w:val="0"/>
          <w:sz w:val="24"/>
          <w:szCs w:val="20"/>
          <w:highlight w:val="none"/>
          <w:lang w:eastAsia="zh-CN"/>
        </w:rPr>
        <w:t xml:space="preserve"> 施工预付款。</w:t>
      </w:r>
    </w:p>
    <w:p w14:paraId="034C0557">
      <w:pPr>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snapToGrid w:val="0"/>
          <w:color w:val="auto"/>
          <w:kern w:val="0"/>
          <w:sz w:val="24"/>
          <w:szCs w:val="20"/>
          <w:highlight w:val="none"/>
          <w:lang w:eastAsia="zh-CN"/>
        </w:rPr>
        <w:t xml:space="preserve"> 施工预付款必须专用于合同工程，并按以下原则支付和抵扣：</w:t>
      </w:r>
    </w:p>
    <w:p w14:paraId="288D6A9B">
      <w:pPr>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3.2.1</w:t>
      </w:r>
      <w:r>
        <w:rPr>
          <w:rFonts w:hint="eastAsia" w:ascii="宋体" w:hAnsi="宋体" w:eastAsia="宋体" w:cs="宋体"/>
          <w:snapToGrid w:val="0"/>
          <w:color w:val="auto"/>
          <w:kern w:val="0"/>
          <w:sz w:val="24"/>
          <w:szCs w:val="20"/>
          <w:highlight w:val="none"/>
          <w:lang w:eastAsia="zh-CN"/>
        </w:rPr>
        <w:t xml:space="preserve"> 施工预付款支付比例为：按施工合同价的</w:t>
      </w:r>
      <w:r>
        <w:rPr>
          <w:rFonts w:hint="eastAsia" w:ascii="宋体" w:hAnsi="宋体" w:eastAsia="宋体" w:cs="宋体"/>
          <w:snapToGrid w:val="0"/>
          <w:color w:val="auto"/>
          <w:kern w:val="0"/>
          <w:sz w:val="24"/>
          <w:szCs w:val="20"/>
          <w:highlight w:val="none"/>
          <w:u w:val="single"/>
          <w:lang w:eastAsia="zh-CN"/>
        </w:rPr>
        <w:t xml:space="preserve"> 30% </w:t>
      </w:r>
      <w:r>
        <w:rPr>
          <w:rFonts w:hint="eastAsia" w:ascii="宋体" w:hAnsi="宋体" w:eastAsia="宋体" w:cs="宋体"/>
          <w:snapToGrid w:val="0"/>
          <w:color w:val="auto"/>
          <w:kern w:val="0"/>
          <w:sz w:val="24"/>
          <w:szCs w:val="20"/>
          <w:highlight w:val="none"/>
          <w:lang w:eastAsia="zh-CN"/>
        </w:rPr>
        <w:t>支付，其中预付款的30%作为工人工资款项拨付到承包人的工资专户。</w:t>
      </w:r>
    </w:p>
    <w:p w14:paraId="2AB46FF0">
      <w:pPr>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3.2.2</w:t>
      </w:r>
      <w:r>
        <w:rPr>
          <w:rFonts w:hint="eastAsia" w:ascii="宋体" w:hAnsi="宋体" w:eastAsia="宋体" w:cs="宋体"/>
          <w:snapToGrid w:val="0"/>
          <w:color w:val="auto"/>
          <w:kern w:val="0"/>
          <w:sz w:val="24"/>
          <w:szCs w:val="20"/>
          <w:highlight w:val="none"/>
          <w:lang w:eastAsia="zh-CN"/>
        </w:rPr>
        <w:t xml:space="preserve"> 本招标项目</w:t>
      </w:r>
      <w:r>
        <w:rPr>
          <w:rFonts w:hint="eastAsia" w:ascii="宋体" w:hAnsi="宋体" w:eastAsia="宋体" w:cs="宋体"/>
          <w:b/>
          <w:bCs/>
          <w:snapToGrid w:val="0"/>
          <w:color w:val="auto"/>
          <w:kern w:val="0"/>
          <w:sz w:val="24"/>
          <w:szCs w:val="20"/>
          <w:highlight w:val="none"/>
          <w:u w:val="single"/>
          <w:lang w:eastAsia="zh-CN"/>
        </w:rPr>
        <w:t xml:space="preserve"> 要求 </w:t>
      </w:r>
      <w:r>
        <w:rPr>
          <w:rFonts w:hint="eastAsia" w:ascii="宋体" w:hAnsi="宋体" w:eastAsia="宋体" w:cs="宋体"/>
          <w:snapToGrid w:val="0"/>
          <w:color w:val="auto"/>
          <w:kern w:val="0"/>
          <w:sz w:val="24"/>
          <w:szCs w:val="20"/>
          <w:highlight w:val="none"/>
          <w:lang w:eastAsia="zh-CN"/>
        </w:rPr>
        <w:t>承包人提供与预付款等额的预付款保函。</w:t>
      </w:r>
    </w:p>
    <w:p w14:paraId="6F29F6D0">
      <w:pPr>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3.2.3</w:t>
      </w:r>
      <w:r>
        <w:rPr>
          <w:rFonts w:hint="eastAsia" w:ascii="宋体" w:hAnsi="宋体" w:eastAsia="宋体" w:cs="宋体"/>
          <w:snapToGrid w:val="0"/>
          <w:color w:val="auto"/>
          <w:kern w:val="0"/>
          <w:sz w:val="24"/>
          <w:szCs w:val="20"/>
          <w:highlight w:val="none"/>
          <w:lang w:eastAsia="zh-CN"/>
        </w:rPr>
        <w:t>承包人应在签订合同后，在提供符合要求的预付款保函或预付款保险及在具备施工条件的前提下，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14:paraId="32EABA50">
      <w:pPr>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3.2.4</w:t>
      </w:r>
      <w:r>
        <w:rPr>
          <w:rFonts w:hint="eastAsia" w:ascii="宋体" w:hAnsi="宋体" w:eastAsia="宋体" w:cs="宋体"/>
          <w:snapToGrid w:val="0"/>
          <w:color w:val="auto"/>
          <w:kern w:val="0"/>
          <w:sz w:val="24"/>
          <w:szCs w:val="20"/>
          <w:highlight w:val="none"/>
          <w:lang w:eastAsia="zh-CN"/>
        </w:rPr>
        <w:t xml:space="preserve"> 预付款分两次从每支付期应支付给承包人的工程进度款中扣回，扣回比例为每次的工程进度款的50%，直到扣回的金额达到合同约定的预付款金额为止。</w:t>
      </w:r>
    </w:p>
    <w:p w14:paraId="6EE753F9">
      <w:pPr>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 xml:space="preserve">3.3 </w:t>
      </w:r>
      <w:r>
        <w:rPr>
          <w:rFonts w:hint="eastAsia" w:ascii="宋体" w:hAnsi="宋体" w:eastAsia="宋体" w:cs="宋体"/>
          <w:snapToGrid w:val="0"/>
          <w:color w:val="auto"/>
          <w:kern w:val="0"/>
          <w:sz w:val="24"/>
          <w:szCs w:val="20"/>
          <w:highlight w:val="none"/>
          <w:lang w:eastAsia="zh-CN"/>
        </w:rPr>
        <w:t>施工过程中按</w:t>
      </w:r>
      <w:r>
        <w:rPr>
          <w:rFonts w:hint="eastAsia" w:ascii="宋体" w:hAnsi="宋体" w:eastAsia="宋体" w:cs="宋体"/>
          <w:snapToGrid w:val="0"/>
          <w:color w:val="auto"/>
          <w:kern w:val="0"/>
          <w:sz w:val="24"/>
          <w:szCs w:val="20"/>
          <w:highlight w:val="none"/>
          <w:lang w:val="en-US" w:eastAsia="zh-CN"/>
        </w:rPr>
        <w:t>工程进度</w:t>
      </w:r>
      <w:r>
        <w:rPr>
          <w:rFonts w:hint="eastAsia" w:ascii="宋体" w:hAnsi="宋体" w:eastAsia="宋体" w:cs="宋体"/>
          <w:snapToGrid w:val="0"/>
          <w:color w:val="auto"/>
          <w:kern w:val="0"/>
          <w:sz w:val="24"/>
          <w:szCs w:val="20"/>
          <w:highlight w:val="none"/>
          <w:lang w:eastAsia="zh-CN"/>
        </w:rPr>
        <w:t>支付工程进度款：承包人按工程实际完成工程量（含变更及增加工程）申报，承包人必须将《已完成工程量报表》和《工程付款申请书》于当月26日前报监理单位核</w:t>
      </w:r>
      <w:bookmarkStart w:id="181" w:name="_Hlt127094354"/>
      <w:bookmarkEnd w:id="181"/>
      <w:r>
        <w:rPr>
          <w:rFonts w:hint="eastAsia" w:ascii="宋体" w:hAnsi="宋体" w:eastAsia="宋体" w:cs="宋体"/>
          <w:snapToGrid w:val="0"/>
          <w:color w:val="auto"/>
          <w:kern w:val="0"/>
          <w:sz w:val="24"/>
          <w:szCs w:val="20"/>
          <w:highlight w:val="none"/>
          <w:lang w:eastAsia="zh-CN"/>
        </w:rPr>
        <w:t>实。经监理单位审核、发包人审定后的工程进度款（指已经按照合同约定，扣除该支付期内因承包人违约而应扣除的管理费），于申报次月支付。</w:t>
      </w:r>
    </w:p>
    <w:p w14:paraId="6F42D530">
      <w:pPr>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 xml:space="preserve">3.4 </w:t>
      </w:r>
      <w:r>
        <w:rPr>
          <w:rFonts w:hint="eastAsia" w:ascii="宋体" w:hAnsi="宋体" w:eastAsia="宋体" w:cs="宋体"/>
          <w:snapToGrid w:val="0"/>
          <w:color w:val="auto"/>
          <w:kern w:val="0"/>
          <w:sz w:val="24"/>
          <w:szCs w:val="20"/>
          <w:highlight w:val="none"/>
          <w:lang w:eastAsia="zh-CN"/>
        </w:rPr>
        <w:t>按照财政部、住房城乡建设部《关于完善建设工程价款结算有关办法的通知》（财建〔2022〕183号）文件精神，结合项目实际，工程进度款按工程实际完成工程量的80%支付。在结算过程中，若发生进度款支付超出实际已完成工程价款的情况，承包单位应按规定在结算后30日内向发包单位返还多收到的工程进度款。工程进度款中</w:t>
      </w:r>
      <w:r>
        <w:rPr>
          <w:rFonts w:hint="eastAsia" w:ascii="宋体" w:hAnsi="宋体" w:eastAsia="宋体" w:cs="宋体"/>
          <w:snapToGrid w:val="0"/>
          <w:color w:val="auto"/>
          <w:kern w:val="0"/>
          <w:sz w:val="24"/>
          <w:szCs w:val="20"/>
          <w:highlight w:val="none"/>
          <w:u w:val="single"/>
          <w:lang w:val="en-US" w:eastAsia="zh-CN"/>
        </w:rPr>
        <w:t>3</w:t>
      </w:r>
      <w:r>
        <w:rPr>
          <w:rFonts w:hint="eastAsia" w:ascii="宋体" w:hAnsi="宋体" w:eastAsia="宋体" w:cs="宋体"/>
          <w:snapToGrid w:val="0"/>
          <w:color w:val="auto"/>
          <w:kern w:val="0"/>
          <w:sz w:val="24"/>
          <w:szCs w:val="20"/>
          <w:highlight w:val="none"/>
          <w:u w:val="single"/>
          <w:lang w:eastAsia="zh-CN"/>
        </w:rPr>
        <w:t>0%</w:t>
      </w:r>
      <w:r>
        <w:rPr>
          <w:rFonts w:hint="eastAsia" w:ascii="宋体" w:hAnsi="宋体" w:eastAsia="宋体" w:cs="宋体"/>
          <w:snapToGrid w:val="0"/>
          <w:color w:val="auto"/>
          <w:kern w:val="0"/>
          <w:sz w:val="24"/>
          <w:szCs w:val="20"/>
          <w:highlight w:val="none"/>
          <w:lang w:eastAsia="zh-CN"/>
        </w:rPr>
        <w:t>的作业工人工资款项由发包人单独足额拨付到承包人的工资专户。</w:t>
      </w:r>
    </w:p>
    <w:p w14:paraId="71FBB4C5">
      <w:pPr>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 xml:space="preserve">3.5 </w:t>
      </w:r>
      <w:r>
        <w:rPr>
          <w:rFonts w:hint="eastAsia" w:ascii="宋体" w:hAnsi="宋体" w:eastAsia="宋体" w:cs="宋体"/>
          <w:snapToGrid w:val="0"/>
          <w:color w:val="auto"/>
          <w:kern w:val="0"/>
          <w:sz w:val="24"/>
          <w:szCs w:val="20"/>
          <w:highlight w:val="none"/>
          <w:lang w:eastAsia="zh-CN"/>
        </w:rPr>
        <w:t>措施项目费中的“</w:t>
      </w:r>
      <w:r>
        <w:rPr>
          <w:rFonts w:hint="eastAsia" w:ascii="宋体" w:hAnsi="宋体" w:eastAsia="宋体" w:cs="宋体"/>
          <w:color w:val="auto"/>
          <w:spacing w:val="-2"/>
          <w:sz w:val="24"/>
          <w:szCs w:val="24"/>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”拨付按照《广东省建设工程计价依据（2018）》执行，按照项目所在地的建设行政主管部门有关规定支付。发生一般事故及以上等级重大安全事故的，发包人可扣除承包人金额相当于所有“</w:t>
      </w:r>
      <w:r>
        <w:rPr>
          <w:rFonts w:hint="eastAsia" w:ascii="宋体" w:hAnsi="宋体" w:eastAsia="宋体" w:cs="宋体"/>
          <w:color w:val="auto"/>
          <w:spacing w:val="-2"/>
          <w:sz w:val="24"/>
          <w:szCs w:val="24"/>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”的工程管理费。</w:t>
      </w:r>
    </w:p>
    <w:p w14:paraId="2135C92D">
      <w:pPr>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3.6</w:t>
      </w:r>
      <w:r>
        <w:rPr>
          <w:rFonts w:hint="eastAsia" w:ascii="宋体" w:hAnsi="宋体" w:eastAsia="宋体" w:cs="宋体"/>
          <w:snapToGrid w:val="0"/>
          <w:color w:val="auto"/>
          <w:kern w:val="0"/>
          <w:sz w:val="24"/>
          <w:szCs w:val="20"/>
          <w:highlight w:val="none"/>
          <w:lang w:eastAsia="zh-CN"/>
        </w:rPr>
        <w:t xml:space="preserve"> 变更工程造价必须经监理单位核实，并经发包人核定后方可支付。</w:t>
      </w:r>
    </w:p>
    <w:p w14:paraId="52EC5580">
      <w:pPr>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3.7</w:t>
      </w:r>
      <w:r>
        <w:rPr>
          <w:rFonts w:hint="eastAsia" w:ascii="宋体" w:hAnsi="宋体" w:eastAsia="宋体" w:cs="宋体"/>
          <w:snapToGrid w:val="0"/>
          <w:color w:val="auto"/>
          <w:kern w:val="0"/>
          <w:sz w:val="24"/>
          <w:szCs w:val="20"/>
          <w:highlight w:val="none"/>
          <w:lang w:eastAsia="zh-CN"/>
        </w:rPr>
        <w:t>结算在财政审核完成后，于次月支付至结算审定价的100%。</w:t>
      </w:r>
    </w:p>
    <w:p w14:paraId="32E1E8DB">
      <w:pPr>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3.8</w:t>
      </w:r>
      <w:r>
        <w:rPr>
          <w:rFonts w:hint="eastAsia" w:ascii="宋体" w:hAnsi="宋体" w:eastAsia="宋体" w:cs="宋体"/>
          <w:snapToGrid w:val="0"/>
          <w:color w:val="auto"/>
          <w:kern w:val="0"/>
          <w:sz w:val="24"/>
          <w:szCs w:val="20"/>
          <w:highlight w:val="none"/>
          <w:lang w:eastAsia="zh-CN"/>
        </w:rPr>
        <w:t>本招标项目缺陷责任期为 2 年（自通过竣工验收之日起计）。缺陷责任期到期后，承包人向发包人申请退还质量保证</w:t>
      </w:r>
      <w:r>
        <w:rPr>
          <w:rFonts w:hint="eastAsia" w:ascii="宋体" w:hAnsi="宋体" w:eastAsia="宋体" w:cs="宋体"/>
          <w:snapToGrid w:val="0"/>
          <w:color w:val="auto"/>
          <w:kern w:val="0"/>
          <w:sz w:val="24"/>
          <w:szCs w:val="20"/>
          <w:highlight w:val="none"/>
          <w:lang w:val="en-US" w:eastAsia="zh-CN"/>
        </w:rPr>
        <w:t>金（采用履约保证金形式的转换为质量保证金）</w:t>
      </w:r>
      <w:r>
        <w:rPr>
          <w:rFonts w:hint="eastAsia" w:ascii="宋体" w:hAnsi="宋体" w:eastAsia="宋体" w:cs="宋体"/>
          <w:snapToGrid w:val="0"/>
          <w:color w:val="auto"/>
          <w:kern w:val="0"/>
          <w:sz w:val="24"/>
          <w:szCs w:val="20"/>
          <w:highlight w:val="none"/>
          <w:lang w:eastAsia="zh-CN"/>
        </w:rPr>
        <w:t>。发包人收到退还申请后，于14天内会同承包人进行核实。经双方核实且均无异议后，发包人在核实之日起 14 天内将应返保证金（或银行保函）不计息退还承包人。</w:t>
      </w:r>
    </w:p>
    <w:p w14:paraId="508CCD75">
      <w:pPr>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3.9</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b/>
          <w:bCs/>
          <w:snapToGrid w:val="0"/>
          <w:color w:val="auto"/>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144BDDDA">
      <w:pPr>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10</w:t>
      </w:r>
      <w:r>
        <w:rPr>
          <w:rFonts w:hint="eastAsia" w:ascii="宋体" w:hAnsi="宋体" w:eastAsia="宋体" w:cs="宋体"/>
          <w:snapToGrid w:val="0"/>
          <w:color w:val="auto"/>
          <w:kern w:val="0"/>
          <w:sz w:val="24"/>
          <w:szCs w:val="20"/>
          <w:highlight w:val="none"/>
          <w:lang w:eastAsia="zh-CN"/>
        </w:rPr>
        <w:t>暂列金额支付方式：</w:t>
      </w:r>
      <w:r>
        <w:rPr>
          <w:rFonts w:hint="eastAsia" w:ascii="宋体" w:hAnsi="宋体" w:eastAsia="宋体" w:cs="宋体"/>
          <w:snapToGrid w:val="0"/>
          <w:color w:val="auto"/>
          <w:kern w:val="0"/>
          <w:sz w:val="24"/>
          <w:szCs w:val="20"/>
          <w:highlight w:val="none"/>
          <w:u w:val="single"/>
          <w:lang w:eastAsia="zh-CN"/>
        </w:rPr>
        <w:t>按实际发生在结算审核完成后支付。</w:t>
      </w:r>
    </w:p>
    <w:p w14:paraId="3A5D2512">
      <w:pPr>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u w:val="single"/>
          <w:lang w:eastAsia="zh-CN"/>
        </w:rPr>
      </w:pPr>
      <w:r>
        <w:rPr>
          <w:rFonts w:hint="eastAsia" w:ascii="宋体" w:hAnsi="宋体" w:eastAsia="宋体" w:cs="宋体"/>
          <w:b/>
          <w:bCs/>
          <w:snapToGrid w:val="0"/>
          <w:color w:val="auto"/>
          <w:kern w:val="0"/>
          <w:sz w:val="24"/>
          <w:szCs w:val="20"/>
          <w:highlight w:val="none"/>
          <w:lang w:eastAsia="zh-CN"/>
        </w:rPr>
        <w:t>3.11</w:t>
      </w:r>
      <w:r>
        <w:rPr>
          <w:rFonts w:hint="eastAsia" w:ascii="宋体" w:hAnsi="宋体" w:eastAsia="宋体" w:cs="宋体"/>
          <w:snapToGrid w:val="0"/>
          <w:color w:val="auto"/>
          <w:kern w:val="0"/>
          <w:sz w:val="24"/>
          <w:szCs w:val="20"/>
          <w:highlight w:val="none"/>
          <w:lang w:eastAsia="zh-CN"/>
        </w:rPr>
        <w:t xml:space="preserve"> 材料暂估价、专业工程暂估价支付方式：</w:t>
      </w:r>
      <w:r>
        <w:rPr>
          <w:rFonts w:hint="eastAsia" w:ascii="宋体" w:hAnsi="宋体" w:eastAsia="宋体" w:cs="宋体"/>
          <w:snapToGrid w:val="0"/>
          <w:color w:val="auto"/>
          <w:kern w:val="0"/>
          <w:sz w:val="24"/>
          <w:szCs w:val="20"/>
          <w:highlight w:val="none"/>
          <w:u w:val="single"/>
          <w:lang w:eastAsia="zh-CN"/>
        </w:rPr>
        <w:t>材料暂估价、专业工程暂估价与工程进度款一并报送，但需要列明详细项目内容，该部分材料暂估价、专业工程暂估价按该部分实际完成工程量的50%支付，剩余部分结算在财政审核完成后支付至100%。</w:t>
      </w:r>
    </w:p>
    <w:p w14:paraId="0C36FED7">
      <w:pPr>
        <w:pageBreakBefore w:val="0"/>
        <w:widowControl w:val="0"/>
        <w:kinsoku/>
        <w:wordWrap w:val="0"/>
        <w:overflowPunct/>
        <w:topLinePunct w:val="0"/>
        <w:autoSpaceDE/>
        <w:autoSpaceDN/>
        <w:bidi w:val="0"/>
        <w:adjustRightInd w:val="0"/>
        <w:snapToGrid w:val="0"/>
        <w:spacing w:line="440" w:lineRule="exact"/>
        <w:ind w:firstLine="480" w:firstLineChars="200"/>
        <w:jc w:val="both"/>
        <w:textAlignment w:val="auto"/>
        <w:rPr>
          <w:rFonts w:hint="eastAsia" w:ascii="宋体" w:hAnsi="宋体" w:eastAsia="宋体" w:cs="宋体"/>
          <w:snapToGrid w:val="0"/>
          <w:color w:val="auto"/>
          <w:kern w:val="0"/>
          <w:sz w:val="24"/>
          <w:szCs w:val="20"/>
          <w:highlight w:val="none"/>
          <w:u w:val="single"/>
          <w:lang w:eastAsia="zh-CN"/>
        </w:rPr>
      </w:pPr>
    </w:p>
    <w:p w14:paraId="0EBC91D6">
      <w:pPr>
        <w:pageBreakBefore w:val="0"/>
        <w:kinsoku/>
        <w:wordWrap w:val="0"/>
        <w:overflowPunct/>
        <w:topLinePunct w:val="0"/>
        <w:bidi w:val="0"/>
        <w:spacing w:before="154" w:line="212" w:lineRule="auto"/>
        <w:ind w:left="486"/>
        <w:outlineLvl w:val="2"/>
        <w:rPr>
          <w:rFonts w:hint="eastAsia" w:ascii="宋体" w:hAnsi="宋体" w:eastAsia="宋体" w:cs="宋体"/>
          <w:b/>
          <w:bCs/>
          <w:color w:val="auto"/>
          <w:spacing w:val="-7"/>
          <w:sz w:val="24"/>
          <w:szCs w:val="24"/>
          <w:highlight w:val="none"/>
        </w:rPr>
      </w:pPr>
      <w:bookmarkStart w:id="182" w:name="_Toc2108"/>
      <w:r>
        <w:rPr>
          <w:rFonts w:hint="eastAsia" w:ascii="宋体" w:hAnsi="宋体" w:eastAsia="宋体" w:cs="宋体"/>
          <w:b/>
          <w:bCs/>
          <w:color w:val="auto"/>
          <w:spacing w:val="-7"/>
          <w:sz w:val="24"/>
          <w:szCs w:val="24"/>
          <w:highlight w:val="none"/>
        </w:rPr>
        <w:t>4</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7"/>
          <w:sz w:val="24"/>
          <w:szCs w:val="24"/>
          <w:highlight w:val="none"/>
        </w:rPr>
        <w:t>．专用合同条款</w:t>
      </w:r>
      <w:bookmarkEnd w:id="182"/>
    </w:p>
    <w:p w14:paraId="248B47DA">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4.1 工程移交延误违约</w:t>
      </w:r>
    </w:p>
    <w:p w14:paraId="67730408">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4.1.1因承包人原因，工程没有按期竣工时，承包人须在逾期第壹天起每天按合同价的0.5‰向发包人返纳逾期竣工违约金。逾期竣工违约金的最高限额为合同价款的3%。</w:t>
      </w:r>
    </w:p>
    <w:p w14:paraId="4077432C">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4.1.2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延误一天，承包人支付5000元违约金，违约金在进度款中扣除。</w:t>
      </w:r>
    </w:p>
    <w:p w14:paraId="39B73722">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4.1.3投标报价应充分考虑在施工中由于发包人造成停工或工期延误等因素所产生的相关费用，发包人不予另计费；停工发生后，若可复工时，承包人应在收到发包人或监理单位发出的复工通知书后3日内复工，否则，作误工违约处理，逾期第壹天起按人民币5000元/天支付违约金给发包人。</w:t>
      </w:r>
    </w:p>
    <w:p w14:paraId="05D406B6">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4.2 质量违约</w:t>
      </w:r>
    </w:p>
    <w:p w14:paraId="08E8468F">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4.2.1材料违约处理：若发现材料不符合国家标准或发包人在技术规范中规定的标准，视为承包人违约，按现行《建设工程质量管理条例》处理。</w:t>
      </w:r>
    </w:p>
    <w:p w14:paraId="39112955">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4.2.2工程质量违约：</w:t>
      </w:r>
    </w:p>
    <w:p w14:paraId="008B3354">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4.2.2.1在施工过程中经监理单位（或招标人）日常巡查或抽检发现未达到合格标准（或发现未按设计施工图施工），责令承包人进行整改，如未按规定时间进行整改或整改不到位的，每发生一次，承包人支付10000元违约金，违约金在进度款中扣除。在省、市监管部门抽查、巡查、专项、随机检查中，发现未达到合格标准（或发现未按设计施工图施工），每发生一次，承包人支付20000元违约金，违约金在进度款中扣除。</w:t>
      </w:r>
    </w:p>
    <w:p w14:paraId="6789768D">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4.2.2.2如工程在竣工验收时未达到合格标准，则按总合同价款的1%向发包人缴纳质量违约金。并由中标人负责返修至达到合格标准，返修费用由中标人承担，同时承担所有的责任及经济损失。</w:t>
      </w:r>
    </w:p>
    <w:p w14:paraId="6AC6726A">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4.3重大责任事故违约</w:t>
      </w:r>
    </w:p>
    <w:p w14:paraId="321F9528">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4.3.1承包人因违反国家安全质量法规及合同有关条款约定,出现火灾、坍塌、人员重伤、死亡等重大责任事故,则承包人应承担全部损失,并按相关法规接受行政处罚；如造成发包人及对第三人利益的损害,该等损害赔偿责任均由承包人承担。同时,每出现一次重大责任事故, 按惩罚性违约金人民币100000.00元从工程进度款中扣除。</w:t>
      </w:r>
    </w:p>
    <w:p w14:paraId="61A09908">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4.4用工违约</w:t>
      </w:r>
    </w:p>
    <w:p w14:paraId="18B17545">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4.4.1在合同履行期间，如经查实承包人拖欠或克扣农民工或劳务工工资，导致劳资纠纷或发生危及公共安全或正常社会秩序的事件的，按承包人违约处理，按人民币10000元/次从工程进度款中扣除。承包人必须无条件确保民工工资得到及时发放，无拖欠民工工资现象，并采取发包人认为切实可行的措施确保无劳资纠纷事件发生，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2倍向发包人支付违约金。违约金在下期进度款中扣除。未在下期进度款扣除或承包人在发包人处已经无款可扣的，起计逾期支付利息。发包人可以在承包人其他任何款项中扣除所垫付的工资和相应的违约金与利息。承包人对提供的资料真实性负责，如发现虚假不实情况，承包人须向发包人支付违约金20000元/次。</w:t>
      </w:r>
    </w:p>
    <w:p w14:paraId="543669FA">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4.4.2承包人应积极落实有关部门关于用工实名制管理工作的要求，未按规定落实农民工工资专户及实用工实名制要求，经有关部门警告或处罚的，按违约金人民币10000元/次从工程进度款中扣除。</w:t>
      </w:r>
    </w:p>
    <w:p w14:paraId="21817FBB">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4.5 安全文明施工违约：</w:t>
      </w:r>
    </w:p>
    <w:p w14:paraId="7A5C0AA1">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4.5.1承包人应严格遵守国家、省、市有关防火、爆破和施工安全以及文明施工、深夜施工、环卫和城市管理等规定，建立规章制度和防护措施，并组织施工。承包人应及时改正行为并赔偿相关方的损失，如未及时整改,针对每一违约行为每持续一天应缴纳违约金2000～6000元。</w:t>
      </w:r>
    </w:p>
    <w:p w14:paraId="1EC1E501">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4.5.2承包人现场施工人员存在野蛮施工行为，经现场发包人（含监理单位）管理人员确认后，承包人须按10000元/次缴纳违约金；如因野蛮施工行为，引起投诉或网络问政的，承包人须按10000元/次缴纳违约金；并承担因野蛮施工行为所造成的全部责任。</w:t>
      </w:r>
    </w:p>
    <w:p w14:paraId="7D0C22B6">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4.5.3承包人必须接受发包人及监理单位组织的安全、文明施工的检查，检查中的不合格项目、安全隐患必须在规定的时间内整改完成，否则每拖延一天处以10000元人民币违约金，直至整改合格。</w:t>
      </w:r>
    </w:p>
    <w:p w14:paraId="3872E1F6">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4.5.4因承包人自身原因，施工现场发生工伤或其他责任事故的，承包人按下列标准缴纳违约金：</w:t>
      </w:r>
    </w:p>
    <w:p w14:paraId="6959AAF7">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①一次事故或全年累计死亡3人及以上：安全第一责任人在韶关市地区建设范围内公开检查，项目部必须撤换项目经理、主管安全副经理和安全主管，一次或全年累计缴纳违约金100万元人民币；</w:t>
      </w:r>
    </w:p>
    <w:p w14:paraId="71702F21">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②一次事故或全年累计死亡2人：安全第一责任人在韶关市地区建设范围内公开检查；承包人必须撤换项目主管安全副经理或安全主管；一次或全年累计缴纳违约金60万元人民币；</w:t>
      </w:r>
    </w:p>
    <w:p w14:paraId="0CFBA697">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③全年死亡1人：安全第一责任人在韶关市地区建设范围内公开检查，并报其上级单位；承包人必须撤换项目安全主管；缴纳违约金30万元人民币。</w:t>
      </w:r>
    </w:p>
    <w:p w14:paraId="250848C2">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④重伤事故、造成10人及以上集体中毒住院、经济损失重大的火灾、设备及交通事故，缴纳违约金30万元人民币。</w:t>
      </w:r>
    </w:p>
    <w:p w14:paraId="15766700">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⑤因施工造成的道路交通中断、通讯中断、管线漏水漏气等全部责任事故，由承包人承担责任，并缴纳违约金1万元人民币。</w:t>
      </w:r>
    </w:p>
    <w:p w14:paraId="3D31CBDC">
      <w:pPr>
        <w:pageBreakBefore w:val="0"/>
        <w:kinsoku/>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w:t>
      </w:r>
      <w:r>
        <w:rPr>
          <w:rFonts w:hint="eastAsia" w:ascii="宋体" w:hAnsi="宋体" w:eastAsia="宋体" w:cs="宋体"/>
          <w:bCs/>
          <w:snapToGrid w:val="0"/>
          <w:color w:val="auto"/>
          <w:kern w:val="0"/>
          <w:sz w:val="24"/>
          <w:szCs w:val="24"/>
          <w:highlight w:val="none"/>
          <w:lang w:val="en-US" w:eastAsia="zh-CN"/>
        </w:rPr>
        <w:t xml:space="preserve"> </w:t>
      </w:r>
      <w:r>
        <w:rPr>
          <w:rFonts w:hint="eastAsia" w:ascii="宋体" w:hAnsi="宋体" w:eastAsia="宋体" w:cs="宋体"/>
          <w:b/>
          <w:bCs w:val="0"/>
          <w:snapToGrid w:val="0"/>
          <w:color w:val="auto"/>
          <w:kern w:val="0"/>
          <w:sz w:val="24"/>
          <w:szCs w:val="24"/>
          <w:highlight w:val="none"/>
          <w:lang w:val="en-US" w:eastAsia="zh-CN"/>
        </w:rPr>
        <w:t xml:space="preserve">工人工资支付专用账户 </w:t>
      </w:r>
    </w:p>
    <w:p w14:paraId="5E1F5F43">
      <w:pPr>
        <w:pageBreakBefore w:val="0"/>
        <w:kinsoku/>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4.6.1</w:t>
      </w:r>
      <w:r>
        <w:rPr>
          <w:rFonts w:hint="eastAsia" w:ascii="宋体" w:hAnsi="宋体" w:eastAsia="宋体" w:cs="宋体"/>
          <w:bCs/>
          <w:snapToGrid w:val="0"/>
          <w:color w:val="auto"/>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037D160C">
      <w:pPr>
        <w:pageBreakBefore w:val="0"/>
        <w:kinsoku/>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4.6.2</w:t>
      </w:r>
      <w:r>
        <w:rPr>
          <w:rFonts w:hint="eastAsia" w:ascii="宋体" w:hAnsi="宋体" w:eastAsia="宋体" w:cs="宋体"/>
          <w:bCs/>
          <w:snapToGrid w:val="0"/>
          <w:color w:val="auto"/>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595D348C">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475ED0DF">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3C65D53A">
      <w:pPr>
        <w:pageBreakBefore w:val="0"/>
        <w:kinsoku/>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4.6.3</w:t>
      </w:r>
      <w:r>
        <w:rPr>
          <w:rFonts w:hint="eastAsia" w:ascii="宋体" w:hAnsi="宋体" w:eastAsia="宋体" w:cs="宋体"/>
          <w:bCs/>
          <w:snapToGrid w:val="0"/>
          <w:color w:val="auto"/>
          <w:kern w:val="0"/>
          <w:sz w:val="24"/>
          <w:szCs w:val="24"/>
          <w:highlight w:val="none"/>
          <w:lang w:val="en-US" w:eastAsia="zh-CN"/>
        </w:rPr>
        <w:t xml:space="preserve"> 承包人应在工资专户开立后 2 个工作日内，将开户银行及其账号、开户协议等资料提交给发包人。 </w:t>
      </w:r>
    </w:p>
    <w:p w14:paraId="1EF1719A">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（1）用人单位应当在建设项目动工前，在建设项目所在地商业银行设立工人工资支付专用账户。 </w:t>
      </w:r>
    </w:p>
    <w:p w14:paraId="20F47ED6">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（2）用人单位应当在用工之日起 15 日内为每一位工人办理个人银行账户。</w:t>
      </w:r>
    </w:p>
    <w:p w14:paraId="4716C15C">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 并保存两年以上备查。 </w:t>
      </w:r>
    </w:p>
    <w:p w14:paraId="5BABD252">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（4）用人单位应当按照“及时支付，按实结算”的原则，在规定日期前通过银行工人 工资支付专用账户将工人工资直接支付到工人的个人银行账户，并按月将工人工资支付 明细表报施工总承包单位和建设单位备案。</w:t>
      </w:r>
    </w:p>
    <w:p w14:paraId="77611F24">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34E7E531">
      <w:pPr>
        <w:pageBreakBefore w:val="0"/>
        <w:kinsoku/>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4.6.4</w:t>
      </w:r>
      <w:r>
        <w:rPr>
          <w:rFonts w:hint="eastAsia" w:ascii="宋体" w:hAnsi="宋体" w:eastAsia="宋体" w:cs="宋体"/>
          <w:bCs/>
          <w:snapToGrid w:val="0"/>
          <w:color w:val="auto"/>
          <w:kern w:val="0"/>
          <w:sz w:val="24"/>
          <w:szCs w:val="24"/>
          <w:highlight w:val="none"/>
          <w:lang w:val="en-US" w:eastAsia="zh-CN"/>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387ABCDA">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p>
    <w:p w14:paraId="49584115">
      <w:pPr>
        <w:pageBreakBefore w:val="0"/>
        <w:kinsoku/>
        <w:wordWrap w:val="0"/>
        <w:overflowPunct/>
        <w:topLinePunct w:val="0"/>
        <w:bidi w:val="0"/>
        <w:adjustRightInd w:val="0"/>
        <w:snapToGrid w:val="0"/>
        <w:spacing w:line="440" w:lineRule="exact"/>
        <w:ind w:firstLine="482" w:firstLineChars="200"/>
        <w:rPr>
          <w:rFonts w:hint="eastAsia" w:ascii="宋体" w:hAnsi="宋体" w:eastAsia="宋体" w:cs="宋体"/>
          <w:b/>
          <w:bCs w:val="0"/>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4.7 其他违约：</w:t>
      </w:r>
    </w:p>
    <w:p w14:paraId="27103C6E">
      <w:pPr>
        <w:pageBreakBefore w:val="0"/>
        <w:kinsoku/>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4.7.1</w:t>
      </w:r>
      <w:r>
        <w:rPr>
          <w:rFonts w:hint="eastAsia" w:ascii="宋体" w:hAnsi="宋体" w:eastAsia="宋体" w:cs="宋体"/>
          <w:b w:val="0"/>
          <w:bCs/>
          <w:snapToGrid w:val="0"/>
          <w:color w:val="auto"/>
          <w:kern w:val="0"/>
          <w:sz w:val="24"/>
          <w:szCs w:val="24"/>
          <w:highlight w:val="none"/>
          <w:lang w:val="en-US" w:eastAsia="zh-CN"/>
        </w:rPr>
        <w:t>承包人安排在施工场地的主要管理人员（主要指项目经理、项目技术负责人和专职安全生产管理人员）应与承包人投标文件承诺的名单一致，并保持相对稳定。未经总监理工程师批准，上述人员不应无故不到位或被替换。如果擅自更换项目负责人或项目技术负责人，承包人每更换一人次，需支付20000元违约金给发包人，如果擅自更换主要施工管理人员，每更换一人次，承包人需支付10000元违约金给发包人。若确实无法到位或需替换，需经总监理工程师审核并报发包人批准后，承包人可安排同等资历的人员替换；考勤采用人脸识别打卡每月累计不到位次数超过10天，按5000元/人/天缴纳违约金给发包人；在日常检查及相关会议中，发包人发现主要管理人员未经请假擅自离岗的，项目经理按5000元/人/天缴纳违约金给发包人；其他人员按3000元/人/天缴纳违约金给发包人。违约金从工程进度款中扣除。</w:t>
      </w:r>
    </w:p>
    <w:p w14:paraId="4F093CA5">
      <w:pPr>
        <w:pageBreakBefore w:val="0"/>
        <w:kinsoku/>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4.7.2</w:t>
      </w:r>
      <w:r>
        <w:rPr>
          <w:rFonts w:hint="eastAsia" w:ascii="宋体" w:hAnsi="宋体" w:eastAsia="宋体" w:cs="宋体"/>
          <w:b w:val="0"/>
          <w:bCs/>
          <w:snapToGrid w:val="0"/>
          <w:color w:val="auto"/>
          <w:kern w:val="0"/>
          <w:sz w:val="24"/>
          <w:szCs w:val="24"/>
          <w:highlight w:val="none"/>
          <w:lang w:val="en-US" w:eastAsia="zh-CN"/>
        </w:rPr>
        <w:t xml:space="preserve"> 承包人施工资料必须与形象进度同步，如发包人在日常检查中发现不同步的现象的，视为违约并按违约金人民币1000元/次从工程进度款中扣除。</w:t>
      </w:r>
    </w:p>
    <w:p w14:paraId="7A61CCAE">
      <w:pPr>
        <w:pageBreakBefore w:val="0"/>
        <w:kinsoku/>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4.7.3</w:t>
      </w:r>
      <w:r>
        <w:rPr>
          <w:rFonts w:hint="eastAsia" w:ascii="宋体" w:hAnsi="宋体" w:eastAsia="宋体" w:cs="宋体"/>
          <w:b w:val="0"/>
          <w:bCs/>
          <w:snapToGrid w:val="0"/>
          <w:color w:val="auto"/>
          <w:kern w:val="0"/>
          <w:sz w:val="24"/>
          <w:szCs w:val="24"/>
          <w:highlight w:val="none"/>
          <w:lang w:val="en-US" w:eastAsia="zh-CN"/>
        </w:rPr>
        <w:t>发包人要求承包人替换项目部中不称职人员或能力有异议，而承包人不予替换，视为承包人违约，承包人须按承包人项目部主要管理人员（主要指项目经理、项目技术负责人和专职安全生产管理人员）20000元/人次缴纳违约金给发包人。</w:t>
      </w:r>
    </w:p>
    <w:p w14:paraId="68DA2E72">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发包人根据项目实施进度情况要求承包人增派项目管理人员，而承包人不予增派的，视为承包人违约，承包人须按1万元/人次缴纳违约金给发包人。违约金从工程进度款中扣除。</w:t>
      </w:r>
    </w:p>
    <w:p w14:paraId="31E76195">
      <w:pPr>
        <w:pageBreakBefore w:val="0"/>
        <w:kinsoku/>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4.7.4</w:t>
      </w:r>
      <w:r>
        <w:rPr>
          <w:rFonts w:hint="eastAsia" w:ascii="宋体" w:hAnsi="宋体" w:eastAsia="宋体" w:cs="宋体"/>
          <w:b w:val="0"/>
          <w:bCs/>
          <w:snapToGrid w:val="0"/>
          <w:color w:val="auto"/>
          <w:kern w:val="0"/>
          <w:sz w:val="24"/>
          <w:szCs w:val="24"/>
          <w:highlight w:val="none"/>
          <w:lang w:val="en-US" w:eastAsia="zh-CN"/>
        </w:rPr>
        <w:t>发包人对上述约定中的规定并不免除承包人接受国家、地方政府相关部门依法对承包人的处罚。</w:t>
      </w:r>
    </w:p>
    <w:p w14:paraId="3C6B1679">
      <w:pPr>
        <w:pageBreakBefore w:val="0"/>
        <w:kinsoku/>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4.7.5</w:t>
      </w:r>
      <w:r>
        <w:rPr>
          <w:rFonts w:hint="eastAsia" w:ascii="宋体" w:hAnsi="宋体" w:eastAsia="宋体" w:cs="宋体"/>
          <w:b w:val="0"/>
          <w:bCs/>
          <w:snapToGrid w:val="0"/>
          <w:color w:val="auto"/>
          <w:kern w:val="0"/>
          <w:sz w:val="24"/>
          <w:szCs w:val="24"/>
          <w:highlight w:val="none"/>
          <w:lang w:val="en-US" w:eastAsia="zh-CN"/>
        </w:rPr>
        <w:t>承包人没有正当合理的理由中途退场，可扣除承包人已递交的所有履约保证金作为违约金。</w:t>
      </w:r>
    </w:p>
    <w:p w14:paraId="0C95829C">
      <w:pPr>
        <w:pageBreakBefore w:val="0"/>
        <w:kinsoku/>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4.7.6</w:t>
      </w:r>
      <w:r>
        <w:rPr>
          <w:rFonts w:hint="eastAsia" w:ascii="宋体" w:hAnsi="宋体" w:eastAsia="宋体" w:cs="宋体"/>
          <w:b w:val="0"/>
          <w:bCs/>
          <w:snapToGrid w:val="0"/>
          <w:color w:val="auto"/>
          <w:kern w:val="0"/>
          <w:sz w:val="24"/>
          <w:szCs w:val="24"/>
          <w:highlight w:val="none"/>
          <w:lang w:val="en-US" w:eastAsia="zh-CN"/>
        </w:rPr>
        <w:t>因承包人自身原因，有下列情况之一的，承包人在一年内不得参与发包人的任何工程任务，并勒令从现施工的工地退场，同时按违约金人民币100000元从工程进度款中扣除：</w:t>
      </w:r>
    </w:p>
    <w:p w14:paraId="24A43486">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A、路面沉降、开裂超过规范要求并造成不良社会影响的；</w:t>
      </w:r>
    </w:p>
    <w:p w14:paraId="41788E99">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B、发生重大责任安全事故的；</w:t>
      </w:r>
    </w:p>
    <w:p w14:paraId="0884E0B6">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C、不能在合同规定的期限内竣工的；</w:t>
      </w:r>
    </w:p>
    <w:p w14:paraId="6363DE70">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D、承包人所承担的施工任务在施工期间，由于工程质量或工程进度原因，监理单位发出10个以上﹙含10个﹚停工令的；</w:t>
      </w:r>
    </w:p>
    <w:p w14:paraId="2C95D489">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E、质量监督部门在抽检时发出5个以上（含5个）由于工程质量原因通报的；</w:t>
      </w:r>
    </w:p>
    <w:p w14:paraId="2D1D3020">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F、业主组织的质量大检查发现由于工程质量原因而通报二次以上（含二次）的；</w:t>
      </w:r>
    </w:p>
    <w:p w14:paraId="2F27AC6F">
      <w:pPr>
        <w:pageBreakBefore w:val="0"/>
        <w:kinsoku/>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4.7.7</w:t>
      </w:r>
      <w:r>
        <w:rPr>
          <w:rFonts w:hint="eastAsia" w:ascii="宋体" w:hAnsi="宋体" w:eastAsia="宋体" w:cs="宋体"/>
          <w:b w:val="0"/>
          <w:bCs/>
          <w:snapToGrid w:val="0"/>
          <w:color w:val="auto"/>
          <w:kern w:val="0"/>
          <w:sz w:val="24"/>
          <w:szCs w:val="24"/>
          <w:highlight w:val="none"/>
          <w:lang w:val="en-US" w:eastAsia="zh-CN"/>
        </w:rPr>
        <w:t>承包人必须严格塔吊、起重机等机械设备及货梯、提升机等机电设备的安装、拆卸和使用运行管理。必须落实持证上岗、专人操作、专人检查，严格落实每天操作前和操作后的检查，检查发现未落实相关措施和规定的，按违约金人民币2000元/次从工程进度款中扣除。</w:t>
      </w:r>
    </w:p>
    <w:p w14:paraId="5F2721AA">
      <w:pPr>
        <w:pageBreakBefore w:val="0"/>
        <w:kinsoku/>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4.7.8</w:t>
      </w:r>
      <w:r>
        <w:rPr>
          <w:rFonts w:hint="eastAsia" w:ascii="宋体" w:hAnsi="宋体" w:eastAsia="宋体" w:cs="宋体"/>
          <w:b w:val="0"/>
          <w:bCs/>
          <w:snapToGrid w:val="0"/>
          <w:color w:val="auto"/>
          <w:kern w:val="0"/>
          <w:sz w:val="24"/>
          <w:szCs w:val="24"/>
          <w:highlight w:val="none"/>
          <w:lang w:val="en-US" w:eastAsia="zh-CN"/>
        </w:rPr>
        <w:t>承包人应加强生活用电管理，检查发现私拉乱接电线的，承包人须按人民币500元/次缴纳违约金给发包人。</w:t>
      </w:r>
    </w:p>
    <w:p w14:paraId="1CC8F19B">
      <w:pPr>
        <w:pageBreakBefore w:val="0"/>
        <w:kinsoku/>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4.7.9</w:t>
      </w:r>
      <w:r>
        <w:rPr>
          <w:rFonts w:hint="eastAsia" w:ascii="宋体" w:hAnsi="宋体" w:eastAsia="宋体" w:cs="宋体"/>
          <w:b w:val="0"/>
          <w:bCs/>
          <w:snapToGrid w:val="0"/>
          <w:color w:val="auto"/>
          <w:kern w:val="0"/>
          <w:sz w:val="24"/>
          <w:szCs w:val="24"/>
          <w:highlight w:val="none"/>
          <w:lang w:val="en-US" w:eastAsia="zh-CN"/>
        </w:rPr>
        <w:t>承包人应加强建设范围内因雨季造成临时积水部位的管理，防止发生淹亡、溺亡事故，若因措施不严造成的后果全部由承包人承担。</w:t>
      </w:r>
    </w:p>
    <w:p w14:paraId="3517D84D">
      <w:pPr>
        <w:pageBreakBefore w:val="0"/>
        <w:kinsoku/>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4.7.10</w:t>
      </w:r>
      <w:r>
        <w:rPr>
          <w:rFonts w:hint="eastAsia" w:ascii="宋体" w:hAnsi="宋体" w:eastAsia="宋体" w:cs="宋体"/>
          <w:b w:val="0"/>
          <w:bCs/>
          <w:snapToGrid w:val="0"/>
          <w:color w:val="auto"/>
          <w:kern w:val="0"/>
          <w:sz w:val="24"/>
          <w:szCs w:val="24"/>
          <w:highlight w:val="none"/>
          <w:lang w:val="en-US" w:eastAsia="zh-CN"/>
        </w:rPr>
        <w:t>国家发生疫情或其他重大风险期间，承包人不执行有关部门关于特殊时期管控规定、不落实相关措施的，承包人须按人民币1000元/人/次缴纳违约金给发包人。</w:t>
      </w:r>
    </w:p>
    <w:p w14:paraId="686C0320">
      <w:pPr>
        <w:pageBreakBefore w:val="0"/>
        <w:kinsoku/>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4.7.11</w:t>
      </w:r>
      <w:r>
        <w:rPr>
          <w:rFonts w:hint="eastAsia" w:ascii="宋体" w:hAnsi="宋体" w:eastAsia="宋体" w:cs="宋体"/>
          <w:b w:val="0"/>
          <w:bCs/>
          <w:snapToGrid w:val="0"/>
          <w:color w:val="auto"/>
          <w:kern w:val="0"/>
          <w:sz w:val="24"/>
          <w:szCs w:val="24"/>
          <w:highlight w:val="none"/>
          <w:lang w:val="en-US" w:eastAsia="zh-CN"/>
        </w:rPr>
        <w:t>承包人必须加强施工组织管理。严格落实高支模、深基坑防护措施，做到严密组织、严格检查，严防重大风险。检查发现未落实相关措施和规定的，承包人须按人民币5000元/处缴纳违约金给发包人。</w:t>
      </w:r>
    </w:p>
    <w:p w14:paraId="2968A6DC">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承包人不落实人车分流措施，承包人须按人民币30万元缴纳违约金给发包人。</w:t>
      </w:r>
    </w:p>
    <w:p w14:paraId="1F676876">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承包人应严格工地管理。不戴安全帽或穿拖鞋上岗的，承包人须按人民币1000元/人/次缴纳违约金给发包人；应系安全带作业而没有系安全带的、饮酒或醉酒进行现场作业的，承包人须按人民币2000元/人/次缴纳违约金给发包人。</w:t>
      </w:r>
    </w:p>
    <w:p w14:paraId="774B7B53">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承包人必须在发包人移交符合施工条件的施工场地之日起30天内完成现场临时设施（施工用水用电、围蔽、板房、洗车槽、相关公示牌等）施工，因承包人原因导致逾期的，逾期第壹天起按2000元/天缴纳违约金给发包人。</w:t>
      </w:r>
    </w:p>
    <w:p w14:paraId="4887231E">
      <w:pPr>
        <w:pageBreakBefore w:val="0"/>
        <w:kinsoku/>
        <w:wordWrap w:val="0"/>
        <w:overflowPunct/>
        <w:topLinePunct w:val="0"/>
        <w:bidi w:val="0"/>
        <w:adjustRightInd w:val="0"/>
        <w:snapToGrid w:val="0"/>
        <w:spacing w:line="440" w:lineRule="exact"/>
        <w:ind w:firstLine="480" w:firstLineChars="200"/>
        <w:rPr>
          <w:rFonts w:hint="eastAsia" w:ascii="宋体" w:hAnsi="宋体" w:eastAsia="宋体" w:cs="宋体"/>
          <w:b/>
          <w:bCs w:val="0"/>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承包人因上述违约行为而须缴纳的违约金在工程进度款中或结算时一并扣除。</w:t>
      </w:r>
    </w:p>
    <w:p w14:paraId="76950ADB">
      <w:pPr>
        <w:pageBreakBefore w:val="0"/>
        <w:kinsoku/>
        <w:wordWrap w:val="0"/>
        <w:overflowPunct/>
        <w:topLinePunct w:val="0"/>
        <w:bidi w:val="0"/>
        <w:adjustRightInd w:val="0"/>
        <w:snapToGrid w:val="0"/>
        <w:spacing w:line="440" w:lineRule="exact"/>
        <w:ind w:firstLine="482" w:firstLineChars="200"/>
        <w:rPr>
          <w:rFonts w:hint="eastAsia" w:ascii="宋体" w:hAnsi="宋体" w:eastAsia="宋体" w:cs="宋体"/>
          <w:b/>
          <w:bCs w:val="0"/>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4.8 工程保险的办理严格按照《关于要求施工单位购买安全生产责任险的通知》（韶水运行监督〔2020〕5 号）及《转发关于做好我省铁路、公路、水运、水利、能源、机场工程建设项目参加工伤保险工作的通知》（韶人社函〔2019〕22 号）执行，在办理质量与安全监督书前办理完成。</w:t>
      </w:r>
    </w:p>
    <w:p w14:paraId="2BA1C7B0">
      <w:pPr>
        <w:pageBreakBefore w:val="0"/>
        <w:kinsoku/>
        <w:wordWrap w:val="0"/>
        <w:overflowPunct/>
        <w:topLinePunct w:val="0"/>
        <w:bidi w:val="0"/>
        <w:adjustRightInd w:val="0"/>
        <w:snapToGrid w:val="0"/>
        <w:spacing w:line="440" w:lineRule="exact"/>
        <w:ind w:firstLine="482" w:firstLineChars="200"/>
        <w:rPr>
          <w:rFonts w:hint="eastAsia" w:ascii="宋体" w:hAnsi="宋体" w:eastAsia="宋体" w:cs="宋体"/>
          <w:color w:val="auto"/>
          <w:spacing w:val="2"/>
          <w:kern w:val="0"/>
          <w:sz w:val="21"/>
          <w:szCs w:val="21"/>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4.9 建筑垃圾处理：</w:t>
      </w:r>
      <w:r>
        <w:rPr>
          <w:rFonts w:hint="eastAsia" w:ascii="宋体" w:hAnsi="宋体" w:eastAsia="宋体" w:cs="宋体"/>
          <w:b/>
          <w:bCs/>
          <w:color w:val="auto"/>
          <w:spacing w:val="2"/>
          <w:kern w:val="0"/>
          <w:sz w:val="21"/>
          <w:szCs w:val="21"/>
          <w:highlight w:val="none"/>
          <w:lang w:val="en-US" w:eastAsia="zh-CN"/>
        </w:rPr>
        <w:t>根据广东省住房和城乡建设厅广东省交通运输厅广东省水利厅关于印发《广东省建筑垃圾资源化利用产品应用指南》的通知（粤建城〔2025〕270 号）执行</w:t>
      </w:r>
      <w:r>
        <w:rPr>
          <w:rFonts w:hint="eastAsia" w:ascii="宋体" w:hAnsi="宋体" w:eastAsia="宋体" w:cs="宋体"/>
          <w:color w:val="auto"/>
          <w:spacing w:val="2"/>
          <w:kern w:val="0"/>
          <w:sz w:val="21"/>
          <w:szCs w:val="21"/>
          <w:highlight w:val="none"/>
          <w:lang w:val="en-US" w:eastAsia="zh-CN"/>
        </w:rPr>
        <w:t>。</w:t>
      </w:r>
    </w:p>
    <w:p w14:paraId="7B415C9D">
      <w:pPr>
        <w:pageBreakBefore w:val="0"/>
        <w:kinsoku/>
        <w:wordWrap w:val="0"/>
        <w:overflowPunct/>
        <w:topLinePunct w:val="0"/>
        <w:bidi w:val="0"/>
        <w:adjustRightInd w:val="0"/>
        <w:snapToGrid w:val="0"/>
        <w:spacing w:line="440" w:lineRule="exact"/>
        <w:ind w:firstLine="482" w:firstLineChars="200"/>
        <w:rPr>
          <w:rFonts w:hint="eastAsia" w:ascii="宋体" w:hAnsi="宋体" w:eastAsia="宋体" w:cs="宋体"/>
          <w:b/>
          <w:bCs w:val="0"/>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5.其他合同条款由招标人与中标人自行协商约定。</w:t>
      </w:r>
    </w:p>
    <w:p w14:paraId="7B42BE5C">
      <w:pPr>
        <w:pStyle w:val="2"/>
        <w:pageBreakBefore w:val="0"/>
        <w:kinsoku/>
        <w:wordWrap w:val="0"/>
        <w:overflowPunct/>
        <w:topLinePunct w:val="0"/>
        <w:bidi w:val="0"/>
        <w:rPr>
          <w:rFonts w:hint="eastAsia" w:ascii="宋体" w:hAnsi="宋体" w:eastAsia="宋体" w:cs="宋体"/>
          <w:color w:val="auto"/>
          <w:sz w:val="24"/>
          <w:szCs w:val="24"/>
          <w:highlight w:val="none"/>
          <w:lang w:eastAsia="zh-CN"/>
        </w:rPr>
      </w:pPr>
    </w:p>
    <w:p w14:paraId="14082562">
      <w:pPr>
        <w:pStyle w:val="2"/>
        <w:pageBreakBefore w:val="0"/>
        <w:kinsoku/>
        <w:wordWrap w:val="0"/>
        <w:overflowPunct/>
        <w:topLinePunct w:val="0"/>
        <w:bidi w:val="0"/>
        <w:rPr>
          <w:rFonts w:hint="eastAsia" w:ascii="宋体" w:hAnsi="宋体" w:eastAsia="宋体" w:cs="宋体"/>
          <w:color w:val="auto"/>
          <w:sz w:val="24"/>
          <w:szCs w:val="24"/>
          <w:highlight w:val="none"/>
          <w:lang w:eastAsia="zh-CN"/>
        </w:rPr>
      </w:pPr>
    </w:p>
    <w:p w14:paraId="03DFF6C5">
      <w:pPr>
        <w:pStyle w:val="2"/>
        <w:pageBreakBefore w:val="0"/>
        <w:kinsoku/>
        <w:wordWrap w:val="0"/>
        <w:overflowPunct/>
        <w:topLinePunct w:val="0"/>
        <w:bidi w:val="0"/>
        <w:rPr>
          <w:rFonts w:hint="eastAsia" w:ascii="宋体" w:hAnsi="宋体" w:eastAsia="宋体" w:cs="宋体"/>
          <w:color w:val="auto"/>
          <w:sz w:val="24"/>
          <w:szCs w:val="24"/>
          <w:highlight w:val="none"/>
          <w:lang w:eastAsia="zh-CN"/>
        </w:rPr>
      </w:pPr>
    </w:p>
    <w:p w14:paraId="31C0AB24">
      <w:pPr>
        <w:pStyle w:val="2"/>
        <w:pageBreakBefore w:val="0"/>
        <w:kinsoku/>
        <w:wordWrap w:val="0"/>
        <w:overflowPunct/>
        <w:topLinePunct w:val="0"/>
        <w:bidi w:val="0"/>
        <w:rPr>
          <w:rFonts w:hint="eastAsia" w:ascii="宋体" w:hAnsi="宋体" w:eastAsia="宋体" w:cs="宋体"/>
          <w:color w:val="auto"/>
          <w:sz w:val="24"/>
          <w:szCs w:val="24"/>
          <w:highlight w:val="none"/>
          <w:lang w:eastAsia="zh-CN"/>
        </w:rPr>
      </w:pPr>
    </w:p>
    <w:p w14:paraId="6B4788E3">
      <w:pPr>
        <w:pStyle w:val="2"/>
        <w:pageBreakBefore w:val="0"/>
        <w:kinsoku/>
        <w:wordWrap w:val="0"/>
        <w:overflowPunct/>
        <w:topLinePunct w:val="0"/>
        <w:bidi w:val="0"/>
        <w:rPr>
          <w:rFonts w:hint="eastAsia" w:ascii="宋体" w:hAnsi="宋体" w:eastAsia="宋体" w:cs="宋体"/>
          <w:color w:val="auto"/>
          <w:sz w:val="24"/>
          <w:szCs w:val="24"/>
          <w:highlight w:val="none"/>
          <w:lang w:eastAsia="zh-CN"/>
        </w:rPr>
      </w:pPr>
    </w:p>
    <w:p w14:paraId="3D014C73">
      <w:pPr>
        <w:pStyle w:val="2"/>
        <w:pageBreakBefore w:val="0"/>
        <w:kinsoku/>
        <w:wordWrap w:val="0"/>
        <w:overflowPunct/>
        <w:topLinePunct w:val="0"/>
        <w:bidi w:val="0"/>
        <w:rPr>
          <w:rFonts w:hint="eastAsia" w:ascii="宋体" w:hAnsi="宋体" w:eastAsia="宋体" w:cs="宋体"/>
          <w:color w:val="auto"/>
          <w:sz w:val="24"/>
          <w:szCs w:val="24"/>
          <w:highlight w:val="none"/>
          <w:lang w:eastAsia="zh-CN"/>
        </w:rPr>
      </w:pPr>
    </w:p>
    <w:p w14:paraId="134E41C0">
      <w:pPr>
        <w:pStyle w:val="2"/>
        <w:pageBreakBefore w:val="0"/>
        <w:kinsoku/>
        <w:wordWrap w:val="0"/>
        <w:overflowPunct/>
        <w:topLinePunct w:val="0"/>
        <w:bidi w:val="0"/>
        <w:rPr>
          <w:rFonts w:hint="eastAsia" w:ascii="宋体" w:hAnsi="宋体" w:eastAsia="宋体" w:cs="宋体"/>
          <w:color w:val="auto"/>
          <w:sz w:val="24"/>
          <w:szCs w:val="24"/>
          <w:highlight w:val="none"/>
          <w:lang w:eastAsia="zh-CN"/>
        </w:rPr>
      </w:pPr>
    </w:p>
    <w:p w14:paraId="07C56ECD">
      <w:pPr>
        <w:pStyle w:val="2"/>
        <w:pageBreakBefore w:val="0"/>
        <w:kinsoku/>
        <w:wordWrap w:val="0"/>
        <w:overflowPunct/>
        <w:topLinePunct w:val="0"/>
        <w:bidi w:val="0"/>
        <w:rPr>
          <w:rFonts w:hint="eastAsia" w:ascii="宋体" w:hAnsi="宋体" w:eastAsia="宋体" w:cs="宋体"/>
          <w:color w:val="auto"/>
          <w:sz w:val="24"/>
          <w:szCs w:val="24"/>
          <w:highlight w:val="none"/>
          <w:lang w:eastAsia="zh-CN"/>
        </w:rPr>
      </w:pPr>
    </w:p>
    <w:p w14:paraId="72C8E0EF">
      <w:pPr>
        <w:pStyle w:val="2"/>
        <w:pageBreakBefore w:val="0"/>
        <w:kinsoku/>
        <w:wordWrap w:val="0"/>
        <w:overflowPunct/>
        <w:topLinePunct w:val="0"/>
        <w:bidi w:val="0"/>
        <w:rPr>
          <w:rFonts w:hint="eastAsia" w:ascii="宋体" w:hAnsi="宋体" w:eastAsia="宋体" w:cs="宋体"/>
          <w:color w:val="auto"/>
          <w:sz w:val="24"/>
          <w:szCs w:val="24"/>
          <w:highlight w:val="none"/>
          <w:lang w:eastAsia="zh-CN"/>
        </w:rPr>
      </w:pPr>
    </w:p>
    <w:p w14:paraId="66AF3AAF">
      <w:pPr>
        <w:pageBreakBefore w:val="0"/>
        <w:kinsoku/>
        <w:wordWrap w:val="0"/>
        <w:overflowPunct/>
        <w:topLinePunct w:val="0"/>
        <w:bidi w:val="0"/>
        <w:spacing w:before="78" w:line="219" w:lineRule="auto"/>
        <w:outlineLvl w:val="9"/>
        <w:rPr>
          <w:rFonts w:hint="eastAsia" w:ascii="宋体" w:hAnsi="宋体" w:eastAsia="宋体" w:cs="宋体"/>
          <w:b/>
          <w:bCs/>
          <w:color w:val="auto"/>
          <w:spacing w:val="-3"/>
          <w:sz w:val="24"/>
          <w:szCs w:val="24"/>
          <w:highlight w:val="none"/>
        </w:rPr>
      </w:pPr>
      <w:bookmarkStart w:id="183" w:name="bookmark96"/>
      <w:bookmarkEnd w:id="183"/>
    </w:p>
    <w:p w14:paraId="48462BAF">
      <w:pPr>
        <w:pageBreakBefore w:val="0"/>
        <w:kinsoku/>
        <w:wordWrap w:val="0"/>
        <w:overflowPunct/>
        <w:topLinePunct w:val="0"/>
        <w:bidi w:val="0"/>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6956492B">
      <w:pPr>
        <w:pageBreakBefore w:val="0"/>
        <w:kinsoku/>
        <w:wordWrap w:val="0"/>
        <w:overflowPunct/>
        <w:topLinePunct w:val="0"/>
        <w:bidi w:val="0"/>
        <w:spacing w:before="78" w:line="219" w:lineRule="auto"/>
        <w:ind w:left="3273"/>
        <w:outlineLvl w:val="0"/>
        <w:rPr>
          <w:rFonts w:hint="eastAsia" w:ascii="宋体" w:hAnsi="宋体" w:eastAsia="宋体" w:cs="宋体"/>
          <w:color w:val="auto"/>
          <w:highlight w:val="none"/>
        </w:rPr>
      </w:pPr>
      <w:bookmarkStart w:id="184" w:name="_Toc4003"/>
      <w:r>
        <w:rPr>
          <w:rFonts w:hint="eastAsia" w:ascii="宋体" w:hAnsi="宋体" w:eastAsia="宋体" w:cs="宋体"/>
          <w:b/>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技术要求</w:t>
      </w:r>
      <w:bookmarkEnd w:id="184"/>
    </w:p>
    <w:p w14:paraId="65DD417D">
      <w:pPr>
        <w:pStyle w:val="3"/>
        <w:pageBreakBefore w:val="0"/>
        <w:kinsoku/>
        <w:wordWrap w:val="0"/>
        <w:overflowPunct/>
        <w:topLinePunct w:val="0"/>
        <w:bidi w:val="0"/>
        <w:spacing w:line="257" w:lineRule="auto"/>
        <w:rPr>
          <w:rFonts w:hint="eastAsia" w:ascii="宋体" w:hAnsi="宋体" w:eastAsia="宋体" w:cs="宋体"/>
          <w:color w:val="auto"/>
          <w:highlight w:val="none"/>
        </w:rPr>
      </w:pPr>
    </w:p>
    <w:p w14:paraId="676D9B16">
      <w:pPr>
        <w:pageBreakBefore w:val="0"/>
        <w:kinsoku/>
        <w:wordWrap w:val="0"/>
        <w:overflowPunct/>
        <w:topLinePunct w:val="0"/>
        <w:bidi w:val="0"/>
        <w:spacing w:before="78" w:line="221" w:lineRule="auto"/>
        <w:ind w:left="125"/>
        <w:outlineLvl w:val="2"/>
        <w:rPr>
          <w:rFonts w:hint="eastAsia" w:ascii="宋体" w:hAnsi="宋体" w:eastAsia="宋体" w:cs="宋体"/>
          <w:color w:val="auto"/>
          <w:sz w:val="24"/>
          <w:szCs w:val="24"/>
          <w:highlight w:val="none"/>
        </w:rPr>
      </w:pPr>
      <w:bookmarkStart w:id="185" w:name="_Toc15469"/>
      <w:bookmarkStart w:id="186" w:name="_Toc10155"/>
      <w:r>
        <w:rPr>
          <w:rFonts w:hint="eastAsia" w:ascii="宋体" w:hAnsi="宋体" w:eastAsia="宋体" w:cs="宋体"/>
          <w:b/>
          <w:bCs/>
          <w:color w:val="auto"/>
          <w:spacing w:val="-6"/>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6"/>
          <w:sz w:val="24"/>
          <w:szCs w:val="24"/>
          <w:highlight w:val="none"/>
        </w:rPr>
        <w:t>．</w:t>
      </w:r>
      <w:r>
        <w:rPr>
          <w:rFonts w:hint="eastAsia" w:ascii="宋体" w:hAnsi="宋体" w:eastAsia="宋体" w:cs="宋体"/>
          <w:b/>
          <w:bCs/>
          <w:color w:val="auto"/>
          <w:spacing w:val="-1"/>
          <w:sz w:val="24"/>
          <w:szCs w:val="24"/>
          <w:highlight w:val="none"/>
        </w:rPr>
        <w:t>房屋建筑工程建设项目</w:t>
      </w:r>
      <w:bookmarkEnd w:id="185"/>
      <w:bookmarkEnd w:id="186"/>
    </w:p>
    <w:p w14:paraId="207C7161">
      <w:pPr>
        <w:pageBreakBefore w:val="0"/>
        <w:kinsoku/>
        <w:wordWrap w:val="0"/>
        <w:overflowPunct/>
        <w:topLinePunct w:val="0"/>
        <w:bidi w:val="0"/>
        <w:spacing w:before="152"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房屋建筑工程建设项目必须执行的现行技术规范，包括且不限于：</w:t>
      </w:r>
    </w:p>
    <w:p w14:paraId="16F9CF9A">
      <w:pPr>
        <w:pageBreakBefore w:val="0"/>
        <w:kinsoku/>
        <w:wordWrap w:val="0"/>
        <w:overflowPunct/>
        <w:topLinePunct w:val="0"/>
        <w:bidi w:val="0"/>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（1）《建筑工程施工质量验收统一标准》；</w:t>
      </w:r>
    </w:p>
    <w:p w14:paraId="3C988F20">
      <w:pPr>
        <w:pageBreakBefore w:val="0"/>
        <w:kinsoku/>
        <w:wordWrap w:val="0"/>
        <w:overflowPunct/>
        <w:topLinePunct w:val="0"/>
        <w:bidi w:val="0"/>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（2）《建筑地基基础工程施工质量验收规范》；</w:t>
      </w:r>
    </w:p>
    <w:p w14:paraId="57B6CCBB">
      <w:pPr>
        <w:pageBreakBefore w:val="0"/>
        <w:kinsoku/>
        <w:wordWrap w:val="0"/>
        <w:overflowPunct/>
        <w:topLinePunct w:val="0"/>
        <w:bidi w:val="0"/>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（3）《砌体工程施工质量验收规范》；</w:t>
      </w:r>
    </w:p>
    <w:p w14:paraId="79D03B83">
      <w:pPr>
        <w:pageBreakBefore w:val="0"/>
        <w:kinsoku/>
        <w:wordWrap w:val="0"/>
        <w:overflowPunct/>
        <w:topLinePunct w:val="0"/>
        <w:bidi w:val="0"/>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（4）《混凝土结构工程施工质量验收规范》；</w:t>
      </w:r>
    </w:p>
    <w:p w14:paraId="78A259CE">
      <w:pPr>
        <w:pageBreakBefore w:val="0"/>
        <w:kinsoku/>
        <w:wordWrap w:val="0"/>
        <w:overflowPunct/>
        <w:topLinePunct w:val="0"/>
        <w:bidi w:val="0"/>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（5）《屋面工程质量验收规范》；</w:t>
      </w:r>
    </w:p>
    <w:p w14:paraId="5D84CC9B">
      <w:pPr>
        <w:pageBreakBefore w:val="0"/>
        <w:kinsoku/>
        <w:wordWrap w:val="0"/>
        <w:overflowPunct/>
        <w:topLinePunct w:val="0"/>
        <w:bidi w:val="0"/>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（6）《地下防水工程质量验收规范》；</w:t>
      </w:r>
    </w:p>
    <w:p w14:paraId="01A4325E">
      <w:pPr>
        <w:pageBreakBefore w:val="0"/>
        <w:kinsoku/>
        <w:wordWrap w:val="0"/>
        <w:overflowPunct/>
        <w:topLinePunct w:val="0"/>
        <w:bidi w:val="0"/>
        <w:spacing w:before="156"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（7）《建筑地面工程施工质量验收规范》；</w:t>
      </w:r>
    </w:p>
    <w:p w14:paraId="7C054B73">
      <w:pPr>
        <w:pageBreakBefore w:val="0"/>
        <w:kinsoku/>
        <w:wordWrap w:val="0"/>
        <w:overflowPunct/>
        <w:topLinePunct w:val="0"/>
        <w:bidi w:val="0"/>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（8）《建筑装饰装修工程施工质量验收规范》；</w:t>
      </w:r>
    </w:p>
    <w:p w14:paraId="09CCD543">
      <w:pPr>
        <w:pageBreakBefore w:val="0"/>
        <w:kinsoku/>
        <w:wordWrap w:val="0"/>
        <w:overflowPunct/>
        <w:topLinePunct w:val="0"/>
        <w:bidi w:val="0"/>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（9）《建筑给排水及采暖工程施工质量验收规范》；</w:t>
      </w:r>
    </w:p>
    <w:p w14:paraId="2BF32395">
      <w:pPr>
        <w:pageBreakBefore w:val="0"/>
        <w:kinsoku/>
        <w:wordWrap w:val="0"/>
        <w:overflowPunct/>
        <w:topLinePunct w:val="0"/>
        <w:bidi w:val="0"/>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（10）《建筑电气工程施工质量验收规范》；</w:t>
      </w:r>
    </w:p>
    <w:p w14:paraId="444A78FD">
      <w:pPr>
        <w:pageBreakBefore w:val="0"/>
        <w:kinsoku/>
        <w:wordWrap w:val="0"/>
        <w:overflowPunct/>
        <w:topLinePunct w:val="0"/>
        <w:bidi w:val="0"/>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（11）《住建部绿色建筑评价标准》；</w:t>
      </w:r>
    </w:p>
    <w:p w14:paraId="03F83826">
      <w:pPr>
        <w:pageBreakBefore w:val="0"/>
        <w:kinsoku/>
        <w:wordWrap w:val="0"/>
        <w:overflowPunct/>
        <w:topLinePunct w:val="0"/>
        <w:bidi w:val="0"/>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（12）《建筑节能与可再生能源利用通用规范》（GB55015-2021）；</w:t>
      </w:r>
    </w:p>
    <w:p w14:paraId="151CB418">
      <w:pPr>
        <w:pageBreakBefore w:val="0"/>
        <w:kinsoku/>
        <w:wordWrap w:val="0"/>
        <w:overflowPunct/>
        <w:topLinePunct w:val="0"/>
        <w:bidi w:val="0"/>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（13）《建筑环境通用规范》；</w:t>
      </w:r>
    </w:p>
    <w:p w14:paraId="345E5448">
      <w:pPr>
        <w:pageBreakBefore w:val="0"/>
        <w:kinsoku/>
        <w:wordWrap w:val="0"/>
        <w:overflowPunct/>
        <w:topLinePunct w:val="0"/>
        <w:bidi w:val="0"/>
        <w:spacing w:before="153" w:line="219" w:lineRule="auto"/>
        <w:ind w:left="130"/>
        <w:rPr>
          <w:rFonts w:hint="eastAsia" w:ascii="宋体" w:hAnsi="宋体" w:eastAsia="宋体" w:cs="宋体"/>
          <w:color w:val="auto"/>
          <w:spacing w:val="-1"/>
          <w:sz w:val="24"/>
          <w:szCs w:val="24"/>
          <w:highlight w:val="none"/>
        </w:rPr>
      </w:pPr>
      <w:bookmarkStart w:id="187" w:name="_Toc16294"/>
      <w:bookmarkStart w:id="188" w:name="_Toc12084"/>
      <w:r>
        <w:rPr>
          <w:rFonts w:hint="eastAsia" w:ascii="宋体" w:hAnsi="宋体" w:eastAsia="宋体" w:cs="宋体"/>
          <w:color w:val="auto"/>
          <w:spacing w:val="-1"/>
          <w:sz w:val="24"/>
          <w:szCs w:val="24"/>
          <w:highlight w:val="none"/>
        </w:rPr>
        <w:t>（14）《建筑与市政工程无障碍通用规范》 GB 55019-2021；</w:t>
      </w:r>
      <w:bookmarkEnd w:id="187"/>
      <w:bookmarkEnd w:id="188"/>
    </w:p>
    <w:p w14:paraId="7BF01187">
      <w:pPr>
        <w:pageBreakBefore w:val="0"/>
        <w:kinsoku/>
        <w:wordWrap w:val="0"/>
        <w:overflowPunct/>
        <w:topLinePunct w:val="0"/>
        <w:bidi w:val="0"/>
        <w:spacing w:before="153" w:line="219" w:lineRule="auto"/>
        <w:ind w:left="130"/>
        <w:rPr>
          <w:rFonts w:hint="eastAsia" w:ascii="宋体" w:hAnsi="宋体" w:eastAsia="宋体" w:cs="宋体"/>
          <w:color w:val="auto"/>
          <w:spacing w:val="-1"/>
          <w:sz w:val="24"/>
          <w:szCs w:val="24"/>
          <w:highlight w:val="none"/>
        </w:rPr>
      </w:pPr>
      <w:bookmarkStart w:id="189" w:name="_Toc15158"/>
      <w:bookmarkStart w:id="190" w:name="_Toc1177"/>
      <w:r>
        <w:rPr>
          <w:rFonts w:hint="eastAsia" w:ascii="宋体" w:hAnsi="宋体" w:eastAsia="宋体" w:cs="宋体"/>
          <w:color w:val="auto"/>
          <w:spacing w:val="-1"/>
          <w:sz w:val="24"/>
          <w:szCs w:val="24"/>
          <w:highlight w:val="none"/>
        </w:rPr>
        <w:t>（15）《建筑防火通用规范》GB 55037-2022;</w:t>
      </w:r>
      <w:bookmarkEnd w:id="189"/>
      <w:bookmarkEnd w:id="190"/>
    </w:p>
    <w:p w14:paraId="29E4C8FC">
      <w:pPr>
        <w:pageBreakBefore w:val="0"/>
        <w:kinsoku/>
        <w:wordWrap w:val="0"/>
        <w:overflowPunct/>
        <w:topLinePunct w:val="0"/>
        <w:bidi w:val="0"/>
        <w:spacing w:before="153" w:line="219" w:lineRule="auto"/>
        <w:ind w:left="130"/>
        <w:rPr>
          <w:rFonts w:hint="eastAsia" w:ascii="宋体" w:hAnsi="宋体" w:eastAsia="宋体" w:cs="宋体"/>
          <w:color w:val="auto"/>
          <w:spacing w:val="-1"/>
          <w:sz w:val="24"/>
          <w:szCs w:val="24"/>
          <w:highlight w:val="none"/>
        </w:rPr>
      </w:pPr>
      <w:bookmarkStart w:id="191" w:name="_Toc2461"/>
      <w:bookmarkStart w:id="192" w:name="_Toc24233"/>
      <w:r>
        <w:rPr>
          <w:rFonts w:hint="eastAsia" w:ascii="宋体" w:hAnsi="宋体" w:eastAsia="宋体" w:cs="宋体"/>
          <w:color w:val="auto"/>
          <w:spacing w:val="-1"/>
          <w:sz w:val="24"/>
          <w:szCs w:val="24"/>
          <w:highlight w:val="none"/>
        </w:rPr>
        <w:t>（16）《建筑与市政工程抗震通用规范》GB55002-2001;</w:t>
      </w:r>
      <w:bookmarkEnd w:id="191"/>
      <w:bookmarkEnd w:id="192"/>
    </w:p>
    <w:p w14:paraId="0A06A566">
      <w:pPr>
        <w:pageBreakBefore w:val="0"/>
        <w:kinsoku/>
        <w:wordWrap w:val="0"/>
        <w:overflowPunct/>
        <w:topLinePunct w:val="0"/>
        <w:bidi w:val="0"/>
        <w:spacing w:before="153" w:line="219" w:lineRule="auto"/>
        <w:ind w:left="130"/>
        <w:rPr>
          <w:rFonts w:hint="eastAsia" w:ascii="宋体" w:hAnsi="宋体" w:eastAsia="宋体" w:cs="宋体"/>
          <w:color w:val="auto"/>
          <w:spacing w:val="-1"/>
          <w:sz w:val="24"/>
          <w:szCs w:val="24"/>
          <w:highlight w:val="none"/>
        </w:rPr>
      </w:pPr>
      <w:bookmarkStart w:id="193" w:name="_Toc5777"/>
      <w:bookmarkStart w:id="194" w:name="_Toc8109"/>
      <w:r>
        <w:rPr>
          <w:rFonts w:hint="eastAsia" w:ascii="宋体" w:hAnsi="宋体" w:eastAsia="宋体" w:cs="宋体"/>
          <w:color w:val="auto"/>
          <w:spacing w:val="-1"/>
          <w:sz w:val="24"/>
          <w:szCs w:val="24"/>
          <w:highlight w:val="none"/>
        </w:rPr>
        <w:t>（17）《建筑与市政地基基础通用规范》GB55003-2001;</w:t>
      </w:r>
      <w:bookmarkEnd w:id="193"/>
      <w:bookmarkEnd w:id="194"/>
    </w:p>
    <w:p w14:paraId="5AAC3403">
      <w:pPr>
        <w:pageBreakBefore w:val="0"/>
        <w:kinsoku/>
        <w:wordWrap w:val="0"/>
        <w:overflowPunct/>
        <w:topLinePunct w:val="0"/>
        <w:bidi w:val="0"/>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（18）《广东省住房和城乡建设厅绿色施工导则》；</w:t>
      </w:r>
    </w:p>
    <w:p w14:paraId="67D644AD">
      <w:pPr>
        <w:pageBreakBefore w:val="0"/>
        <w:kinsoku/>
        <w:wordWrap w:val="0"/>
        <w:overflowPunct/>
        <w:topLinePunct w:val="0"/>
        <w:bidi w:val="0"/>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（19）《广东省建筑工程绿色施工评价标准》；</w:t>
      </w:r>
    </w:p>
    <w:p w14:paraId="1057494F">
      <w:pPr>
        <w:pageBreakBefore w:val="0"/>
        <w:kinsoku/>
        <w:wordWrap w:val="0"/>
        <w:overflowPunct/>
        <w:topLinePunct w:val="0"/>
        <w:bidi w:val="0"/>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（20）《广东省建筑节能与绿色建筑工程施工质量验收规范》</w:t>
      </w:r>
    </w:p>
    <w:p w14:paraId="6DDC636B">
      <w:pPr>
        <w:pageBreakBefore w:val="0"/>
        <w:kinsoku/>
        <w:wordWrap w:val="0"/>
        <w:overflowPunct/>
        <w:topLinePunct w:val="0"/>
        <w:bidi w:val="0"/>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（21）其他现行国家、广东省关于房建工程的施工及验收规范、定额</w:t>
      </w:r>
      <w:r>
        <w:rPr>
          <w:rFonts w:hint="eastAsia" w:ascii="宋体" w:hAnsi="宋体" w:eastAsia="宋体" w:cs="宋体"/>
          <w:color w:val="auto"/>
          <w:spacing w:val="-6"/>
          <w:sz w:val="24"/>
          <w:szCs w:val="24"/>
          <w:highlight w:val="none"/>
        </w:rPr>
        <w:t>、规程、标准。</w:t>
      </w:r>
    </w:p>
    <w:p w14:paraId="6651FAFB">
      <w:pPr>
        <w:pStyle w:val="3"/>
        <w:pageBreakBefore w:val="0"/>
        <w:kinsoku/>
        <w:wordWrap w:val="0"/>
        <w:overflowPunct/>
        <w:topLinePunct w:val="0"/>
        <w:bidi w:val="0"/>
        <w:spacing w:line="257" w:lineRule="auto"/>
        <w:rPr>
          <w:rFonts w:hint="eastAsia" w:ascii="宋体" w:hAnsi="宋体" w:eastAsia="宋体" w:cs="宋体"/>
          <w:color w:val="auto"/>
          <w:highlight w:val="none"/>
        </w:rPr>
      </w:pPr>
    </w:p>
    <w:p w14:paraId="6689F434">
      <w:pPr>
        <w:pageBreakBefore w:val="0"/>
        <w:kinsoku/>
        <w:wordWrap w:val="0"/>
        <w:overflowPunct/>
        <w:topLinePunct w:val="0"/>
        <w:bidi w:val="0"/>
        <w:spacing w:before="78" w:line="220" w:lineRule="auto"/>
        <w:ind w:left="115"/>
        <w:outlineLvl w:val="2"/>
        <w:rPr>
          <w:rFonts w:hint="eastAsia" w:ascii="宋体" w:hAnsi="宋体" w:eastAsia="宋体" w:cs="宋体"/>
          <w:color w:val="auto"/>
          <w:sz w:val="24"/>
          <w:szCs w:val="24"/>
          <w:highlight w:val="none"/>
        </w:rPr>
      </w:pPr>
      <w:bookmarkStart w:id="195" w:name="_Toc509"/>
      <w:bookmarkStart w:id="196" w:name="_Toc15652"/>
      <w:r>
        <w:rPr>
          <w:rFonts w:hint="eastAsia" w:ascii="宋体" w:hAnsi="宋体" w:eastAsia="宋体" w:cs="宋体"/>
          <w:b/>
          <w:bCs/>
          <w:color w:val="auto"/>
          <w:spacing w:val="-5"/>
          <w:sz w:val="24"/>
          <w:szCs w:val="24"/>
          <w:highlight w:val="none"/>
        </w:rPr>
        <w:t>2</w:t>
      </w:r>
      <w:r>
        <w:rPr>
          <w:rFonts w:hint="eastAsia" w:ascii="宋体" w:hAnsi="宋体" w:eastAsia="宋体" w:cs="宋体"/>
          <w:b/>
          <w:bCs/>
          <w:color w:val="auto"/>
          <w:spacing w:val="-18"/>
          <w:sz w:val="24"/>
          <w:szCs w:val="24"/>
          <w:highlight w:val="none"/>
        </w:rPr>
        <w:t xml:space="preserve"> </w:t>
      </w:r>
      <w:r>
        <w:rPr>
          <w:rFonts w:hint="eastAsia" w:ascii="宋体" w:hAnsi="宋体" w:eastAsia="宋体" w:cs="宋体"/>
          <w:b/>
          <w:bCs/>
          <w:color w:val="auto"/>
          <w:spacing w:val="-5"/>
          <w:sz w:val="24"/>
          <w:szCs w:val="24"/>
          <w:highlight w:val="none"/>
        </w:rPr>
        <w:t>．市政基础设施工程建设项目</w:t>
      </w:r>
      <w:bookmarkEnd w:id="195"/>
      <w:bookmarkEnd w:id="196"/>
    </w:p>
    <w:p w14:paraId="4745335C">
      <w:pPr>
        <w:pageBreakBefore w:val="0"/>
        <w:kinsoku/>
        <w:wordWrap w:val="0"/>
        <w:overflowPunct/>
        <w:topLinePunct w:val="0"/>
        <w:bidi w:val="0"/>
        <w:spacing w:before="154" w:line="220" w:lineRule="auto"/>
        <w:ind w:left="12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市政基础设施工程建设项目必须执行的现行技术规范，包括且不限于：</w:t>
      </w:r>
    </w:p>
    <w:p w14:paraId="7BB5E0FE">
      <w:pPr>
        <w:pageBreakBefore w:val="0"/>
        <w:kinsoku/>
        <w:wordWrap w:val="0"/>
        <w:overflowPunct/>
        <w:topLinePunct w:val="0"/>
        <w:bidi w:val="0"/>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（1）《公路路基施工技术规范》；</w:t>
      </w:r>
    </w:p>
    <w:p w14:paraId="15195069">
      <w:pPr>
        <w:pageBreakBefore w:val="0"/>
        <w:kinsoku/>
        <w:wordWrap w:val="0"/>
        <w:overflowPunct/>
        <w:topLinePunct w:val="0"/>
        <w:bidi w:val="0"/>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（2）《市政道路工程质量检验评定标准》；</w:t>
      </w:r>
    </w:p>
    <w:p w14:paraId="5B7C38D8">
      <w:pPr>
        <w:pageBreakBefore w:val="0"/>
        <w:kinsoku/>
        <w:wordWrap w:val="0"/>
        <w:overflowPunct/>
        <w:topLinePunct w:val="0"/>
        <w:bidi w:val="0"/>
        <w:spacing w:before="154"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（3）《市政排水管渠工程质量检验评定标准》；</w:t>
      </w:r>
    </w:p>
    <w:p w14:paraId="19820B55">
      <w:pPr>
        <w:keepNext w:val="0"/>
        <w:keepLines w:val="0"/>
        <w:pageBreakBefore w:val="0"/>
        <w:widowControl w:val="0"/>
        <w:kinsoku/>
        <w:wordWrap w:val="0"/>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（4）《给水排水管道工程施工及验收规范》；</w:t>
      </w:r>
    </w:p>
    <w:p w14:paraId="3EBB3B65">
      <w:pPr>
        <w:keepNext w:val="0"/>
        <w:keepLines w:val="0"/>
        <w:pageBreakBefore w:val="0"/>
        <w:widowControl w:val="0"/>
        <w:kinsoku/>
        <w:wordWrap w:val="0"/>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（5）《城市道路路基工程施工及验收规范》；</w:t>
      </w:r>
    </w:p>
    <w:p w14:paraId="53D30BA2">
      <w:pPr>
        <w:keepNext w:val="0"/>
        <w:keepLines w:val="0"/>
        <w:pageBreakBefore w:val="0"/>
        <w:widowControl w:val="0"/>
        <w:kinsoku/>
        <w:wordWrap w:val="0"/>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（6）《水泥砼路面施工及验收规范》；</w:t>
      </w:r>
    </w:p>
    <w:p w14:paraId="6708A72B">
      <w:pPr>
        <w:keepNext w:val="0"/>
        <w:keepLines w:val="0"/>
        <w:pageBreakBefore w:val="0"/>
        <w:widowControl w:val="0"/>
        <w:kinsoku/>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（7）《公路水泥砼路面施工技术规范》；</w:t>
      </w:r>
    </w:p>
    <w:p w14:paraId="43BE96D6">
      <w:pPr>
        <w:keepNext w:val="0"/>
        <w:keepLines w:val="0"/>
        <w:pageBreakBefore w:val="0"/>
        <w:widowControl w:val="0"/>
        <w:kinsoku/>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（8）《埋地硬聚氯乙烯排水管道工程技术规程》；</w:t>
      </w:r>
    </w:p>
    <w:p w14:paraId="48BC2942">
      <w:pPr>
        <w:keepNext w:val="0"/>
        <w:keepLines w:val="0"/>
        <w:pageBreakBefore w:val="0"/>
        <w:widowControl w:val="0"/>
        <w:kinsoku/>
        <w:wordWrap w:val="0"/>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（9）《沥青路面施工及验收规范》；</w:t>
      </w:r>
    </w:p>
    <w:p w14:paraId="2BB34F75">
      <w:pPr>
        <w:keepNext w:val="0"/>
        <w:keepLines w:val="0"/>
        <w:pageBreakBefore w:val="0"/>
        <w:widowControl w:val="0"/>
        <w:kinsoku/>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（10）《广东省市政工程施工质量技术资料统一用表》。</w:t>
      </w:r>
    </w:p>
    <w:p w14:paraId="47CB8D54">
      <w:pPr>
        <w:keepNext w:val="0"/>
        <w:keepLines w:val="0"/>
        <w:pageBreakBefore w:val="0"/>
        <w:widowControl w:val="0"/>
        <w:kinsoku/>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7" w:name="_Toc30781"/>
      <w:bookmarkStart w:id="198" w:name="_Toc8494"/>
      <w:r>
        <w:rPr>
          <w:rFonts w:hint="eastAsia" w:ascii="宋体" w:hAnsi="宋体" w:eastAsia="宋体" w:cs="宋体"/>
          <w:color w:val="auto"/>
          <w:spacing w:val="-2"/>
          <w:sz w:val="24"/>
          <w:szCs w:val="24"/>
          <w:highlight w:val="none"/>
        </w:rPr>
        <w:t>（11）《建筑与市政工程无障碍通用规范》 GB 55019-2021；</w:t>
      </w:r>
      <w:bookmarkEnd w:id="197"/>
      <w:bookmarkEnd w:id="198"/>
    </w:p>
    <w:p w14:paraId="763C31EE">
      <w:pPr>
        <w:keepNext w:val="0"/>
        <w:keepLines w:val="0"/>
        <w:pageBreakBefore w:val="0"/>
        <w:widowControl w:val="0"/>
        <w:kinsoku/>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9" w:name="_Toc31143"/>
      <w:bookmarkStart w:id="200" w:name="_Toc17383"/>
      <w:r>
        <w:rPr>
          <w:rFonts w:hint="eastAsia" w:ascii="宋体" w:hAnsi="宋体" w:eastAsia="宋体" w:cs="宋体"/>
          <w:color w:val="auto"/>
          <w:spacing w:val="-2"/>
          <w:sz w:val="24"/>
          <w:szCs w:val="24"/>
          <w:highlight w:val="none"/>
        </w:rPr>
        <w:t>（12）《建筑防火通用规范》GB 55037-2022;</w:t>
      </w:r>
      <w:bookmarkEnd w:id="199"/>
      <w:bookmarkEnd w:id="200"/>
    </w:p>
    <w:p w14:paraId="12CCBEA6">
      <w:pPr>
        <w:keepNext w:val="0"/>
        <w:keepLines w:val="0"/>
        <w:pageBreakBefore w:val="0"/>
        <w:widowControl w:val="0"/>
        <w:kinsoku/>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1" w:name="_Toc32476"/>
      <w:bookmarkStart w:id="202" w:name="_Toc954"/>
      <w:r>
        <w:rPr>
          <w:rFonts w:hint="eastAsia" w:ascii="宋体" w:hAnsi="宋体" w:eastAsia="宋体" w:cs="宋体"/>
          <w:color w:val="auto"/>
          <w:spacing w:val="-2"/>
          <w:sz w:val="24"/>
          <w:szCs w:val="24"/>
          <w:highlight w:val="none"/>
        </w:rPr>
        <w:t>（13）《建筑与市政工程抗震通用规范》GB55002-2001;</w:t>
      </w:r>
      <w:bookmarkEnd w:id="201"/>
      <w:bookmarkEnd w:id="202"/>
    </w:p>
    <w:p w14:paraId="7FEC7858">
      <w:pPr>
        <w:keepNext w:val="0"/>
        <w:keepLines w:val="0"/>
        <w:pageBreakBefore w:val="0"/>
        <w:widowControl w:val="0"/>
        <w:kinsoku/>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3" w:name="_Toc7185"/>
      <w:bookmarkStart w:id="204" w:name="_Toc27898"/>
      <w:r>
        <w:rPr>
          <w:rFonts w:hint="eastAsia" w:ascii="宋体" w:hAnsi="宋体" w:eastAsia="宋体" w:cs="宋体"/>
          <w:color w:val="auto"/>
          <w:spacing w:val="-2"/>
          <w:sz w:val="24"/>
          <w:szCs w:val="24"/>
          <w:highlight w:val="none"/>
        </w:rPr>
        <w:t>（14）《建筑与市政地基基础通用规范》GB55003-2001;</w:t>
      </w:r>
      <w:bookmarkEnd w:id="203"/>
      <w:bookmarkEnd w:id="204"/>
    </w:p>
    <w:p w14:paraId="585A05C2">
      <w:pPr>
        <w:keepNext w:val="0"/>
        <w:keepLines w:val="0"/>
        <w:pageBreakBefore w:val="0"/>
        <w:widowControl w:val="0"/>
        <w:kinsoku/>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5" w:name="_Toc17281"/>
      <w:bookmarkStart w:id="206" w:name="_Toc29669"/>
      <w:r>
        <w:rPr>
          <w:rFonts w:hint="eastAsia" w:ascii="宋体" w:hAnsi="宋体" w:eastAsia="宋体" w:cs="宋体"/>
          <w:color w:val="auto"/>
          <w:spacing w:val="-2"/>
          <w:sz w:val="24"/>
          <w:szCs w:val="24"/>
          <w:highlight w:val="none"/>
        </w:rPr>
        <w:t>（15）《城市道路照明设计标准》（CJJ45-2015）；</w:t>
      </w:r>
      <w:bookmarkEnd w:id="205"/>
      <w:bookmarkEnd w:id="206"/>
    </w:p>
    <w:p w14:paraId="1F9D3360">
      <w:pPr>
        <w:keepNext w:val="0"/>
        <w:keepLines w:val="0"/>
        <w:pageBreakBefore w:val="0"/>
        <w:widowControl w:val="0"/>
        <w:kinsoku/>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7" w:name="_Toc31812"/>
      <w:bookmarkStart w:id="208" w:name="_Toc9161"/>
      <w:r>
        <w:rPr>
          <w:rFonts w:hint="eastAsia" w:ascii="宋体" w:hAnsi="宋体" w:eastAsia="宋体" w:cs="宋体"/>
          <w:color w:val="auto"/>
          <w:spacing w:val="-2"/>
          <w:sz w:val="24"/>
          <w:szCs w:val="24"/>
          <w:highlight w:val="none"/>
        </w:rPr>
        <w:t>（16）《低压配电设计规范》（GB50054-2011）；</w:t>
      </w:r>
      <w:bookmarkEnd w:id="207"/>
      <w:bookmarkEnd w:id="208"/>
    </w:p>
    <w:p w14:paraId="2235F9F7">
      <w:pPr>
        <w:keepNext w:val="0"/>
        <w:keepLines w:val="0"/>
        <w:pageBreakBefore w:val="0"/>
        <w:widowControl w:val="0"/>
        <w:kinsoku/>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9" w:name="_Toc6405"/>
      <w:bookmarkStart w:id="210" w:name="_Toc18255"/>
      <w:r>
        <w:rPr>
          <w:rFonts w:hint="eastAsia" w:ascii="宋体" w:hAnsi="宋体" w:eastAsia="宋体" w:cs="宋体"/>
          <w:color w:val="auto"/>
          <w:spacing w:val="-2"/>
          <w:sz w:val="24"/>
          <w:szCs w:val="24"/>
          <w:highlight w:val="none"/>
        </w:rPr>
        <w:t>（17）《城市道路照明工程施工及验收规程》（CJJ89-2012）；</w:t>
      </w:r>
      <w:bookmarkEnd w:id="209"/>
      <w:bookmarkEnd w:id="210"/>
    </w:p>
    <w:p w14:paraId="1133F1A7">
      <w:pPr>
        <w:keepNext w:val="0"/>
        <w:keepLines w:val="0"/>
        <w:pageBreakBefore w:val="0"/>
        <w:widowControl w:val="0"/>
        <w:kinsoku/>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（18）《LED 道路照明工程技术规范》（DB44/T 1898-2016）；</w:t>
      </w:r>
    </w:p>
    <w:p w14:paraId="0184B88E">
      <w:pPr>
        <w:keepNext w:val="0"/>
        <w:keepLines w:val="0"/>
        <w:pageBreakBefore w:val="0"/>
        <w:widowControl w:val="0"/>
        <w:kinsoku/>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（19）《灯具第 1 部分：一般要求与试验》（GB7000.1-2015）；</w:t>
      </w:r>
    </w:p>
    <w:p w14:paraId="2C735567">
      <w:pPr>
        <w:keepNext w:val="0"/>
        <w:keepLines w:val="0"/>
        <w:pageBreakBefore w:val="0"/>
        <w:widowControl w:val="0"/>
        <w:kinsoku/>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（20）《电缆工程电缆设计标准》（GB50217-2018）；</w:t>
      </w:r>
    </w:p>
    <w:p w14:paraId="29D152C9">
      <w:pPr>
        <w:keepNext w:val="0"/>
        <w:keepLines w:val="0"/>
        <w:pageBreakBefore w:val="0"/>
        <w:widowControl w:val="0"/>
        <w:kinsoku/>
        <w:wordWrap w:val="0"/>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（21）其他现行国家、广东省关于市政工程的技术及验收规范、定额、规程、标准。</w:t>
      </w:r>
    </w:p>
    <w:p w14:paraId="66D001D5">
      <w:pPr>
        <w:pStyle w:val="3"/>
        <w:keepNext w:val="0"/>
        <w:keepLines w:val="0"/>
        <w:pageBreakBefore w:val="0"/>
        <w:widowControl w:val="0"/>
        <w:kinsoku/>
        <w:wordWrap w:val="0"/>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08F9D645">
      <w:pPr>
        <w:pStyle w:val="3"/>
        <w:keepNext w:val="0"/>
        <w:keepLines w:val="0"/>
        <w:pageBreakBefore w:val="0"/>
        <w:widowControl w:val="0"/>
        <w:kinsoku/>
        <w:wordWrap w:val="0"/>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5896DC22">
      <w:pPr>
        <w:keepNext w:val="0"/>
        <w:keepLines w:val="0"/>
        <w:pageBreakBefore w:val="0"/>
        <w:widowControl w:val="0"/>
        <w:kinsoku/>
        <w:wordWrap w:val="0"/>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z w:val="24"/>
          <w:szCs w:val="24"/>
          <w:highlight w:val="none"/>
        </w:rPr>
      </w:pPr>
      <w:bookmarkStart w:id="211" w:name="_Toc9200"/>
      <w:bookmarkStart w:id="212" w:name="_Toc20146"/>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．备查要求</w:t>
      </w:r>
      <w:bookmarkEnd w:id="211"/>
      <w:bookmarkEnd w:id="212"/>
    </w:p>
    <w:p w14:paraId="73CE1445">
      <w:pPr>
        <w:keepNext w:val="0"/>
        <w:keepLines w:val="0"/>
        <w:pageBreakBefore w:val="0"/>
        <w:widowControl w:val="0"/>
        <w:kinsoku/>
        <w:wordWrap w:val="0"/>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3"/>
          <w:sz w:val="24"/>
          <w:szCs w:val="24"/>
          <w:highlight w:val="none"/>
        </w:rPr>
        <w:t>承包人必须在施工现场准备至少一套上述规范，发包人和监理单位可</w:t>
      </w:r>
      <w:r>
        <w:rPr>
          <w:rFonts w:hint="eastAsia" w:ascii="宋体" w:hAnsi="宋体" w:eastAsia="宋体" w:cs="宋体"/>
          <w:color w:val="auto"/>
          <w:spacing w:val="2"/>
          <w:sz w:val="24"/>
          <w:szCs w:val="24"/>
          <w:highlight w:val="none"/>
        </w:rPr>
        <w:t>随时检查承</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包人的上述规范，并监督承包人按规范要求执行。</w:t>
      </w:r>
    </w:p>
    <w:p w14:paraId="2E0DBE7D">
      <w:pPr>
        <w:pageBreakBefore w:val="0"/>
        <w:kinsoku/>
        <w:wordWrap w:val="0"/>
        <w:overflowPunct/>
        <w:topLinePunct w:val="0"/>
        <w:bidi w:val="0"/>
        <w:spacing w:before="78" w:line="219" w:lineRule="auto"/>
        <w:jc w:val="center"/>
        <w:outlineLvl w:val="0"/>
        <w:rPr>
          <w:rFonts w:hint="eastAsia" w:ascii="宋体" w:hAnsi="宋体" w:eastAsia="宋体" w:cs="宋体"/>
          <w:color w:val="auto"/>
          <w:sz w:val="24"/>
          <w:szCs w:val="24"/>
          <w:highlight w:val="none"/>
        </w:rPr>
      </w:pPr>
      <w:bookmarkStart w:id="213" w:name="bookmark100"/>
      <w:bookmarkEnd w:id="213"/>
      <w:bookmarkStart w:id="214" w:name="bookmark146"/>
      <w:bookmarkEnd w:id="214"/>
      <w:bookmarkStart w:id="215" w:name="_Toc19671"/>
      <w:r>
        <w:rPr>
          <w:rFonts w:hint="eastAsia" w:ascii="宋体" w:hAnsi="宋体" w:eastAsia="宋体" w:cs="宋体"/>
          <w:b/>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5"/>
          <w:sz w:val="24"/>
          <w:szCs w:val="24"/>
          <w:highlight w:val="none"/>
        </w:rPr>
        <w:t>图纸和招标工程量清单</w:t>
      </w:r>
      <w:bookmarkEnd w:id="215"/>
    </w:p>
    <w:p w14:paraId="09616C56">
      <w:pPr>
        <w:pStyle w:val="3"/>
        <w:pageBreakBefore w:val="0"/>
        <w:kinsoku/>
        <w:wordWrap w:val="0"/>
        <w:overflowPunct/>
        <w:topLinePunct w:val="0"/>
        <w:bidi w:val="0"/>
        <w:spacing w:line="265" w:lineRule="auto"/>
        <w:rPr>
          <w:rFonts w:hint="eastAsia" w:ascii="宋体" w:hAnsi="宋体" w:eastAsia="宋体" w:cs="宋体"/>
          <w:color w:val="auto"/>
          <w:highlight w:val="none"/>
        </w:rPr>
      </w:pPr>
    </w:p>
    <w:p w14:paraId="36EE6B98">
      <w:pPr>
        <w:pageBreakBefore w:val="0"/>
        <w:kinsoku/>
        <w:wordWrap w:val="0"/>
        <w:overflowPunct/>
        <w:topLinePunct w:val="0"/>
        <w:bidi w:val="0"/>
        <w:spacing w:before="151" w:line="222" w:lineRule="auto"/>
        <w:ind w:left="715"/>
        <w:outlineLvl w:val="2"/>
        <w:rPr>
          <w:rFonts w:hint="eastAsia" w:ascii="宋体" w:hAnsi="宋体" w:eastAsia="宋体" w:cs="宋体"/>
          <w:color w:val="auto"/>
          <w:sz w:val="24"/>
          <w:szCs w:val="24"/>
          <w:highlight w:val="none"/>
        </w:rPr>
      </w:pPr>
      <w:bookmarkStart w:id="216" w:name="_Toc24446"/>
      <w:bookmarkStart w:id="217" w:name="_Toc12366"/>
      <w:r>
        <w:rPr>
          <w:rFonts w:hint="eastAsia" w:ascii="宋体" w:hAnsi="宋体" w:eastAsia="宋体" w:cs="宋体"/>
          <w:b/>
          <w:bCs/>
          <w:color w:val="auto"/>
          <w:spacing w:val="-14"/>
          <w:sz w:val="24"/>
          <w:szCs w:val="24"/>
          <w:highlight w:val="none"/>
        </w:rPr>
        <w:t>1</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14"/>
          <w:sz w:val="24"/>
          <w:szCs w:val="24"/>
          <w:highlight w:val="none"/>
        </w:rPr>
        <w:t>．图纸</w:t>
      </w:r>
      <w:bookmarkEnd w:id="216"/>
      <w:bookmarkEnd w:id="217"/>
    </w:p>
    <w:p w14:paraId="2DB6DDEB">
      <w:pPr>
        <w:pageBreakBefore w:val="0"/>
        <w:kinsoku/>
        <w:wordWrap w:val="0"/>
        <w:overflowPunct/>
        <w:topLinePunct w:val="0"/>
        <w:bidi w:val="0"/>
        <w:spacing w:before="150" w:line="330" w:lineRule="auto"/>
        <w:ind w:left="230" w:firstLine="480"/>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本招标文件随文另附施工图（电子文件）一套。</w:t>
      </w:r>
    </w:p>
    <w:p w14:paraId="770C4D87">
      <w:pPr>
        <w:pStyle w:val="3"/>
        <w:pageBreakBefore w:val="0"/>
        <w:kinsoku/>
        <w:wordWrap w:val="0"/>
        <w:overflowPunct/>
        <w:topLinePunct w:val="0"/>
        <w:bidi w:val="0"/>
        <w:spacing w:line="253" w:lineRule="auto"/>
        <w:rPr>
          <w:rFonts w:hint="eastAsia" w:ascii="宋体" w:hAnsi="宋体" w:eastAsia="宋体" w:cs="宋体"/>
          <w:color w:val="auto"/>
          <w:highlight w:val="none"/>
        </w:rPr>
      </w:pPr>
    </w:p>
    <w:p w14:paraId="00038AE1">
      <w:pPr>
        <w:pageBreakBefore w:val="0"/>
        <w:kinsoku/>
        <w:wordWrap w:val="0"/>
        <w:overflowPunct/>
        <w:topLinePunct w:val="0"/>
        <w:bidi w:val="0"/>
        <w:spacing w:before="79" w:line="221" w:lineRule="auto"/>
        <w:ind w:left="705"/>
        <w:outlineLvl w:val="2"/>
        <w:rPr>
          <w:rFonts w:hint="eastAsia" w:ascii="宋体" w:hAnsi="宋体" w:eastAsia="宋体" w:cs="宋体"/>
          <w:color w:val="auto"/>
          <w:sz w:val="24"/>
          <w:szCs w:val="24"/>
          <w:highlight w:val="none"/>
        </w:rPr>
      </w:pPr>
      <w:bookmarkStart w:id="218" w:name="_Toc9064"/>
      <w:bookmarkStart w:id="219" w:name="_Toc3108"/>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6"/>
          <w:sz w:val="24"/>
          <w:szCs w:val="24"/>
          <w:highlight w:val="none"/>
        </w:rPr>
        <w:t>．招标工程量清单</w:t>
      </w:r>
      <w:bookmarkEnd w:id="218"/>
      <w:bookmarkEnd w:id="219"/>
    </w:p>
    <w:p w14:paraId="66B23E36">
      <w:pPr>
        <w:pageBreakBefore w:val="0"/>
        <w:kinsoku/>
        <w:wordWrap w:val="0"/>
        <w:overflowPunct/>
        <w:topLinePunct w:val="0"/>
        <w:bidi w:val="0"/>
        <w:spacing w:before="117" w:line="312" w:lineRule="auto"/>
        <w:ind w:left="23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2.1  </w:t>
      </w:r>
      <w:r>
        <w:rPr>
          <w:rFonts w:hint="eastAsia" w:ascii="宋体" w:hAnsi="宋体" w:eastAsia="宋体" w:cs="宋体"/>
          <w:color w:val="auto"/>
          <w:spacing w:val="-3"/>
          <w:sz w:val="24"/>
          <w:szCs w:val="24"/>
          <w:highlight w:val="none"/>
        </w:rPr>
        <w:t>本招标文件随文另附</w:t>
      </w:r>
      <w:bookmarkStart w:id="220" w:name="OLE_LINK33"/>
      <w:r>
        <w:rPr>
          <w:rFonts w:hint="eastAsia" w:ascii="宋体" w:hAnsi="宋体" w:eastAsia="宋体" w:cs="宋体"/>
          <w:color w:val="auto"/>
          <w:spacing w:val="-3"/>
          <w:sz w:val="24"/>
          <w:szCs w:val="24"/>
          <w:highlight w:val="none"/>
          <w:u w:val="single"/>
        </w:rPr>
        <w:t>招标工程量清单EXCEL版</w:t>
      </w:r>
      <w:r>
        <w:rPr>
          <w:rFonts w:hint="eastAsia" w:ascii="宋体" w:hAnsi="宋体" w:eastAsia="宋体" w:cs="宋体"/>
          <w:color w:val="auto"/>
          <w:spacing w:val="-3"/>
          <w:sz w:val="24"/>
          <w:szCs w:val="24"/>
          <w:highlight w:val="none"/>
          <w:u w:val="single"/>
          <w:lang w:val="en-US" w:eastAsia="zh-CN"/>
        </w:rPr>
        <w:t>和</w:t>
      </w:r>
      <w:bookmarkEnd w:id="220"/>
      <w:r>
        <w:rPr>
          <w:rFonts w:hint="eastAsia" w:ascii="宋体" w:hAnsi="宋体" w:eastAsia="宋体" w:cs="宋体"/>
          <w:color w:val="auto"/>
          <w:spacing w:val="-3"/>
          <w:sz w:val="24"/>
          <w:szCs w:val="24"/>
          <w:highlight w:val="none"/>
          <w:u w:val="single"/>
          <w:lang w:val="en-US" w:eastAsia="zh-CN"/>
        </w:rPr>
        <w:t>最高投标限价PDF</w:t>
      </w:r>
      <w:r>
        <w:rPr>
          <w:rFonts w:hint="eastAsia" w:ascii="宋体" w:hAnsi="宋体" w:eastAsia="宋体" w:cs="宋体"/>
          <w:color w:val="auto"/>
          <w:spacing w:val="37"/>
          <w:sz w:val="24"/>
          <w:szCs w:val="24"/>
          <w:highlight w:val="none"/>
          <w:u w:val="single"/>
        </w:rPr>
        <w:t xml:space="preserve"> </w:t>
      </w:r>
      <w:r>
        <w:rPr>
          <w:rFonts w:hint="eastAsia" w:ascii="宋体" w:hAnsi="宋体" w:eastAsia="宋体" w:cs="宋体"/>
          <w:color w:val="auto"/>
          <w:spacing w:val="-3"/>
          <w:sz w:val="24"/>
          <w:szCs w:val="24"/>
          <w:highlight w:val="none"/>
        </w:rPr>
        <w:t>电子文件一套。</w:t>
      </w:r>
    </w:p>
    <w:p w14:paraId="7A870555">
      <w:pPr>
        <w:pageBreakBefore w:val="0"/>
        <w:kinsoku/>
        <w:wordWrap w:val="0"/>
        <w:overflowPunct/>
        <w:topLinePunct w:val="0"/>
        <w:bidi w:val="0"/>
        <w:spacing w:before="78" w:line="219" w:lineRule="auto"/>
        <w:ind w:left="478" w:firstLine="239" w:firstLineChars="100"/>
        <w:rPr>
          <w:rFonts w:hint="eastAsia" w:ascii="宋体" w:hAnsi="宋体" w:eastAsia="宋体" w:cs="宋体"/>
          <w:color w:val="auto"/>
          <w:sz w:val="24"/>
          <w:szCs w:val="24"/>
          <w:highlight w:val="none"/>
        </w:rPr>
      </w:pPr>
      <w:bookmarkStart w:id="221" w:name="bookmark147"/>
      <w:bookmarkEnd w:id="221"/>
      <w:r>
        <w:rPr>
          <w:rFonts w:hint="eastAsia" w:ascii="宋体" w:hAnsi="宋体" w:eastAsia="宋体" w:cs="宋体"/>
          <w:b/>
          <w:bCs/>
          <w:color w:val="auto"/>
          <w:spacing w:val="-1"/>
          <w:sz w:val="24"/>
          <w:szCs w:val="24"/>
          <w:highlight w:val="none"/>
        </w:rPr>
        <w:t xml:space="preserve">2.2  </w:t>
      </w:r>
      <w:r>
        <w:rPr>
          <w:rFonts w:hint="eastAsia" w:ascii="宋体" w:hAnsi="宋体" w:eastAsia="宋体" w:cs="宋体"/>
          <w:color w:val="auto"/>
          <w:spacing w:val="-1"/>
          <w:sz w:val="24"/>
          <w:szCs w:val="24"/>
          <w:highlight w:val="none"/>
        </w:rPr>
        <w:t>本工程按照以下依据编制</w:t>
      </w:r>
      <w:r>
        <w:rPr>
          <w:rFonts w:hint="eastAsia" w:ascii="宋体" w:hAnsi="宋体" w:eastAsia="宋体" w:cs="宋体"/>
          <w:color w:val="auto"/>
          <w:spacing w:val="-1"/>
          <w:sz w:val="24"/>
          <w:szCs w:val="24"/>
          <w:highlight w:val="none"/>
          <w:u w:val="single"/>
        </w:rPr>
        <w:t>招标工程量清单</w:t>
      </w:r>
      <w:r>
        <w:rPr>
          <w:rFonts w:hint="eastAsia" w:ascii="宋体" w:hAnsi="宋体" w:eastAsia="宋体" w:cs="宋体"/>
          <w:color w:val="auto"/>
          <w:spacing w:val="-1"/>
          <w:sz w:val="24"/>
          <w:szCs w:val="24"/>
          <w:highlight w:val="none"/>
        </w:rPr>
        <w:t>：</w:t>
      </w:r>
    </w:p>
    <w:p w14:paraId="716E56A2">
      <w:pPr>
        <w:pageBreakBefore w:val="0"/>
        <w:kinsoku/>
        <w:wordWrap w:val="0"/>
        <w:overflowPunct/>
        <w:topLinePunct w:val="0"/>
        <w:bidi w:val="0"/>
        <w:spacing w:before="12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w:t>
      </w:r>
      <w:r>
        <w:rPr>
          <w:rFonts w:hint="eastAsia" w:ascii="宋体" w:hAnsi="宋体" w:eastAsia="宋体" w:cs="宋体"/>
          <w:color w:val="auto"/>
          <w:spacing w:val="-1"/>
          <w:sz w:val="24"/>
          <w:szCs w:val="24"/>
          <w:highlight w:val="none"/>
          <w:lang w:val="en-US" w:eastAsia="zh-CN"/>
        </w:rPr>
        <w:t xml:space="preserve">/T </w:t>
      </w:r>
      <w:r>
        <w:rPr>
          <w:rFonts w:hint="eastAsia" w:ascii="宋体" w:hAnsi="宋体" w:eastAsia="宋体" w:cs="宋体"/>
          <w:color w:val="auto"/>
          <w:spacing w:val="-1"/>
          <w:sz w:val="24"/>
          <w:szCs w:val="24"/>
          <w:highlight w:val="none"/>
        </w:rPr>
        <w:t>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4"/>
          <w:sz w:val="24"/>
          <w:szCs w:val="24"/>
          <w:highlight w:val="none"/>
        </w:rPr>
        <w:t>）；</w:t>
      </w:r>
    </w:p>
    <w:p w14:paraId="596C9F0B">
      <w:pPr>
        <w:pageBreakBefore w:val="0"/>
        <w:kinsoku/>
        <w:wordWrap w:val="0"/>
        <w:overflowPunct/>
        <w:topLinePunct w:val="0"/>
        <w:bidi w:val="0"/>
        <w:spacing w:before="115" w:line="299" w:lineRule="auto"/>
        <w:ind w:firstLine="49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（2）投标人应对招标人提供的工程量清单进行认真细致的复核。这种复核包括对</w:t>
      </w:r>
      <w:r>
        <w:rPr>
          <w:rFonts w:hint="eastAsia" w:ascii="宋体" w:hAnsi="宋体" w:eastAsia="宋体" w:cs="宋体"/>
          <w:color w:val="auto"/>
          <w:spacing w:val="-1"/>
          <w:sz w:val="24"/>
          <w:szCs w:val="24"/>
          <w:highlight w:val="none"/>
        </w:rPr>
        <w:t>招标人提供的工程量清单中的子目编码、子目名称、子</w:t>
      </w:r>
      <w:r>
        <w:rPr>
          <w:rFonts w:hint="eastAsia" w:ascii="宋体" w:hAnsi="宋体" w:eastAsia="宋体" w:cs="宋体"/>
          <w:color w:val="auto"/>
          <w:spacing w:val="-2"/>
          <w:sz w:val="24"/>
          <w:szCs w:val="24"/>
          <w:highlight w:val="none"/>
        </w:rPr>
        <w:t>目特征描述、计量单位、工程量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的准确性以及可能存在的任何书写、打印错误进行检查</w:t>
      </w:r>
      <w:r>
        <w:rPr>
          <w:rFonts w:hint="eastAsia" w:ascii="宋体" w:hAnsi="宋体" w:eastAsia="宋体" w:cs="宋体"/>
          <w:color w:val="auto"/>
          <w:spacing w:val="-2"/>
          <w:sz w:val="24"/>
          <w:szCs w:val="24"/>
          <w:highlight w:val="none"/>
        </w:rPr>
        <w:t>和复核，特别是对“分部分项工</w:t>
      </w:r>
      <w:r>
        <w:rPr>
          <w:rFonts w:hint="eastAsia" w:ascii="宋体" w:hAnsi="宋体" w:eastAsia="宋体" w:cs="宋体"/>
          <w:color w:val="auto"/>
          <w:spacing w:val="-1"/>
          <w:sz w:val="24"/>
          <w:szCs w:val="24"/>
          <w:highlight w:val="none"/>
        </w:rPr>
        <w:t>程量清单与计价表”中每个工作子目的工程量进</w:t>
      </w:r>
      <w:r>
        <w:rPr>
          <w:rFonts w:hint="eastAsia" w:ascii="宋体" w:hAnsi="宋体" w:eastAsia="宋体" w:cs="宋体"/>
          <w:color w:val="auto"/>
          <w:spacing w:val="-2"/>
          <w:sz w:val="24"/>
          <w:szCs w:val="24"/>
          <w:highlight w:val="none"/>
        </w:rPr>
        <w:t>行重新计算和校核。如果投标人经过检</w:t>
      </w:r>
      <w:r>
        <w:rPr>
          <w:rFonts w:hint="eastAsia" w:ascii="宋体" w:hAnsi="宋体" w:eastAsia="宋体" w:cs="宋体"/>
          <w:color w:val="auto"/>
          <w:spacing w:val="-1"/>
          <w:sz w:val="24"/>
          <w:szCs w:val="24"/>
          <w:highlight w:val="none"/>
        </w:rPr>
        <w:t>查和复核以后认为招标人提供的工程量清单存在</w:t>
      </w:r>
      <w:r>
        <w:rPr>
          <w:rFonts w:hint="eastAsia" w:ascii="宋体" w:hAnsi="宋体" w:eastAsia="宋体" w:cs="宋体"/>
          <w:color w:val="auto"/>
          <w:spacing w:val="-2"/>
          <w:sz w:val="24"/>
          <w:szCs w:val="24"/>
          <w:highlight w:val="none"/>
        </w:rPr>
        <w:t>差异，则投标人应将此类差异的详细情</w:t>
      </w:r>
      <w:r>
        <w:rPr>
          <w:rFonts w:hint="eastAsia" w:ascii="宋体" w:hAnsi="宋体" w:eastAsia="宋体" w:cs="宋体"/>
          <w:color w:val="auto"/>
          <w:spacing w:val="-8"/>
          <w:sz w:val="24"/>
          <w:szCs w:val="24"/>
          <w:highlight w:val="none"/>
        </w:rPr>
        <w:t>况连同按“投标须知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8"/>
          <w:sz w:val="24"/>
          <w:szCs w:val="24"/>
          <w:highlight w:val="none"/>
        </w:rPr>
        <w:t>”规定提交的要求招标人澄清的其他</w:t>
      </w:r>
      <w:r>
        <w:rPr>
          <w:rFonts w:hint="eastAsia" w:ascii="宋体" w:hAnsi="宋体" w:eastAsia="宋体" w:cs="宋体"/>
          <w:color w:val="auto"/>
          <w:spacing w:val="-9"/>
          <w:sz w:val="24"/>
          <w:szCs w:val="24"/>
          <w:highlight w:val="none"/>
        </w:rPr>
        <w:t>问题一起提交给招标人，招标人</w:t>
      </w:r>
      <w:r>
        <w:rPr>
          <w:rFonts w:hint="eastAsia" w:ascii="宋体" w:hAnsi="宋体" w:eastAsia="宋体" w:cs="宋体"/>
          <w:color w:val="auto"/>
          <w:spacing w:val="-2"/>
          <w:sz w:val="24"/>
          <w:szCs w:val="24"/>
          <w:highlight w:val="none"/>
        </w:rPr>
        <w:t>将根据实际情况决定是否颁发</w:t>
      </w:r>
      <w:r>
        <w:rPr>
          <w:rFonts w:hint="eastAsia" w:ascii="宋体" w:hAnsi="宋体" w:eastAsia="宋体" w:cs="宋体"/>
          <w:color w:val="auto"/>
          <w:spacing w:val="-2"/>
          <w:sz w:val="24"/>
          <w:szCs w:val="24"/>
          <w:highlight w:val="none"/>
          <w:u w:val="single"/>
        </w:rPr>
        <w:t>工程量清单</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8"/>
          <w:sz w:val="24"/>
          <w:szCs w:val="24"/>
          <w:highlight w:val="none"/>
          <w:lang w:eastAsia="zh-CN"/>
        </w:rPr>
        <w:t>最高投标限价</w:t>
      </w:r>
      <w:r>
        <w:rPr>
          <w:rFonts w:hint="eastAsia" w:ascii="宋体" w:hAnsi="宋体" w:eastAsia="宋体" w:cs="宋体"/>
          <w:color w:val="auto"/>
          <w:spacing w:val="-8"/>
          <w:sz w:val="24"/>
          <w:szCs w:val="24"/>
          <w:highlight w:val="none"/>
        </w:rPr>
        <w:t>的</w:t>
      </w:r>
      <w:r>
        <w:rPr>
          <w:rFonts w:hint="eastAsia" w:ascii="宋体" w:hAnsi="宋体" w:eastAsia="宋体" w:cs="宋体"/>
          <w:color w:val="auto"/>
          <w:spacing w:val="-2"/>
          <w:sz w:val="24"/>
          <w:szCs w:val="24"/>
          <w:highlight w:val="none"/>
        </w:rPr>
        <w:t>补充和(或)修改文件。</w:t>
      </w:r>
    </w:p>
    <w:p w14:paraId="46A0A7F1">
      <w:pPr>
        <w:pageBreakBefore w:val="0"/>
        <w:kinsoku/>
        <w:wordWrap w:val="0"/>
        <w:overflowPunct/>
        <w:topLinePunct w:val="0"/>
        <w:bidi w:val="0"/>
        <w:spacing w:before="79" w:line="263" w:lineRule="auto"/>
        <w:ind w:left="2" w:right="2"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（3）本招标工程量清单措施项目中的</w:t>
      </w:r>
      <w:r>
        <w:rPr>
          <w:rFonts w:hint="eastAsia" w:ascii="宋体" w:hAnsi="宋体" w:eastAsia="宋体" w:cs="宋体"/>
          <w:b/>
          <w:bCs/>
          <w:color w:val="auto"/>
          <w:spacing w:val="-6"/>
          <w:sz w:val="24"/>
          <w:szCs w:val="24"/>
          <w:highlight w:val="none"/>
          <w:u w:val="single"/>
        </w:rPr>
        <w:t>暂列金额、暂估价</w:t>
      </w:r>
      <w:r>
        <w:rPr>
          <w:rFonts w:hint="eastAsia" w:ascii="宋体" w:hAnsi="宋体" w:eastAsia="宋体" w:cs="宋体"/>
          <w:color w:val="auto"/>
          <w:spacing w:val="-2"/>
          <w:sz w:val="24"/>
          <w:szCs w:val="24"/>
          <w:highlight w:val="none"/>
        </w:rPr>
        <w:t>不得作为竞争性费用，投标报价必须按本招标工程量清</w:t>
      </w:r>
      <w:r>
        <w:rPr>
          <w:rFonts w:hint="eastAsia" w:ascii="宋体" w:hAnsi="宋体" w:eastAsia="宋体" w:cs="宋体"/>
          <w:color w:val="auto"/>
          <w:spacing w:val="-3"/>
          <w:sz w:val="24"/>
          <w:szCs w:val="24"/>
          <w:highlight w:val="none"/>
        </w:rPr>
        <w:t>单规定</w:t>
      </w:r>
      <w:r>
        <w:rPr>
          <w:rFonts w:hint="eastAsia" w:ascii="宋体" w:hAnsi="宋体" w:eastAsia="宋体" w:cs="宋体"/>
          <w:color w:val="auto"/>
          <w:spacing w:val="-2"/>
          <w:sz w:val="24"/>
          <w:szCs w:val="24"/>
          <w:highlight w:val="none"/>
        </w:rPr>
        <w:t>的金额填</w:t>
      </w:r>
      <w:r>
        <w:rPr>
          <w:rFonts w:hint="eastAsia" w:ascii="宋体" w:hAnsi="宋体" w:eastAsia="宋体" w:cs="宋体"/>
          <w:color w:val="auto"/>
          <w:spacing w:val="-3"/>
          <w:sz w:val="24"/>
          <w:szCs w:val="24"/>
          <w:highlight w:val="none"/>
        </w:rPr>
        <w:t>报。</w:t>
      </w:r>
    </w:p>
    <w:p w14:paraId="597A2C30">
      <w:pPr>
        <w:pageBreakBefore w:val="0"/>
        <w:kinsoku/>
        <w:wordWrap w:val="0"/>
        <w:overflowPunct/>
        <w:topLinePunct w:val="0"/>
        <w:bidi w:val="0"/>
        <w:spacing w:before="118" w:line="265" w:lineRule="auto"/>
        <w:ind w:left="7" w:right="4" w:firstLine="48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（4）投标报价使用的表格格式须按照《建设工程工程量清单计价</w:t>
      </w:r>
      <w:r>
        <w:rPr>
          <w:rFonts w:hint="eastAsia" w:ascii="宋体" w:hAnsi="宋体" w:eastAsia="宋体" w:cs="宋体"/>
          <w:color w:val="auto"/>
          <w:spacing w:val="-2"/>
          <w:sz w:val="24"/>
          <w:szCs w:val="24"/>
          <w:highlight w:val="none"/>
          <w:lang w:val="en-US" w:eastAsia="zh-CN"/>
        </w:rPr>
        <w:t>标准</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
          <w:sz w:val="24"/>
          <w:szCs w:val="24"/>
          <w:highlight w:val="none"/>
        </w:rPr>
        <w:t>（GB</w:t>
      </w:r>
      <w:r>
        <w:rPr>
          <w:rFonts w:hint="eastAsia" w:ascii="宋体" w:hAnsi="宋体" w:eastAsia="宋体" w:cs="宋体"/>
          <w:color w:val="auto"/>
          <w:spacing w:val="-1"/>
          <w:sz w:val="24"/>
          <w:szCs w:val="24"/>
          <w:highlight w:val="none"/>
          <w:lang w:val="en-US" w:eastAsia="zh-CN"/>
        </w:rPr>
        <w:t xml:space="preserve">/T </w:t>
      </w:r>
      <w:r>
        <w:rPr>
          <w:rFonts w:hint="eastAsia" w:ascii="宋体" w:hAnsi="宋体" w:eastAsia="宋体" w:cs="宋体"/>
          <w:color w:val="auto"/>
          <w:spacing w:val="-1"/>
          <w:sz w:val="24"/>
          <w:szCs w:val="24"/>
          <w:highlight w:val="none"/>
        </w:rPr>
        <w:t>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6"/>
          <w:sz w:val="24"/>
          <w:szCs w:val="24"/>
          <w:highlight w:val="none"/>
        </w:rPr>
        <w:t>。</w:t>
      </w:r>
    </w:p>
    <w:p w14:paraId="48E91CD9">
      <w:pPr>
        <w:pageBreakBefore w:val="0"/>
        <w:kinsoku/>
        <w:wordWrap w:val="0"/>
        <w:overflowPunct/>
        <w:topLinePunct w:val="0"/>
        <w:bidi w:val="0"/>
        <w:spacing w:before="107" w:line="286" w:lineRule="auto"/>
        <w:ind w:right="4" w:firstLine="492"/>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（5）《房屋建筑与装饰工程工程量计算标准》(GB/T 50854-2024)、《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6CA88270">
      <w:pPr>
        <w:pageBreakBefore w:val="0"/>
        <w:kinsoku/>
        <w:wordWrap w:val="0"/>
        <w:overflowPunct/>
        <w:topLinePunct w:val="0"/>
        <w:bidi w:val="0"/>
        <w:spacing w:before="146" w:line="221"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（6）施工图及相关资料；</w:t>
      </w:r>
    </w:p>
    <w:p w14:paraId="479F4C24">
      <w:pPr>
        <w:pageBreakBefore w:val="0"/>
        <w:kinsoku/>
        <w:wordWrap w:val="0"/>
        <w:overflowPunct/>
        <w:topLinePunct w:val="0"/>
        <w:bidi w:val="0"/>
        <w:spacing w:before="153"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（7）招标文件；</w:t>
      </w:r>
    </w:p>
    <w:p w14:paraId="43BDEA27">
      <w:pPr>
        <w:pageBreakBefore w:val="0"/>
        <w:kinsoku/>
        <w:wordWrap w:val="0"/>
        <w:overflowPunct/>
        <w:topLinePunct w:val="0"/>
        <w:bidi w:val="0"/>
        <w:spacing w:before="155"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（8）施工现场情况、地勘水文资料、工程特点及常规施工方案；</w:t>
      </w:r>
    </w:p>
    <w:p w14:paraId="5EE770F4">
      <w:pPr>
        <w:pageBreakBefore w:val="0"/>
        <w:kinsoku/>
        <w:wordWrap w:val="0"/>
        <w:overflowPunct/>
        <w:topLinePunct w:val="0"/>
        <w:bidi w:val="0"/>
        <w:spacing w:before="15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（9）与建设工程有关的标准、规范、技术资料、材料设备信息价或市场价格等</w:t>
      </w:r>
      <w:r>
        <w:rPr>
          <w:rFonts w:hint="eastAsia" w:ascii="宋体" w:hAnsi="宋体" w:eastAsia="宋体" w:cs="宋体"/>
          <w:color w:val="auto"/>
          <w:spacing w:val="-2"/>
          <w:sz w:val="24"/>
          <w:szCs w:val="24"/>
          <w:highlight w:val="none"/>
        </w:rPr>
        <w:t>。</w:t>
      </w:r>
    </w:p>
    <w:p w14:paraId="1CEA0427">
      <w:pPr>
        <w:pageBreakBefore w:val="0"/>
        <w:kinsoku/>
        <w:wordWrap w:val="0"/>
        <w:overflowPunct/>
        <w:topLinePunct w:val="0"/>
        <w:bidi w:val="0"/>
        <w:spacing w:line="219" w:lineRule="auto"/>
        <w:rPr>
          <w:rFonts w:hint="eastAsia" w:ascii="宋体" w:hAnsi="宋体" w:eastAsia="宋体" w:cs="宋体"/>
          <w:color w:val="auto"/>
          <w:sz w:val="24"/>
          <w:szCs w:val="24"/>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341BC52A">
      <w:pPr>
        <w:pStyle w:val="3"/>
        <w:pageBreakBefore w:val="0"/>
        <w:kinsoku/>
        <w:wordWrap w:val="0"/>
        <w:overflowPunct/>
        <w:topLinePunct w:val="0"/>
        <w:bidi w:val="0"/>
        <w:spacing w:line="304" w:lineRule="auto"/>
        <w:rPr>
          <w:rFonts w:hint="eastAsia" w:ascii="宋体" w:hAnsi="宋体" w:eastAsia="宋体" w:cs="宋体"/>
          <w:color w:val="auto"/>
          <w:highlight w:val="none"/>
        </w:rPr>
      </w:pPr>
    </w:p>
    <w:p w14:paraId="3841A216">
      <w:pPr>
        <w:pageBreakBefore w:val="0"/>
        <w:kinsoku/>
        <w:wordWrap w:val="0"/>
        <w:overflowPunct/>
        <w:topLinePunct w:val="0"/>
        <w:bidi w:val="0"/>
        <w:spacing w:before="78" w:line="219" w:lineRule="auto"/>
        <w:ind w:left="3357"/>
        <w:outlineLvl w:val="0"/>
        <w:rPr>
          <w:rFonts w:hint="eastAsia" w:ascii="宋体" w:hAnsi="宋体" w:eastAsia="宋体" w:cs="宋体"/>
          <w:color w:val="auto"/>
          <w:sz w:val="24"/>
          <w:szCs w:val="24"/>
          <w:highlight w:val="none"/>
        </w:rPr>
      </w:pPr>
      <w:bookmarkStart w:id="222" w:name="_Toc17955"/>
      <w:r>
        <w:rPr>
          <w:rFonts w:hint="eastAsia" w:ascii="宋体" w:hAnsi="宋体" w:eastAsia="宋体" w:cs="宋体"/>
          <w:b/>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投标文件格式</w:t>
      </w:r>
      <w:bookmarkEnd w:id="222"/>
    </w:p>
    <w:p w14:paraId="15B208D3">
      <w:pPr>
        <w:pStyle w:val="3"/>
        <w:pageBreakBefore w:val="0"/>
        <w:kinsoku/>
        <w:wordWrap w:val="0"/>
        <w:overflowPunct/>
        <w:topLinePunct w:val="0"/>
        <w:bidi w:val="0"/>
        <w:spacing w:line="302" w:lineRule="auto"/>
        <w:jc w:val="right"/>
        <w:rPr>
          <w:rFonts w:hint="eastAsia" w:ascii="宋体" w:hAnsi="宋体" w:eastAsia="宋体" w:cs="宋体"/>
          <w:color w:val="auto"/>
          <w:highlight w:val="none"/>
        </w:rPr>
      </w:pPr>
    </w:p>
    <w:p w14:paraId="00706EC0">
      <w:pPr>
        <w:pageBreakBefore w:val="0"/>
        <w:kinsoku/>
        <w:wordWrap w:val="0"/>
        <w:overflowPunct/>
        <w:topLinePunct w:val="0"/>
        <w:bidi w:val="0"/>
        <w:spacing w:before="78" w:line="220" w:lineRule="auto"/>
        <w:outlineLvl w:val="2"/>
        <w:rPr>
          <w:rFonts w:hint="eastAsia" w:ascii="宋体" w:hAnsi="宋体" w:eastAsia="宋体" w:cs="宋体"/>
          <w:color w:val="auto"/>
          <w:sz w:val="24"/>
          <w:szCs w:val="24"/>
          <w:highlight w:val="none"/>
        </w:rPr>
      </w:pPr>
      <w:bookmarkStart w:id="223" w:name="_Toc20241"/>
      <w:r>
        <w:rPr>
          <w:rFonts w:hint="eastAsia" w:ascii="宋体" w:hAnsi="宋体" w:eastAsia="宋体" w:cs="宋体"/>
          <w:b/>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封面</w:t>
      </w:r>
      <w:bookmarkEnd w:id="223"/>
    </w:p>
    <w:p w14:paraId="0DD9B6DB">
      <w:pPr>
        <w:pStyle w:val="3"/>
        <w:pageBreakBefore w:val="0"/>
        <w:kinsoku/>
        <w:wordWrap w:val="0"/>
        <w:overflowPunct/>
        <w:topLinePunct w:val="0"/>
        <w:bidi w:val="0"/>
        <w:spacing w:line="258" w:lineRule="auto"/>
        <w:rPr>
          <w:rFonts w:hint="eastAsia" w:ascii="宋体" w:hAnsi="宋体" w:eastAsia="宋体" w:cs="宋体"/>
          <w:color w:val="auto"/>
          <w:highlight w:val="none"/>
        </w:rPr>
      </w:pPr>
    </w:p>
    <w:p w14:paraId="30B4EFC1">
      <w:pPr>
        <w:pStyle w:val="3"/>
        <w:pageBreakBefore w:val="0"/>
        <w:kinsoku/>
        <w:wordWrap w:val="0"/>
        <w:overflowPunct/>
        <w:topLinePunct w:val="0"/>
        <w:bidi w:val="0"/>
        <w:spacing w:line="259" w:lineRule="auto"/>
        <w:rPr>
          <w:rFonts w:hint="eastAsia" w:ascii="宋体" w:hAnsi="宋体" w:eastAsia="宋体" w:cs="宋体"/>
          <w:color w:val="auto"/>
          <w:highlight w:val="none"/>
        </w:rPr>
      </w:pPr>
    </w:p>
    <w:p w14:paraId="2BA24286">
      <w:pPr>
        <w:pStyle w:val="3"/>
        <w:pageBreakBefore w:val="0"/>
        <w:kinsoku/>
        <w:wordWrap w:val="0"/>
        <w:overflowPunct/>
        <w:topLinePunct w:val="0"/>
        <w:bidi w:val="0"/>
        <w:spacing w:line="259" w:lineRule="auto"/>
        <w:rPr>
          <w:rFonts w:hint="eastAsia" w:ascii="宋体" w:hAnsi="宋体" w:eastAsia="宋体" w:cs="宋体"/>
          <w:color w:val="auto"/>
          <w:highlight w:val="none"/>
        </w:rPr>
      </w:pPr>
    </w:p>
    <w:p w14:paraId="1B97EE3D">
      <w:pPr>
        <w:pageBreakBefore w:val="0"/>
        <w:kinsoku/>
        <w:wordWrap w:val="0"/>
        <w:overflowPunct/>
        <w:topLinePunct w:val="0"/>
        <w:bidi w:val="0"/>
        <w:spacing w:before="153" w:line="225" w:lineRule="auto"/>
        <w:ind w:left="-1" w:leftChars="0" w:firstLine="0" w:firstLineChars="0"/>
        <w:jc w:val="center"/>
        <w:rPr>
          <w:rFonts w:hint="eastAsia" w:ascii="宋体" w:hAnsi="宋体" w:eastAsia="宋体" w:cs="宋体"/>
          <w:color w:val="auto"/>
          <w:sz w:val="47"/>
          <w:szCs w:val="47"/>
          <w:highlight w:val="none"/>
        </w:rPr>
      </w:pPr>
      <w:r>
        <w:rPr>
          <w:rFonts w:hint="eastAsia" w:ascii="宋体" w:hAnsi="宋体" w:eastAsia="宋体" w:cs="宋体"/>
          <w:b/>
          <w:bCs/>
          <w:color w:val="auto"/>
          <w:spacing w:val="8"/>
          <w:sz w:val="47"/>
          <w:szCs w:val="47"/>
          <w:highlight w:val="none"/>
          <w:u w:val="single"/>
          <w:lang w:val="en-US" w:eastAsia="zh-CN"/>
        </w:rPr>
        <w:t xml:space="preserve">       </w:t>
      </w:r>
      <w:r>
        <w:rPr>
          <w:rFonts w:hint="eastAsia" w:ascii="宋体" w:hAnsi="宋体" w:eastAsia="宋体" w:cs="宋体"/>
          <w:b/>
          <w:bCs/>
          <w:color w:val="auto"/>
          <w:spacing w:val="8"/>
          <w:sz w:val="47"/>
          <w:szCs w:val="47"/>
          <w:highlight w:val="none"/>
          <w:u w:val="single"/>
        </w:rPr>
        <w:t>（项目名称</w:t>
      </w:r>
      <w:r>
        <w:rPr>
          <w:rFonts w:hint="eastAsia" w:ascii="宋体" w:hAnsi="宋体" w:eastAsia="宋体" w:cs="宋体"/>
          <w:b/>
          <w:bCs/>
          <w:color w:val="auto"/>
          <w:spacing w:val="-32"/>
          <w:sz w:val="47"/>
          <w:szCs w:val="47"/>
          <w:highlight w:val="none"/>
          <w:u w:val="single"/>
        </w:rPr>
        <w:t>）</w:t>
      </w:r>
      <w:r>
        <w:rPr>
          <w:rFonts w:hint="eastAsia" w:ascii="宋体" w:hAnsi="宋体" w:eastAsia="宋体" w:cs="宋体"/>
          <w:b/>
          <w:bCs/>
          <w:color w:val="auto"/>
          <w:spacing w:val="8"/>
          <w:sz w:val="47"/>
          <w:szCs w:val="47"/>
          <w:highlight w:val="none"/>
        </w:rPr>
        <w:t>招标</w:t>
      </w:r>
    </w:p>
    <w:p w14:paraId="7332F8E4">
      <w:pPr>
        <w:pStyle w:val="3"/>
        <w:pageBreakBefore w:val="0"/>
        <w:kinsoku/>
        <w:wordWrap w:val="0"/>
        <w:overflowPunct/>
        <w:topLinePunct w:val="0"/>
        <w:bidi w:val="0"/>
        <w:spacing w:line="247" w:lineRule="auto"/>
        <w:rPr>
          <w:rFonts w:hint="eastAsia" w:ascii="宋体" w:hAnsi="宋体" w:eastAsia="宋体" w:cs="宋体"/>
          <w:color w:val="auto"/>
          <w:highlight w:val="none"/>
        </w:rPr>
      </w:pPr>
    </w:p>
    <w:p w14:paraId="7ABC2E3D">
      <w:pPr>
        <w:pStyle w:val="3"/>
        <w:pageBreakBefore w:val="0"/>
        <w:kinsoku/>
        <w:wordWrap w:val="0"/>
        <w:overflowPunct/>
        <w:topLinePunct w:val="0"/>
        <w:bidi w:val="0"/>
        <w:spacing w:line="247" w:lineRule="auto"/>
        <w:rPr>
          <w:rFonts w:hint="eastAsia" w:ascii="宋体" w:hAnsi="宋体" w:eastAsia="宋体" w:cs="宋体"/>
          <w:color w:val="auto"/>
          <w:highlight w:val="none"/>
        </w:rPr>
      </w:pPr>
    </w:p>
    <w:p w14:paraId="6E24384B">
      <w:pPr>
        <w:pStyle w:val="3"/>
        <w:pageBreakBefore w:val="0"/>
        <w:kinsoku/>
        <w:wordWrap w:val="0"/>
        <w:overflowPunct/>
        <w:topLinePunct w:val="0"/>
        <w:bidi w:val="0"/>
        <w:spacing w:line="247" w:lineRule="auto"/>
        <w:rPr>
          <w:rFonts w:hint="eastAsia" w:ascii="宋体" w:hAnsi="宋体" w:eastAsia="宋体" w:cs="宋体"/>
          <w:color w:val="auto"/>
          <w:highlight w:val="none"/>
        </w:rPr>
      </w:pPr>
    </w:p>
    <w:p w14:paraId="57625B3E">
      <w:pPr>
        <w:pStyle w:val="3"/>
        <w:pageBreakBefore w:val="0"/>
        <w:kinsoku/>
        <w:wordWrap w:val="0"/>
        <w:overflowPunct/>
        <w:topLinePunct w:val="0"/>
        <w:bidi w:val="0"/>
        <w:spacing w:line="247" w:lineRule="auto"/>
        <w:rPr>
          <w:rFonts w:hint="eastAsia" w:ascii="宋体" w:hAnsi="宋体" w:eastAsia="宋体" w:cs="宋体"/>
          <w:color w:val="auto"/>
          <w:highlight w:val="none"/>
        </w:rPr>
      </w:pPr>
    </w:p>
    <w:p w14:paraId="2E7686F1">
      <w:pPr>
        <w:pStyle w:val="3"/>
        <w:pageBreakBefore w:val="0"/>
        <w:kinsoku/>
        <w:wordWrap w:val="0"/>
        <w:overflowPunct/>
        <w:topLinePunct w:val="0"/>
        <w:bidi w:val="0"/>
        <w:spacing w:line="248" w:lineRule="auto"/>
        <w:rPr>
          <w:rFonts w:hint="eastAsia" w:ascii="宋体" w:hAnsi="宋体" w:eastAsia="宋体" w:cs="宋体"/>
          <w:color w:val="auto"/>
          <w:highlight w:val="none"/>
        </w:rPr>
      </w:pPr>
    </w:p>
    <w:p w14:paraId="46F8403D">
      <w:pPr>
        <w:pageBreakBefore w:val="0"/>
        <w:kinsoku/>
        <w:wordWrap w:val="0"/>
        <w:overflowPunct/>
        <w:topLinePunct w:val="0"/>
        <w:bidi w:val="0"/>
        <w:spacing w:before="231" w:line="223" w:lineRule="auto"/>
        <w:jc w:val="center"/>
        <w:rPr>
          <w:rFonts w:hint="eastAsia" w:ascii="宋体" w:hAnsi="宋体" w:eastAsia="宋体" w:cs="宋体"/>
          <w:color w:val="auto"/>
          <w:sz w:val="71"/>
          <w:szCs w:val="71"/>
          <w:highlight w:val="none"/>
        </w:rPr>
      </w:pPr>
      <w:r>
        <w:rPr>
          <w:rFonts w:hint="eastAsia" w:ascii="宋体" w:hAnsi="宋体" w:eastAsia="宋体" w:cs="宋体"/>
          <w:b/>
          <w:bCs/>
          <w:color w:val="auto"/>
          <w:spacing w:val="-26"/>
          <w:sz w:val="71"/>
          <w:szCs w:val="71"/>
          <w:highlight w:val="none"/>
        </w:rPr>
        <w:t>投</w:t>
      </w:r>
      <w:r>
        <w:rPr>
          <w:rFonts w:hint="eastAsia" w:ascii="宋体" w:hAnsi="宋体" w:eastAsia="宋体" w:cs="宋体"/>
          <w:color w:val="auto"/>
          <w:spacing w:val="22"/>
          <w:sz w:val="71"/>
          <w:szCs w:val="71"/>
          <w:highlight w:val="none"/>
        </w:rPr>
        <w:t xml:space="preserve">  </w:t>
      </w:r>
      <w:r>
        <w:rPr>
          <w:rFonts w:hint="eastAsia" w:ascii="宋体" w:hAnsi="宋体" w:eastAsia="宋体" w:cs="宋体"/>
          <w:b/>
          <w:bCs/>
          <w:color w:val="auto"/>
          <w:spacing w:val="-26"/>
          <w:sz w:val="71"/>
          <w:szCs w:val="71"/>
          <w:highlight w:val="none"/>
        </w:rPr>
        <w:t>标</w:t>
      </w:r>
      <w:r>
        <w:rPr>
          <w:rFonts w:hint="eastAsia" w:ascii="宋体" w:hAnsi="宋体" w:eastAsia="宋体" w:cs="宋体"/>
          <w:color w:val="auto"/>
          <w:spacing w:val="23"/>
          <w:sz w:val="71"/>
          <w:szCs w:val="71"/>
          <w:highlight w:val="none"/>
        </w:rPr>
        <w:t xml:space="preserve">  </w:t>
      </w:r>
      <w:r>
        <w:rPr>
          <w:rFonts w:hint="eastAsia" w:ascii="宋体" w:hAnsi="宋体" w:eastAsia="宋体" w:cs="宋体"/>
          <w:b/>
          <w:bCs/>
          <w:color w:val="auto"/>
          <w:spacing w:val="-26"/>
          <w:sz w:val="71"/>
          <w:szCs w:val="71"/>
          <w:highlight w:val="none"/>
        </w:rPr>
        <w:t>文</w:t>
      </w:r>
      <w:r>
        <w:rPr>
          <w:rFonts w:hint="eastAsia" w:ascii="宋体" w:hAnsi="宋体" w:eastAsia="宋体" w:cs="宋体"/>
          <w:color w:val="auto"/>
          <w:spacing w:val="19"/>
          <w:sz w:val="71"/>
          <w:szCs w:val="71"/>
          <w:highlight w:val="none"/>
        </w:rPr>
        <w:t xml:space="preserve">  </w:t>
      </w:r>
      <w:r>
        <w:rPr>
          <w:rFonts w:hint="eastAsia" w:ascii="宋体" w:hAnsi="宋体" w:eastAsia="宋体" w:cs="宋体"/>
          <w:b/>
          <w:bCs/>
          <w:color w:val="auto"/>
          <w:spacing w:val="-26"/>
          <w:sz w:val="71"/>
          <w:szCs w:val="71"/>
          <w:highlight w:val="none"/>
        </w:rPr>
        <w:t>件</w:t>
      </w:r>
    </w:p>
    <w:p w14:paraId="0E547877">
      <w:pPr>
        <w:pStyle w:val="3"/>
        <w:pageBreakBefore w:val="0"/>
        <w:kinsoku/>
        <w:wordWrap w:val="0"/>
        <w:overflowPunct/>
        <w:topLinePunct w:val="0"/>
        <w:bidi w:val="0"/>
        <w:spacing w:line="293" w:lineRule="auto"/>
        <w:rPr>
          <w:rFonts w:hint="eastAsia" w:ascii="宋体" w:hAnsi="宋体" w:eastAsia="宋体" w:cs="宋体"/>
          <w:color w:val="auto"/>
          <w:highlight w:val="none"/>
        </w:rPr>
      </w:pPr>
    </w:p>
    <w:p w14:paraId="056D96BE">
      <w:pPr>
        <w:pStyle w:val="3"/>
        <w:pageBreakBefore w:val="0"/>
        <w:kinsoku/>
        <w:wordWrap w:val="0"/>
        <w:overflowPunct/>
        <w:topLinePunct w:val="0"/>
        <w:bidi w:val="0"/>
        <w:spacing w:line="293" w:lineRule="auto"/>
        <w:rPr>
          <w:rFonts w:hint="eastAsia" w:ascii="宋体" w:hAnsi="宋体" w:eastAsia="宋体" w:cs="宋体"/>
          <w:color w:val="auto"/>
          <w:highlight w:val="none"/>
        </w:rPr>
      </w:pPr>
    </w:p>
    <w:p w14:paraId="31B75796">
      <w:pPr>
        <w:pageBreakBefore w:val="0"/>
        <w:kinsoku/>
        <w:wordWrap w:val="0"/>
        <w:overflowPunct/>
        <w:topLinePunct w:val="0"/>
        <w:bidi w:val="0"/>
        <w:spacing w:before="152" w:line="223" w:lineRule="auto"/>
        <w:jc w:val="center"/>
        <w:rPr>
          <w:rFonts w:hint="eastAsia" w:ascii="宋体" w:hAnsi="宋体" w:eastAsia="宋体" w:cs="宋体"/>
          <w:b/>
          <w:bCs/>
          <w:color w:val="auto"/>
          <w:spacing w:val="2"/>
          <w:sz w:val="40"/>
          <w:szCs w:val="40"/>
          <w:highlight w:val="none"/>
        </w:rPr>
      </w:pPr>
      <w:bookmarkStart w:id="224" w:name="bookmark105"/>
      <w:bookmarkEnd w:id="224"/>
      <w:r>
        <w:rPr>
          <w:rFonts w:hint="eastAsia" w:ascii="宋体" w:hAnsi="宋体" w:eastAsia="宋体" w:cs="宋体"/>
          <w:b/>
          <w:bCs/>
          <w:color w:val="auto"/>
          <w:spacing w:val="2"/>
          <w:sz w:val="40"/>
          <w:szCs w:val="40"/>
          <w:highlight w:val="none"/>
        </w:rPr>
        <w:t>（商务标书／经济标书／施工组织设计</w:t>
      </w:r>
      <w:r>
        <w:rPr>
          <w:rFonts w:hint="eastAsia" w:ascii="宋体" w:hAnsi="宋体" w:eastAsia="宋体" w:cs="宋体"/>
          <w:b/>
          <w:bCs/>
          <w:color w:val="auto"/>
          <w:spacing w:val="2"/>
          <w:sz w:val="40"/>
          <w:szCs w:val="40"/>
          <w:highlight w:val="none"/>
          <w:lang w:val="en-US" w:eastAsia="zh-CN"/>
        </w:rPr>
        <w:t>/定标文件</w:t>
      </w:r>
      <w:r>
        <w:rPr>
          <w:rFonts w:hint="eastAsia" w:ascii="宋体" w:hAnsi="宋体" w:eastAsia="宋体" w:cs="宋体"/>
          <w:b/>
          <w:bCs/>
          <w:color w:val="auto"/>
          <w:spacing w:val="2"/>
          <w:sz w:val="40"/>
          <w:szCs w:val="40"/>
          <w:highlight w:val="none"/>
        </w:rPr>
        <w:t>）</w:t>
      </w:r>
    </w:p>
    <w:p w14:paraId="7B8A7EE1">
      <w:pPr>
        <w:pageBreakBefore w:val="0"/>
        <w:kinsoku/>
        <w:wordWrap w:val="0"/>
        <w:overflowPunct/>
        <w:topLinePunct w:val="0"/>
        <w:bidi w:val="0"/>
        <w:rPr>
          <w:rFonts w:hint="eastAsia"/>
          <w:color w:val="auto"/>
          <w:highlight w:val="none"/>
        </w:rPr>
      </w:pPr>
    </w:p>
    <w:p w14:paraId="1260FD39">
      <w:pPr>
        <w:pageBreakBefore w:val="0"/>
        <w:kinsoku/>
        <w:wordWrap w:val="0"/>
        <w:overflowPunct/>
        <w:topLinePunct w:val="0"/>
        <w:bidi w:val="0"/>
        <w:rPr>
          <w:rFonts w:hint="eastAsia"/>
          <w:color w:val="auto"/>
          <w:highlight w:val="none"/>
        </w:rPr>
      </w:pPr>
    </w:p>
    <w:p w14:paraId="6A252881">
      <w:pPr>
        <w:pageBreakBefore w:val="0"/>
        <w:kinsoku/>
        <w:wordWrap w:val="0"/>
        <w:overflowPunct/>
        <w:topLinePunct w:val="0"/>
        <w:bidi w:val="0"/>
        <w:rPr>
          <w:rFonts w:hint="eastAsia"/>
          <w:color w:val="auto"/>
          <w:highlight w:val="none"/>
        </w:rPr>
      </w:pPr>
    </w:p>
    <w:p w14:paraId="31CDB2AA">
      <w:pPr>
        <w:pageBreakBefore w:val="0"/>
        <w:kinsoku/>
        <w:wordWrap w:val="0"/>
        <w:overflowPunct/>
        <w:topLinePunct w:val="0"/>
        <w:bidi w:val="0"/>
        <w:rPr>
          <w:rFonts w:hint="eastAsia"/>
          <w:color w:val="auto"/>
          <w:highlight w:val="none"/>
        </w:rPr>
      </w:pPr>
    </w:p>
    <w:p w14:paraId="07041ABC">
      <w:pPr>
        <w:pageBreakBefore w:val="0"/>
        <w:kinsoku/>
        <w:wordWrap w:val="0"/>
        <w:overflowPunct/>
        <w:topLinePunct w:val="0"/>
        <w:bidi w:val="0"/>
        <w:rPr>
          <w:rFonts w:hint="eastAsia"/>
          <w:color w:val="auto"/>
          <w:highlight w:val="none"/>
        </w:rPr>
      </w:pPr>
    </w:p>
    <w:p w14:paraId="6F4468B5">
      <w:pPr>
        <w:pageBreakBefore w:val="0"/>
        <w:kinsoku/>
        <w:wordWrap w:val="0"/>
        <w:overflowPunct/>
        <w:topLinePunct w:val="0"/>
        <w:bidi w:val="0"/>
        <w:rPr>
          <w:rFonts w:hint="eastAsia"/>
          <w:color w:val="auto"/>
          <w:highlight w:val="none"/>
        </w:rPr>
      </w:pPr>
    </w:p>
    <w:p w14:paraId="57999A62">
      <w:pPr>
        <w:pageBreakBefore w:val="0"/>
        <w:kinsoku/>
        <w:wordWrap w:val="0"/>
        <w:overflowPunct/>
        <w:topLinePunct w:val="0"/>
        <w:bidi w:val="0"/>
        <w:rPr>
          <w:rFonts w:hint="eastAsia"/>
          <w:color w:val="auto"/>
          <w:highlight w:val="none"/>
        </w:rPr>
      </w:pPr>
    </w:p>
    <w:p w14:paraId="5D805491">
      <w:pPr>
        <w:pageBreakBefore w:val="0"/>
        <w:kinsoku/>
        <w:wordWrap w:val="0"/>
        <w:overflowPunct/>
        <w:topLinePunct w:val="0"/>
        <w:bidi w:val="0"/>
        <w:rPr>
          <w:rFonts w:hint="eastAsia"/>
          <w:color w:val="auto"/>
          <w:highlight w:val="none"/>
        </w:rPr>
      </w:pPr>
    </w:p>
    <w:p w14:paraId="72847790">
      <w:pPr>
        <w:pStyle w:val="39"/>
        <w:pageBreakBefore w:val="0"/>
        <w:widowControl w:val="0"/>
        <w:kinsoku/>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42CFCC09">
      <w:pPr>
        <w:pStyle w:val="39"/>
        <w:pageBreakBefore w:val="0"/>
        <w:widowControl w:val="0"/>
        <w:kinsoku/>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64A740DA">
      <w:pPr>
        <w:pStyle w:val="39"/>
        <w:pageBreakBefore w:val="0"/>
        <w:widowControl w:val="0"/>
        <w:kinsoku/>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AC288DB">
      <w:pPr>
        <w:pStyle w:val="39"/>
        <w:pageBreakBefore w:val="0"/>
        <w:widowControl w:val="0"/>
        <w:kinsoku/>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2798870D">
      <w:pPr>
        <w:pStyle w:val="39"/>
        <w:pageBreakBefore w:val="0"/>
        <w:widowControl w:val="0"/>
        <w:kinsoku/>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0D0A995E">
      <w:pPr>
        <w:pStyle w:val="39"/>
        <w:pageBreakBefore w:val="0"/>
        <w:widowControl w:val="0"/>
        <w:kinsoku/>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z w:val="32"/>
          <w:highlight w:val="none"/>
          <w:u w:val="single"/>
        </w:rPr>
      </w:pPr>
    </w:p>
    <w:p w14:paraId="7B263C08">
      <w:pPr>
        <w:pStyle w:val="39"/>
        <w:pageBreakBefore w:val="0"/>
        <w:widowControl w:val="0"/>
        <w:kinsoku/>
        <w:wordWrap w:val="0"/>
        <w:overflowPunct/>
        <w:topLinePunct w:val="0"/>
        <w:bidi w:val="0"/>
        <w:adjustRightInd w:val="0"/>
        <w:snapToGrid w:val="0"/>
        <w:spacing w:line="360" w:lineRule="auto"/>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047CB103">
      <w:pPr>
        <w:pageBreakBefore w:val="0"/>
        <w:kinsoku/>
        <w:wordWrap w:val="0"/>
        <w:overflowPunct/>
        <w:topLinePunct w:val="0"/>
        <w:bidi w:val="0"/>
        <w:rPr>
          <w:rFonts w:hint="eastAsia"/>
          <w:color w:val="auto"/>
          <w:highlight w:val="none"/>
        </w:rPr>
      </w:pPr>
    </w:p>
    <w:p w14:paraId="161DBC52">
      <w:pPr>
        <w:pageBreakBefore w:val="0"/>
        <w:kinsoku/>
        <w:wordWrap w:val="0"/>
        <w:overflowPunct/>
        <w:topLinePunct w:val="0"/>
        <w:bidi w:val="0"/>
        <w:outlineLvl w:val="9"/>
        <w:rPr>
          <w:rFonts w:hint="eastAsia"/>
          <w:color w:val="auto"/>
          <w:highlight w:val="none"/>
        </w:rPr>
      </w:pPr>
    </w:p>
    <w:p w14:paraId="4C360526">
      <w:pPr>
        <w:pageBreakBefore w:val="0"/>
        <w:kinsoku/>
        <w:wordWrap w:val="0"/>
        <w:overflowPunct/>
        <w:topLinePunct w:val="0"/>
        <w:bidi w:val="0"/>
        <w:spacing w:line="223" w:lineRule="auto"/>
        <w:rPr>
          <w:rFonts w:hint="eastAsia" w:ascii="宋体" w:hAnsi="宋体" w:eastAsia="宋体" w:cs="宋体"/>
          <w:color w:val="auto"/>
          <w:sz w:val="47"/>
          <w:szCs w:val="47"/>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3CA7821E">
      <w:pPr>
        <w:pageBreakBefore w:val="0"/>
        <w:kinsoku/>
        <w:wordWrap w:val="0"/>
        <w:overflowPunct/>
        <w:topLinePunct w:val="0"/>
        <w:bidi w:val="0"/>
        <w:spacing w:before="78" w:line="220" w:lineRule="auto"/>
        <w:outlineLvl w:val="2"/>
        <w:rPr>
          <w:rFonts w:hint="eastAsia" w:ascii="宋体" w:hAnsi="宋体" w:eastAsia="宋体" w:cs="宋体"/>
          <w:b/>
          <w:bCs/>
          <w:color w:val="auto"/>
          <w:spacing w:val="-4"/>
          <w:sz w:val="24"/>
          <w:szCs w:val="24"/>
          <w:highlight w:val="none"/>
        </w:rPr>
      </w:pPr>
      <w:bookmarkStart w:id="225" w:name="_Toc28978"/>
      <w:r>
        <w:rPr>
          <w:rFonts w:hint="eastAsia" w:ascii="宋体" w:hAnsi="宋体" w:eastAsia="宋体" w:cs="宋体"/>
          <w:b/>
          <w:bCs/>
          <w:color w:val="auto"/>
          <w:spacing w:val="-4"/>
          <w:sz w:val="24"/>
          <w:szCs w:val="24"/>
          <w:highlight w:val="none"/>
        </w:rPr>
        <w:t>格式二 投标函</w:t>
      </w:r>
      <w:bookmarkEnd w:id="225"/>
    </w:p>
    <w:p w14:paraId="3DF173B2">
      <w:pPr>
        <w:pStyle w:val="3"/>
        <w:pageBreakBefore w:val="0"/>
        <w:kinsoku/>
        <w:wordWrap w:val="0"/>
        <w:overflowPunct/>
        <w:topLinePunct w:val="0"/>
        <w:bidi w:val="0"/>
        <w:spacing w:line="261" w:lineRule="auto"/>
        <w:rPr>
          <w:rFonts w:hint="eastAsia" w:ascii="宋体" w:hAnsi="宋体" w:eastAsia="宋体" w:cs="宋体"/>
          <w:color w:val="auto"/>
          <w:highlight w:val="none"/>
        </w:rPr>
      </w:pPr>
    </w:p>
    <w:p w14:paraId="0BF10E10">
      <w:pPr>
        <w:pageBreakBefore w:val="0"/>
        <w:kinsoku/>
        <w:wordWrap w:val="0"/>
        <w:overflowPunct/>
        <w:topLinePunct w:val="0"/>
        <w:bidi w:val="0"/>
        <w:spacing w:before="97" w:line="221" w:lineRule="auto"/>
        <w:ind w:left="3799"/>
        <w:outlineLvl w:val="9"/>
        <w:rPr>
          <w:rFonts w:hint="eastAsia" w:ascii="宋体" w:hAnsi="宋体" w:eastAsia="宋体" w:cs="宋体"/>
          <w:color w:val="auto"/>
          <w:sz w:val="30"/>
          <w:szCs w:val="30"/>
          <w:highlight w:val="none"/>
        </w:rPr>
      </w:pPr>
      <w:bookmarkStart w:id="226" w:name="bookmark148"/>
      <w:bookmarkEnd w:id="226"/>
      <w:bookmarkStart w:id="227" w:name="_Toc297"/>
      <w:bookmarkStart w:id="228" w:name="_Toc27397"/>
      <w:bookmarkStart w:id="229" w:name="_Toc317"/>
      <w:r>
        <w:rPr>
          <w:rFonts w:hint="eastAsia" w:ascii="宋体" w:hAnsi="宋体" w:eastAsia="宋体" w:cs="宋体"/>
          <w:b/>
          <w:bCs/>
          <w:color w:val="auto"/>
          <w:spacing w:val="-13"/>
          <w:sz w:val="30"/>
          <w:szCs w:val="30"/>
          <w:highlight w:val="none"/>
        </w:rPr>
        <w:t>投</w:t>
      </w:r>
      <w:r>
        <w:rPr>
          <w:rFonts w:hint="eastAsia" w:ascii="宋体" w:hAnsi="宋体" w:eastAsia="宋体" w:cs="宋体"/>
          <w:color w:val="auto"/>
          <w:spacing w:val="6"/>
          <w:sz w:val="30"/>
          <w:szCs w:val="30"/>
          <w:highlight w:val="none"/>
        </w:rPr>
        <w:t xml:space="preserve">  </w:t>
      </w:r>
      <w:r>
        <w:rPr>
          <w:rFonts w:hint="eastAsia" w:ascii="宋体" w:hAnsi="宋体" w:eastAsia="宋体" w:cs="宋体"/>
          <w:b/>
          <w:bCs/>
          <w:color w:val="auto"/>
          <w:spacing w:val="-13"/>
          <w:sz w:val="30"/>
          <w:szCs w:val="30"/>
          <w:highlight w:val="none"/>
        </w:rPr>
        <w:t>标</w:t>
      </w:r>
      <w:r>
        <w:rPr>
          <w:rFonts w:hint="eastAsia" w:ascii="宋体" w:hAnsi="宋体" w:eastAsia="宋体" w:cs="宋体"/>
          <w:color w:val="auto"/>
          <w:spacing w:val="17"/>
          <w:sz w:val="30"/>
          <w:szCs w:val="30"/>
          <w:highlight w:val="none"/>
        </w:rPr>
        <w:t xml:space="preserve">  </w:t>
      </w:r>
      <w:r>
        <w:rPr>
          <w:rFonts w:hint="eastAsia" w:ascii="宋体" w:hAnsi="宋体" w:eastAsia="宋体" w:cs="宋体"/>
          <w:b/>
          <w:bCs/>
          <w:color w:val="auto"/>
          <w:spacing w:val="-13"/>
          <w:sz w:val="30"/>
          <w:szCs w:val="30"/>
          <w:highlight w:val="none"/>
        </w:rPr>
        <w:t>函</w:t>
      </w:r>
      <w:bookmarkEnd w:id="227"/>
      <w:bookmarkEnd w:id="228"/>
      <w:bookmarkEnd w:id="229"/>
    </w:p>
    <w:p w14:paraId="5786DC1E">
      <w:pPr>
        <w:pStyle w:val="3"/>
        <w:pageBreakBefore w:val="0"/>
        <w:kinsoku/>
        <w:wordWrap w:val="0"/>
        <w:overflowPunct/>
        <w:topLinePunct w:val="0"/>
        <w:bidi w:val="0"/>
        <w:spacing w:line="249" w:lineRule="auto"/>
        <w:rPr>
          <w:rFonts w:hint="eastAsia" w:ascii="宋体" w:hAnsi="宋体" w:eastAsia="宋体" w:cs="宋体"/>
          <w:color w:val="auto"/>
          <w:highlight w:val="none"/>
        </w:rPr>
      </w:pPr>
    </w:p>
    <w:p w14:paraId="72CE24CA">
      <w:pPr>
        <w:pStyle w:val="3"/>
        <w:pageBreakBefore w:val="0"/>
        <w:kinsoku/>
        <w:wordWrap w:val="0"/>
        <w:overflowPunct/>
        <w:topLinePunct w:val="0"/>
        <w:bidi w:val="0"/>
        <w:spacing w:line="250" w:lineRule="auto"/>
        <w:rPr>
          <w:rFonts w:hint="eastAsia" w:ascii="宋体" w:hAnsi="宋体" w:eastAsia="宋体" w:cs="宋体"/>
          <w:color w:val="auto"/>
          <w:highlight w:val="none"/>
        </w:rPr>
      </w:pPr>
    </w:p>
    <w:p w14:paraId="168AB820">
      <w:pPr>
        <w:pStyle w:val="3"/>
        <w:pageBreakBefore w:val="0"/>
        <w:kinsoku/>
        <w:wordWrap w:val="0"/>
        <w:overflowPunct/>
        <w:topLinePunct w:val="0"/>
        <w:bidi w:val="0"/>
        <w:spacing w:line="250" w:lineRule="auto"/>
        <w:rPr>
          <w:rFonts w:hint="eastAsia" w:ascii="宋体" w:hAnsi="宋体" w:eastAsia="宋体" w:cs="宋体"/>
          <w:color w:val="auto"/>
          <w:highlight w:val="none"/>
        </w:rPr>
      </w:pPr>
    </w:p>
    <w:p w14:paraId="01F0CE90">
      <w:pPr>
        <w:pageBreakBefore w:val="0"/>
        <w:kinsoku/>
        <w:wordWrap w:val="0"/>
        <w:overflowPunct/>
        <w:topLinePunct w:val="0"/>
        <w:bidi w:val="0"/>
        <w:spacing w:before="78" w:line="221"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致</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30"/>
          <w:sz w:val="24"/>
          <w:szCs w:val="24"/>
          <w:highlight w:val="none"/>
          <w:u w:val="single"/>
          <w:lang w:val="en-US" w:eastAsia="zh-CN"/>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7"/>
          <w:sz w:val="24"/>
          <w:szCs w:val="24"/>
          <w:highlight w:val="none"/>
        </w:rPr>
        <w:t>招标人名称）</w:t>
      </w:r>
    </w:p>
    <w:p w14:paraId="41AD49C9">
      <w:pPr>
        <w:pStyle w:val="3"/>
        <w:pageBreakBefore w:val="0"/>
        <w:kinsoku/>
        <w:wordWrap w:val="0"/>
        <w:overflowPunct/>
        <w:topLinePunct w:val="0"/>
        <w:bidi w:val="0"/>
        <w:spacing w:before="156" w:line="328" w:lineRule="auto"/>
        <w:ind w:left="9" w:right="142" w:firstLine="589"/>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我方考察现场并充分研究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以下简称“本项目</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z w:val="24"/>
          <w:szCs w:val="24"/>
          <w:highlight w:val="none"/>
        </w:rPr>
        <w:t>”）招标文件</w:t>
      </w:r>
      <w:r>
        <w:rPr>
          <w:rFonts w:hint="eastAsia" w:ascii="宋体" w:hAnsi="宋体" w:eastAsia="宋体" w:cs="宋体"/>
          <w:color w:val="auto"/>
          <w:spacing w:val="-2"/>
          <w:sz w:val="24"/>
          <w:szCs w:val="24"/>
          <w:highlight w:val="none"/>
        </w:rPr>
        <w:t>所有内容后，结合自身资质、能力和特点，愿意接受招标文件的全部内容和条件，兹以</w:t>
      </w:r>
      <w:r>
        <w:rPr>
          <w:rFonts w:hint="eastAsia" w:ascii="宋体" w:hAnsi="宋体" w:eastAsia="宋体" w:cs="宋体"/>
          <w:color w:val="auto"/>
          <w:spacing w:val="-5"/>
          <w:sz w:val="24"/>
          <w:szCs w:val="24"/>
          <w:highlight w:val="none"/>
        </w:rPr>
        <w:t>人民币（大写</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2"/>
          <w:sz w:val="24"/>
          <w:szCs w:val="24"/>
          <w:highlight w:val="none"/>
          <w:u w:val="single"/>
        </w:rPr>
        <w:t xml:space="preserve">       </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的投标总价竞投本项目施工。</w:t>
      </w:r>
    </w:p>
    <w:p w14:paraId="161A4CD5">
      <w:pPr>
        <w:pageBreakBefore w:val="0"/>
        <w:kinsoku/>
        <w:wordWrap w:val="0"/>
        <w:overflowPunct/>
        <w:topLinePunct w:val="0"/>
        <w:bidi w:val="0"/>
        <w:spacing w:before="39" w:line="323" w:lineRule="auto"/>
        <w:ind w:right="142" w:firstLine="5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在我方的上述投标总价中，包括：</w:t>
      </w:r>
      <w:r>
        <w:rPr>
          <w:rFonts w:hint="eastAsia" w:ascii="宋体" w:hAnsi="宋体" w:eastAsia="宋体" w:cs="宋体"/>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；暂列金额</w:t>
      </w:r>
      <w:r>
        <w:rPr>
          <w:rFonts w:hint="eastAsia" w:ascii="宋体" w:hAnsi="宋体" w:eastAsia="宋体" w:cs="宋体"/>
          <w:color w:val="auto"/>
          <w:spacing w:val="-2"/>
          <w:sz w:val="24"/>
          <w:szCs w:val="24"/>
          <w:highlight w:val="none"/>
          <w:u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；暂估价</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8"/>
          <w:sz w:val="24"/>
          <w:szCs w:val="24"/>
          <w:highlight w:val="none"/>
        </w:rPr>
        <w:t>。</w:t>
      </w:r>
    </w:p>
    <w:p w14:paraId="4C81A754">
      <w:pPr>
        <w:pageBreakBefore w:val="0"/>
        <w:kinsoku/>
        <w:wordWrap w:val="0"/>
        <w:overflowPunct/>
        <w:topLinePunct w:val="0"/>
        <w:bidi w:val="0"/>
        <w:spacing w:before="38" w:line="280" w:lineRule="auto"/>
        <w:ind w:left="13" w:right="142" w:firstLine="56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  如果我方中标，我方保证按照合同约定的开工日期开始本项目的施工</w:t>
      </w:r>
      <w:r>
        <w:rPr>
          <w:rFonts w:hint="eastAsia" w:ascii="宋体" w:hAnsi="宋体" w:eastAsia="宋体" w:cs="宋体"/>
          <w:color w:val="auto"/>
          <w:sz w:val="24"/>
          <w:szCs w:val="24"/>
          <w:highlight w:val="none"/>
        </w:rPr>
        <w:t>，</w:t>
      </w:r>
      <w:bookmarkStart w:id="230" w:name="OLE_LINK34"/>
      <w:r>
        <w:rPr>
          <w:rFonts w:hint="eastAsia" w:ascii="宋体" w:hAnsi="宋体" w:eastAsia="宋体" w:cs="宋体"/>
          <w:color w:val="auto"/>
          <w:sz w:val="24"/>
          <w:szCs w:val="24"/>
          <w:highlight w:val="none"/>
          <w:u w:val="single"/>
          <w:lang w:val="en-US" w:eastAsia="zh-CN"/>
        </w:rPr>
        <w:t xml:space="preserve">     </w:t>
      </w:r>
      <w:bookmarkEnd w:id="230"/>
      <w:r>
        <w:rPr>
          <w:rFonts w:hint="eastAsia" w:ascii="宋体" w:hAnsi="宋体" w:eastAsia="宋体" w:cs="宋体"/>
          <w:color w:val="auto"/>
          <w:sz w:val="24"/>
          <w:szCs w:val="24"/>
          <w:highlight w:val="none"/>
        </w:rPr>
        <w:t>个日历</w:t>
      </w:r>
      <w:r>
        <w:rPr>
          <w:rFonts w:hint="eastAsia" w:ascii="宋体" w:hAnsi="宋体" w:eastAsia="宋体" w:cs="宋体"/>
          <w:color w:val="auto"/>
          <w:spacing w:val="-1"/>
          <w:sz w:val="24"/>
          <w:szCs w:val="24"/>
          <w:highlight w:val="none"/>
        </w:rPr>
        <w:t>天内竣工，并确保工程质量达到</w:t>
      </w:r>
      <w:r>
        <w:rPr>
          <w:rFonts w:hint="eastAsia" w:ascii="宋体" w:hAnsi="宋体" w:eastAsia="宋体" w:cs="宋体"/>
          <w:color w:val="auto"/>
          <w:spacing w:val="-1"/>
          <w:sz w:val="24"/>
          <w:szCs w:val="24"/>
          <w:highlight w:val="none"/>
          <w:u w:val="single"/>
          <w:lang w:val="en-US" w:eastAsia="zh-CN"/>
        </w:rPr>
        <w:t xml:space="preserve">     </w:t>
      </w:r>
      <w:r>
        <w:rPr>
          <w:rFonts w:hint="eastAsia" w:ascii="宋体" w:hAnsi="宋体" w:eastAsia="宋体" w:cs="宋体"/>
          <w:color w:val="auto"/>
          <w:spacing w:val="-1"/>
          <w:sz w:val="24"/>
          <w:szCs w:val="24"/>
          <w:highlight w:val="none"/>
        </w:rPr>
        <w:t>标准和维修其中的任何缺陷。</w:t>
      </w:r>
    </w:p>
    <w:p w14:paraId="340342D2">
      <w:pPr>
        <w:pageBreakBefore w:val="0"/>
        <w:kinsoku/>
        <w:wordWrap w:val="0"/>
        <w:overflowPunct/>
        <w:topLinePunct w:val="0"/>
        <w:bidi w:val="0"/>
        <w:spacing w:before="152" w:line="279" w:lineRule="auto"/>
        <w:ind w:left="11" w:right="142" w:firstLine="5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  本投标函在你方接收我方递交的投标文件之日起、到招标</w:t>
      </w:r>
      <w:r>
        <w:rPr>
          <w:rFonts w:hint="eastAsia" w:ascii="宋体" w:hAnsi="宋体" w:eastAsia="宋体" w:cs="宋体"/>
          <w:color w:val="auto"/>
          <w:sz w:val="24"/>
          <w:szCs w:val="24"/>
          <w:highlight w:val="none"/>
        </w:rPr>
        <w:t>文件规定的投标有效</w:t>
      </w:r>
      <w:r>
        <w:rPr>
          <w:rFonts w:hint="eastAsia" w:ascii="宋体" w:hAnsi="宋体" w:eastAsia="宋体" w:cs="宋体"/>
          <w:color w:val="auto"/>
          <w:spacing w:val="-1"/>
          <w:sz w:val="24"/>
          <w:szCs w:val="24"/>
          <w:highlight w:val="none"/>
        </w:rPr>
        <w:t>期期</w:t>
      </w:r>
      <w:r>
        <w:rPr>
          <w:rFonts w:hint="eastAsia" w:ascii="宋体" w:hAnsi="宋体" w:eastAsia="宋体" w:cs="宋体"/>
          <w:color w:val="auto"/>
          <w:spacing w:val="-1"/>
          <w:sz w:val="24"/>
          <w:szCs w:val="24"/>
          <w:highlight w:val="none"/>
          <w:u w:val="single"/>
          <w:lang w:val="en-US" w:eastAsia="zh-CN"/>
        </w:rPr>
        <w:t>90个日历天内</w:t>
      </w:r>
      <w:r>
        <w:rPr>
          <w:rFonts w:hint="eastAsia" w:ascii="宋体" w:hAnsi="宋体" w:eastAsia="宋体" w:cs="宋体"/>
          <w:color w:val="auto"/>
          <w:spacing w:val="-1"/>
          <w:sz w:val="24"/>
          <w:szCs w:val="24"/>
          <w:highlight w:val="none"/>
        </w:rPr>
        <w:t>对我方具有约束力。我方随时准备接受你方发出的中标通知书。</w:t>
      </w:r>
    </w:p>
    <w:p w14:paraId="46E2E000">
      <w:pPr>
        <w:pageBreakBefore w:val="0"/>
        <w:kinsoku/>
        <w:wordWrap w:val="0"/>
        <w:overflowPunct/>
        <w:topLinePunct w:val="0"/>
        <w:bidi w:val="0"/>
        <w:spacing w:before="156" w:line="279" w:lineRule="auto"/>
        <w:ind w:left="11" w:right="61" w:firstLine="5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z w:val="24"/>
          <w:szCs w:val="24"/>
          <w:highlight w:val="none"/>
        </w:rPr>
        <w:t>．我方在此声明，我方不存在本项目招标</w:t>
      </w:r>
      <w:r>
        <w:rPr>
          <w:rFonts w:hint="eastAsia" w:ascii="宋体" w:hAnsi="宋体" w:eastAsia="宋体" w:cs="宋体"/>
          <w:color w:val="auto"/>
          <w:spacing w:val="-1"/>
          <w:sz w:val="24"/>
          <w:szCs w:val="24"/>
          <w:highlight w:val="none"/>
        </w:rPr>
        <w:t>文件第一章第三节第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2.4</w:t>
      </w:r>
      <w:r>
        <w:rPr>
          <w:rFonts w:hint="eastAsia" w:ascii="宋体" w:hAnsi="宋体" w:eastAsia="宋体" w:cs="宋体"/>
          <w:b/>
          <w:bCs/>
          <w:color w:val="auto"/>
          <w:spacing w:val="16"/>
          <w:w w:val="101"/>
          <w:sz w:val="24"/>
          <w:szCs w:val="24"/>
          <w:highlight w:val="none"/>
        </w:rPr>
        <w:t xml:space="preserve"> </w:t>
      </w:r>
      <w:r>
        <w:rPr>
          <w:rFonts w:hint="eastAsia" w:ascii="宋体" w:hAnsi="宋体" w:eastAsia="宋体" w:cs="宋体"/>
          <w:color w:val="auto"/>
          <w:spacing w:val="-1"/>
          <w:sz w:val="24"/>
          <w:szCs w:val="24"/>
          <w:highlight w:val="none"/>
        </w:rPr>
        <w:t>条“禁止投标</w:t>
      </w:r>
      <w:r>
        <w:rPr>
          <w:rFonts w:hint="eastAsia" w:ascii="宋体" w:hAnsi="宋体" w:eastAsia="宋体" w:cs="宋体"/>
          <w:color w:val="auto"/>
          <w:spacing w:val="-6"/>
          <w:sz w:val="24"/>
          <w:szCs w:val="24"/>
          <w:highlight w:val="none"/>
        </w:rPr>
        <w:t>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6"/>
          <w:sz w:val="24"/>
          <w:szCs w:val="24"/>
          <w:highlight w:val="none"/>
        </w:rPr>
        <w:t>”所列出的任何一种情形，并愿意承担因我</w:t>
      </w:r>
      <w:r>
        <w:rPr>
          <w:rFonts w:hint="eastAsia" w:ascii="宋体" w:hAnsi="宋体" w:eastAsia="宋体" w:cs="宋体"/>
          <w:color w:val="auto"/>
          <w:spacing w:val="-7"/>
          <w:sz w:val="24"/>
          <w:szCs w:val="24"/>
          <w:highlight w:val="none"/>
        </w:rPr>
        <w:t>方就此弄虚作假所引起的一切法律后果。</w:t>
      </w:r>
    </w:p>
    <w:p w14:paraId="1D33063C">
      <w:pPr>
        <w:pageBreakBefore w:val="0"/>
        <w:kinsoku/>
        <w:wordWrap w:val="0"/>
        <w:overflowPunct/>
        <w:topLinePunct w:val="0"/>
        <w:bidi w:val="0"/>
        <w:spacing w:before="153" w:line="280" w:lineRule="auto"/>
        <w:ind w:left="9" w:right="142" w:firstLine="57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2"/>
          <w:sz w:val="24"/>
          <w:szCs w:val="24"/>
          <w:highlight w:val="none"/>
        </w:rPr>
        <w:t>．我方在此承诺，所递交投标文件的全部内容均为真实、有效、准确的，并愿意承担因我方就此弄虚作假所引起的一切法律后果，同时理解和同意有可能被要求提供更</w:t>
      </w:r>
    </w:p>
    <w:p w14:paraId="02AEB5D4">
      <w:pPr>
        <w:pageBreakBefore w:val="0"/>
        <w:kinsoku/>
        <w:wordWrap w:val="0"/>
        <w:overflowPunct/>
        <w:topLinePunct w:val="0"/>
        <w:bidi w:val="0"/>
        <w:spacing w:before="153" w:line="221"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多的资料。</w:t>
      </w:r>
    </w:p>
    <w:p w14:paraId="1C092AD2">
      <w:pPr>
        <w:pageBreakBefore w:val="0"/>
        <w:kinsoku/>
        <w:wordWrap w:val="0"/>
        <w:overflowPunct/>
        <w:topLinePunct w:val="0"/>
        <w:bidi w:val="0"/>
        <w:spacing w:before="153" w:line="326" w:lineRule="auto"/>
        <w:ind w:left="13" w:firstLine="5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  我方理解你方不一定要接纳收到的最低投标总价或任何投标总价的投标人中标，</w:t>
      </w:r>
      <w:r>
        <w:rPr>
          <w:rFonts w:hint="eastAsia" w:ascii="宋体" w:hAnsi="宋体" w:eastAsia="宋体" w:cs="宋体"/>
          <w:color w:val="auto"/>
          <w:spacing w:val="-1"/>
          <w:sz w:val="24"/>
          <w:szCs w:val="24"/>
          <w:highlight w:val="none"/>
        </w:rPr>
        <w:t>也不要求你方解释我方是否中标的原因。</w:t>
      </w:r>
    </w:p>
    <w:p w14:paraId="3BD0DAFE">
      <w:pPr>
        <w:pStyle w:val="3"/>
        <w:pageBreakBefore w:val="0"/>
        <w:kinsoku/>
        <w:wordWrap w:val="0"/>
        <w:overflowPunct/>
        <w:topLinePunct w:val="0"/>
        <w:bidi w:val="0"/>
        <w:spacing w:line="276" w:lineRule="auto"/>
        <w:rPr>
          <w:rFonts w:hint="eastAsia" w:ascii="宋体" w:hAnsi="宋体" w:eastAsia="宋体" w:cs="宋体"/>
          <w:color w:val="auto"/>
          <w:highlight w:val="none"/>
        </w:rPr>
      </w:pPr>
    </w:p>
    <w:p w14:paraId="3340DC23">
      <w:pPr>
        <w:pStyle w:val="3"/>
        <w:pageBreakBefore w:val="0"/>
        <w:kinsoku/>
        <w:wordWrap w:val="0"/>
        <w:overflowPunct/>
        <w:topLinePunct w:val="0"/>
        <w:bidi w:val="0"/>
        <w:spacing w:line="277" w:lineRule="auto"/>
        <w:rPr>
          <w:rFonts w:hint="eastAsia" w:ascii="宋体" w:hAnsi="宋体" w:eastAsia="宋体" w:cs="宋体"/>
          <w:color w:val="auto"/>
          <w:highlight w:val="none"/>
        </w:rPr>
      </w:pPr>
    </w:p>
    <w:p w14:paraId="6112F4BB">
      <w:pPr>
        <w:pStyle w:val="3"/>
        <w:pageBreakBefore w:val="0"/>
        <w:kinsoku/>
        <w:wordWrap w:val="0"/>
        <w:overflowPunct/>
        <w:topLinePunct w:val="0"/>
        <w:bidi w:val="0"/>
        <w:spacing w:line="277" w:lineRule="auto"/>
        <w:rPr>
          <w:rFonts w:hint="eastAsia" w:ascii="宋体" w:hAnsi="宋体" w:eastAsia="宋体" w:cs="宋体"/>
          <w:color w:val="auto"/>
          <w:highlight w:val="none"/>
        </w:rPr>
      </w:pPr>
    </w:p>
    <w:p w14:paraId="3C3B5068">
      <w:pPr>
        <w:pageBreakBefore w:val="0"/>
        <w:kinsoku/>
        <w:wordWrap w:val="0"/>
        <w:overflowPunct/>
        <w:topLinePunct w:val="0"/>
        <w:bidi w:val="0"/>
        <w:spacing w:before="79" w:line="219" w:lineRule="auto"/>
        <w:ind w:firstLine="5856" w:firstLineChars="240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1529BCF9">
      <w:pPr>
        <w:pStyle w:val="3"/>
        <w:pageBreakBefore w:val="0"/>
        <w:kinsoku/>
        <w:wordWrap w:val="0"/>
        <w:overflowPunct/>
        <w:topLinePunct w:val="0"/>
        <w:bidi w:val="0"/>
        <w:spacing w:line="256" w:lineRule="auto"/>
        <w:jc w:val="right"/>
        <w:rPr>
          <w:rFonts w:hint="eastAsia" w:ascii="宋体" w:hAnsi="宋体" w:eastAsia="宋体" w:cs="宋体"/>
          <w:color w:val="auto"/>
          <w:highlight w:val="none"/>
        </w:rPr>
      </w:pPr>
    </w:p>
    <w:p w14:paraId="5D5796EA">
      <w:pPr>
        <w:pStyle w:val="3"/>
        <w:pageBreakBefore w:val="0"/>
        <w:kinsoku/>
        <w:wordWrap w:val="0"/>
        <w:overflowPunct/>
        <w:topLinePunct w:val="0"/>
        <w:bidi w:val="0"/>
        <w:spacing w:line="256" w:lineRule="auto"/>
        <w:jc w:val="right"/>
        <w:rPr>
          <w:rFonts w:hint="eastAsia" w:ascii="宋体" w:hAnsi="宋体" w:eastAsia="宋体" w:cs="宋体"/>
          <w:color w:val="auto"/>
          <w:highlight w:val="none"/>
        </w:rPr>
      </w:pPr>
    </w:p>
    <w:p w14:paraId="077AAC23">
      <w:pPr>
        <w:pageBreakBefore w:val="0"/>
        <w:kinsoku/>
        <w:wordWrap w:val="0"/>
        <w:overflowPunct/>
        <w:topLinePunct w:val="0"/>
        <w:bidi w:val="0"/>
        <w:spacing w:before="78" w:line="219" w:lineRule="auto"/>
        <w:ind w:left="3922"/>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4E670E0E">
      <w:pPr>
        <w:pStyle w:val="3"/>
        <w:pageBreakBefore w:val="0"/>
        <w:kinsoku/>
        <w:wordWrap w:val="0"/>
        <w:overflowPunct/>
        <w:topLinePunct w:val="0"/>
        <w:bidi w:val="0"/>
        <w:spacing w:line="257" w:lineRule="auto"/>
        <w:rPr>
          <w:rFonts w:hint="eastAsia" w:ascii="宋体" w:hAnsi="宋体" w:eastAsia="宋体" w:cs="宋体"/>
          <w:color w:val="auto"/>
          <w:highlight w:val="none"/>
        </w:rPr>
      </w:pPr>
    </w:p>
    <w:p w14:paraId="3F18B311">
      <w:pPr>
        <w:pStyle w:val="3"/>
        <w:pageBreakBefore w:val="0"/>
        <w:kinsoku/>
        <w:wordWrap w:val="0"/>
        <w:overflowPunct/>
        <w:topLinePunct w:val="0"/>
        <w:bidi w:val="0"/>
        <w:spacing w:line="257" w:lineRule="auto"/>
        <w:rPr>
          <w:rFonts w:hint="eastAsia" w:ascii="宋体" w:hAnsi="宋体" w:eastAsia="宋体" w:cs="宋体"/>
          <w:color w:val="auto"/>
          <w:highlight w:val="none"/>
        </w:rPr>
      </w:pPr>
    </w:p>
    <w:p w14:paraId="159419D8">
      <w:pPr>
        <w:pageBreakBefore w:val="0"/>
        <w:kinsoku/>
        <w:wordWrap w:val="0"/>
        <w:overflowPunct/>
        <w:topLinePunct w:val="0"/>
        <w:bidi w:val="0"/>
        <w:spacing w:before="79" w:line="220" w:lineRule="auto"/>
        <w:ind w:left="697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日</w:t>
      </w:r>
    </w:p>
    <w:p w14:paraId="440739B3">
      <w:pPr>
        <w:pageBreakBefore w:val="0"/>
        <w:kinsoku/>
        <w:wordWrap w:val="0"/>
        <w:overflowPunct/>
        <w:topLinePunct w:val="0"/>
        <w:bidi w:val="0"/>
        <w:spacing w:line="220" w:lineRule="auto"/>
        <w:rPr>
          <w:rFonts w:hint="eastAsia" w:ascii="宋体" w:hAnsi="宋体" w:eastAsia="宋体" w:cs="宋体"/>
          <w:color w:val="auto"/>
          <w:sz w:val="24"/>
          <w:szCs w:val="24"/>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3F5E0DE7">
      <w:pPr>
        <w:pageBreakBefore w:val="0"/>
        <w:kinsoku/>
        <w:wordWrap w:val="0"/>
        <w:overflowPunct/>
        <w:topLinePunct w:val="0"/>
        <w:bidi w:val="0"/>
        <w:spacing w:before="78" w:line="220" w:lineRule="auto"/>
        <w:outlineLvl w:val="2"/>
        <w:rPr>
          <w:rFonts w:hint="eastAsia" w:ascii="宋体" w:hAnsi="宋体" w:eastAsia="宋体" w:cs="宋体"/>
          <w:b/>
          <w:bCs/>
          <w:color w:val="auto"/>
          <w:spacing w:val="-4"/>
          <w:sz w:val="24"/>
          <w:szCs w:val="24"/>
          <w:highlight w:val="none"/>
        </w:rPr>
      </w:pPr>
      <w:bookmarkStart w:id="231" w:name="_Toc28418"/>
      <w:r>
        <w:rPr>
          <w:rFonts w:hint="eastAsia" w:ascii="宋体" w:hAnsi="宋体" w:eastAsia="宋体" w:cs="宋体"/>
          <w:b/>
          <w:bCs/>
          <w:color w:val="auto"/>
          <w:spacing w:val="-4"/>
          <w:sz w:val="24"/>
          <w:szCs w:val="24"/>
          <w:highlight w:val="none"/>
        </w:rPr>
        <w:t>格式三 各项承诺一览表</w:t>
      </w:r>
      <w:bookmarkEnd w:id="231"/>
    </w:p>
    <w:p w14:paraId="026AE8D0">
      <w:pPr>
        <w:pStyle w:val="3"/>
        <w:pageBreakBefore w:val="0"/>
        <w:kinsoku/>
        <w:wordWrap w:val="0"/>
        <w:overflowPunct/>
        <w:topLinePunct w:val="0"/>
        <w:bidi w:val="0"/>
        <w:spacing w:line="254" w:lineRule="auto"/>
        <w:rPr>
          <w:rFonts w:hint="eastAsia" w:ascii="宋体" w:hAnsi="宋体" w:eastAsia="宋体" w:cs="宋体"/>
          <w:color w:val="auto"/>
          <w:highlight w:val="none"/>
        </w:rPr>
      </w:pPr>
    </w:p>
    <w:p w14:paraId="40480B0B">
      <w:pPr>
        <w:pageBreakBefore w:val="0"/>
        <w:kinsoku/>
        <w:wordWrap w:val="0"/>
        <w:overflowPunct/>
        <w:topLinePunct w:val="0"/>
        <w:bidi w:val="0"/>
        <w:spacing w:before="98" w:line="220" w:lineRule="auto"/>
        <w:ind w:left="3581"/>
        <w:outlineLvl w:val="9"/>
        <w:rPr>
          <w:rFonts w:hint="eastAsia" w:ascii="宋体" w:hAnsi="宋体" w:eastAsia="宋体" w:cs="宋体"/>
          <w:color w:val="auto"/>
          <w:sz w:val="30"/>
          <w:szCs w:val="30"/>
          <w:highlight w:val="none"/>
        </w:rPr>
      </w:pPr>
      <w:bookmarkStart w:id="232" w:name="bookmark149"/>
      <w:bookmarkEnd w:id="232"/>
      <w:bookmarkStart w:id="233" w:name="_Toc4767"/>
      <w:bookmarkStart w:id="234" w:name="_Toc2936"/>
      <w:bookmarkStart w:id="235" w:name="_Toc10326"/>
      <w:r>
        <w:rPr>
          <w:rFonts w:hint="eastAsia" w:ascii="宋体" w:hAnsi="宋体" w:eastAsia="宋体" w:cs="宋体"/>
          <w:b/>
          <w:bCs/>
          <w:color w:val="auto"/>
          <w:spacing w:val="-5"/>
          <w:sz w:val="30"/>
          <w:szCs w:val="30"/>
          <w:highlight w:val="none"/>
        </w:rPr>
        <w:t>各项承诺一览表</w:t>
      </w:r>
      <w:bookmarkEnd w:id="233"/>
      <w:bookmarkEnd w:id="234"/>
      <w:bookmarkEnd w:id="235"/>
    </w:p>
    <w:p w14:paraId="1019DBE2">
      <w:pPr>
        <w:pageBreakBefore w:val="0"/>
        <w:kinsoku/>
        <w:wordWrap w:val="0"/>
        <w:overflowPunct/>
        <w:topLinePunct w:val="0"/>
        <w:bidi w:val="0"/>
        <w:spacing w:before="6"/>
        <w:rPr>
          <w:rFonts w:hint="eastAsia" w:ascii="宋体" w:hAnsi="宋体" w:eastAsia="宋体" w:cs="宋体"/>
          <w:color w:val="auto"/>
          <w:highlight w:val="none"/>
        </w:rPr>
      </w:pPr>
    </w:p>
    <w:tbl>
      <w:tblPr>
        <w:tblStyle w:val="14"/>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1A644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14BDA62">
            <w:pPr>
              <w:keepNext w:val="0"/>
              <w:keepLines w:val="0"/>
              <w:pageBreakBefore w:val="0"/>
              <w:widowControl/>
              <w:kinsoku/>
              <w:wordWrap w:val="0"/>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75" w:type="dxa"/>
            <w:vAlign w:val="top"/>
          </w:tcPr>
          <w:p w14:paraId="24E2BE57">
            <w:pPr>
              <w:keepNext w:val="0"/>
              <w:keepLines w:val="0"/>
              <w:pageBreakBefore w:val="0"/>
              <w:widowControl/>
              <w:kinsoku/>
              <w:wordWrap w:val="0"/>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承诺事项</w:t>
            </w:r>
          </w:p>
        </w:tc>
        <w:tc>
          <w:tcPr>
            <w:tcW w:w="3107" w:type="dxa"/>
            <w:vAlign w:val="top"/>
          </w:tcPr>
          <w:p w14:paraId="60AB79B6">
            <w:pPr>
              <w:keepNext w:val="0"/>
              <w:keepLines w:val="0"/>
              <w:pageBreakBefore w:val="0"/>
              <w:widowControl/>
              <w:kinsoku/>
              <w:wordWrap w:val="0"/>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承诺内容</w:t>
            </w:r>
          </w:p>
        </w:tc>
        <w:tc>
          <w:tcPr>
            <w:tcW w:w="4272" w:type="dxa"/>
            <w:vAlign w:val="top"/>
          </w:tcPr>
          <w:p w14:paraId="551DFBEF">
            <w:pPr>
              <w:keepNext w:val="0"/>
              <w:keepLines w:val="0"/>
              <w:pageBreakBefore w:val="0"/>
              <w:widowControl/>
              <w:kinsoku/>
              <w:wordWrap w:val="0"/>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违约承诺</w:t>
            </w:r>
          </w:p>
        </w:tc>
      </w:tr>
      <w:tr w14:paraId="2321D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CB3F03F">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9FA0C63">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5F17FF0">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BF339DF">
            <w:pPr>
              <w:keepNext w:val="0"/>
              <w:keepLines w:val="0"/>
              <w:pageBreakBefore w:val="0"/>
              <w:widowControl/>
              <w:kinsoku/>
              <w:wordWrap w:val="0"/>
              <w:overflowPunct/>
              <w:topLinePunct w:val="0"/>
              <w:autoSpaceDE w:val="0"/>
              <w:autoSpaceDN w:val="0"/>
              <w:bidi w:val="0"/>
              <w:adjustRightInd w:val="0"/>
              <w:snapToGrid w:val="0"/>
              <w:spacing w:before="58" w:line="288" w:lineRule="auto"/>
              <w:ind w:left="32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5" w:type="dxa"/>
            <w:vAlign w:val="top"/>
          </w:tcPr>
          <w:p w14:paraId="140F332C">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9EEF94">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4D37E14">
            <w:pPr>
              <w:keepNext w:val="0"/>
              <w:keepLines w:val="0"/>
              <w:pageBreakBefore w:val="0"/>
              <w:widowControl/>
              <w:kinsoku/>
              <w:wordWrap w:val="0"/>
              <w:overflowPunct/>
              <w:topLinePunct w:val="0"/>
              <w:autoSpaceDE w:val="0"/>
              <w:autoSpaceDN w:val="0"/>
              <w:bidi w:val="0"/>
              <w:adjustRightInd w:val="0"/>
              <w:snapToGrid w:val="0"/>
              <w:spacing w:before="65" w:line="288" w:lineRule="auto"/>
              <w:ind w:left="57" w:right="50" w:firstLine="1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自愿接受招标</w:t>
            </w:r>
            <w:r>
              <w:rPr>
                <w:rFonts w:hint="eastAsia" w:ascii="宋体" w:hAnsi="宋体" w:eastAsia="宋体" w:cs="宋体"/>
                <w:color w:val="auto"/>
                <w:spacing w:val="8"/>
                <w:sz w:val="24"/>
                <w:szCs w:val="24"/>
                <w:highlight w:val="none"/>
              </w:rPr>
              <w:t>文件条款的承诺</w:t>
            </w:r>
          </w:p>
        </w:tc>
        <w:tc>
          <w:tcPr>
            <w:tcW w:w="3107" w:type="dxa"/>
            <w:vAlign w:val="top"/>
          </w:tcPr>
          <w:p w14:paraId="4843DD35">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D2370A6">
            <w:pPr>
              <w:keepNext w:val="0"/>
              <w:keepLines w:val="0"/>
              <w:pageBreakBefore w:val="0"/>
              <w:widowControl/>
              <w:kinsoku/>
              <w:wordWrap w:val="0"/>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我方自愿接受招标文件的</w:t>
            </w:r>
            <w:r>
              <w:rPr>
                <w:rFonts w:hint="eastAsia" w:ascii="宋体" w:hAnsi="宋体" w:eastAsia="宋体" w:cs="宋体"/>
                <w:color w:val="auto"/>
                <w:spacing w:val="7"/>
                <w:sz w:val="24"/>
                <w:szCs w:val="24"/>
                <w:highlight w:val="none"/>
              </w:rPr>
              <w:t>所有条款，所递交的投标文件已</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23"/>
                <w:sz w:val="24"/>
                <w:szCs w:val="24"/>
                <w:highlight w:val="none"/>
              </w:rPr>
              <w:t>经充分响应招标文件的实质性</w:t>
            </w:r>
            <w:r>
              <w:rPr>
                <w:rFonts w:hint="eastAsia" w:ascii="宋体" w:hAnsi="宋体" w:eastAsia="宋体" w:cs="宋体"/>
                <w:color w:val="auto"/>
                <w:spacing w:val="3"/>
                <w:sz w:val="24"/>
                <w:szCs w:val="24"/>
                <w:highlight w:val="none"/>
              </w:rPr>
              <w:t>要求。</w:t>
            </w:r>
          </w:p>
        </w:tc>
        <w:tc>
          <w:tcPr>
            <w:tcW w:w="4272" w:type="dxa"/>
            <w:vAlign w:val="top"/>
          </w:tcPr>
          <w:p w14:paraId="57E88BE8">
            <w:pPr>
              <w:keepNext w:val="0"/>
              <w:keepLines w:val="0"/>
              <w:pageBreakBefore w:val="0"/>
              <w:widowControl/>
              <w:kinsoku/>
              <w:wordWrap w:val="0"/>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如果我方的投标文件未响应、违反、偏</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0"/>
                <w:sz w:val="24"/>
                <w:szCs w:val="24"/>
                <w:highlight w:val="none"/>
              </w:rPr>
              <w:t>离招标文件的实质性要求，我方接受招标人或其授权的招标代理机构或其组建的评标委员会依据招标文件作出的相应处理，包括否</w:t>
            </w:r>
            <w:r>
              <w:rPr>
                <w:rFonts w:hint="eastAsia" w:ascii="宋体" w:hAnsi="宋体" w:eastAsia="宋体" w:cs="宋体"/>
                <w:color w:val="auto"/>
                <w:spacing w:val="4"/>
                <w:sz w:val="24"/>
                <w:szCs w:val="24"/>
                <w:highlight w:val="none"/>
              </w:rPr>
              <w:t>决投标。</w:t>
            </w:r>
          </w:p>
        </w:tc>
      </w:tr>
      <w:tr w14:paraId="75D715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7A50456">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629315E">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7FA1717">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75C41C9">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F1232F5">
            <w:pPr>
              <w:keepNext w:val="0"/>
              <w:keepLines w:val="0"/>
              <w:pageBreakBefore w:val="0"/>
              <w:widowControl/>
              <w:kinsoku/>
              <w:wordWrap w:val="0"/>
              <w:overflowPunct/>
              <w:topLinePunct w:val="0"/>
              <w:autoSpaceDE w:val="0"/>
              <w:autoSpaceDN w:val="0"/>
              <w:bidi w:val="0"/>
              <w:adjustRightInd w:val="0"/>
              <w:snapToGrid w:val="0"/>
              <w:spacing w:before="58" w:line="288" w:lineRule="auto"/>
              <w:ind w:left="30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75" w:type="dxa"/>
            <w:vAlign w:val="top"/>
          </w:tcPr>
          <w:p w14:paraId="6C3EE17C">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E1826BD">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2131ED3">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0DEF1CA">
            <w:pPr>
              <w:keepNext w:val="0"/>
              <w:keepLines w:val="0"/>
              <w:pageBreakBefore w:val="0"/>
              <w:widowControl/>
              <w:kinsoku/>
              <w:wordWrap w:val="0"/>
              <w:overflowPunct/>
              <w:topLinePunct w:val="0"/>
              <w:autoSpaceDE w:val="0"/>
              <w:autoSpaceDN w:val="0"/>
              <w:bidi w:val="0"/>
              <w:adjustRightInd w:val="0"/>
              <w:snapToGrid w:val="0"/>
              <w:spacing w:before="65" w:line="288" w:lineRule="auto"/>
              <w:ind w:left="262" w:right="261" w:firstLine="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无禁止投标</w:t>
            </w:r>
            <w:r>
              <w:rPr>
                <w:rFonts w:hint="eastAsia" w:ascii="宋体" w:hAnsi="宋体" w:eastAsia="宋体" w:cs="宋体"/>
                <w:color w:val="auto"/>
                <w:spacing w:val="8"/>
                <w:sz w:val="24"/>
                <w:szCs w:val="24"/>
                <w:highlight w:val="none"/>
              </w:rPr>
              <w:t>情形的承诺</w:t>
            </w:r>
          </w:p>
        </w:tc>
        <w:tc>
          <w:tcPr>
            <w:tcW w:w="3107" w:type="dxa"/>
            <w:vAlign w:val="top"/>
          </w:tcPr>
          <w:p w14:paraId="58069337">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EB24B06">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3DC0748">
            <w:pPr>
              <w:keepNext w:val="0"/>
              <w:keepLines w:val="0"/>
              <w:pageBreakBefore w:val="0"/>
              <w:widowControl/>
              <w:kinsoku/>
              <w:wordWrap w:val="0"/>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我方不存在招标文件第一</w:t>
            </w:r>
            <w:r>
              <w:rPr>
                <w:rFonts w:hint="eastAsia" w:ascii="宋体" w:hAnsi="宋体" w:eastAsia="宋体" w:cs="宋体"/>
                <w:color w:val="auto"/>
                <w:spacing w:val="8"/>
                <w:sz w:val="24"/>
                <w:szCs w:val="24"/>
                <w:highlight w:val="none"/>
              </w:rPr>
              <w:t>章第三节第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b/>
                <w:bCs/>
                <w:color w:val="auto"/>
                <w:spacing w:val="8"/>
                <w:sz w:val="24"/>
                <w:szCs w:val="24"/>
                <w:highlight w:val="none"/>
              </w:rPr>
              <w:t>2.4</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8"/>
                <w:sz w:val="24"/>
                <w:szCs w:val="24"/>
                <w:highlight w:val="none"/>
              </w:rPr>
              <w:t>条“禁止投标条</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款</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”规定的任何一种情形。</w:t>
            </w:r>
          </w:p>
        </w:tc>
        <w:tc>
          <w:tcPr>
            <w:tcW w:w="4272" w:type="dxa"/>
            <w:vAlign w:val="top"/>
          </w:tcPr>
          <w:p w14:paraId="373FA553">
            <w:pPr>
              <w:keepNext w:val="0"/>
              <w:keepLines w:val="0"/>
              <w:pageBreakBefore w:val="0"/>
              <w:widowControl/>
              <w:kinsoku/>
              <w:wordWrap w:val="0"/>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如果我方有招标文件第一章第三节第</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1"/>
                <w:sz w:val="24"/>
                <w:szCs w:val="24"/>
                <w:highlight w:val="none"/>
              </w:rPr>
              <w:t xml:space="preserve">4 </w:t>
            </w:r>
            <w:r>
              <w:rPr>
                <w:rFonts w:hint="eastAsia" w:ascii="宋体" w:hAnsi="宋体" w:eastAsia="宋体" w:cs="宋体"/>
                <w:color w:val="auto"/>
                <w:spacing w:val="1"/>
                <w:sz w:val="24"/>
                <w:szCs w:val="24"/>
                <w:highlight w:val="none"/>
              </w:rPr>
              <w:t>条“禁止投标条款</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1"/>
                <w:sz w:val="24"/>
                <w:szCs w:val="24"/>
                <w:highlight w:val="none"/>
              </w:rPr>
              <w:t>”规定的任何一种情形，</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我方接受招标人或其授权的招标代理机构或</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其组建的评标委员会依据招标文件作出的相</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应处理以及有关监督部门作出的行政处罚，</w:t>
            </w:r>
            <w:r>
              <w:rPr>
                <w:rFonts w:hint="eastAsia" w:ascii="宋体" w:hAnsi="宋体" w:eastAsia="宋体" w:cs="宋体"/>
                <w:color w:val="auto"/>
                <w:spacing w:val="6"/>
                <w:sz w:val="24"/>
                <w:szCs w:val="24"/>
                <w:highlight w:val="none"/>
              </w:rPr>
              <w:t>并承担由此引起的一切法律后果。</w:t>
            </w:r>
          </w:p>
        </w:tc>
      </w:tr>
      <w:tr w14:paraId="35D8E5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50EF8F23">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82C047">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A3747C5">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EFEA379">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39286DF">
            <w:pPr>
              <w:keepNext w:val="0"/>
              <w:keepLines w:val="0"/>
              <w:pageBreakBefore w:val="0"/>
              <w:widowControl/>
              <w:kinsoku/>
              <w:wordWrap w:val="0"/>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75" w:type="dxa"/>
            <w:vAlign w:val="top"/>
          </w:tcPr>
          <w:p w14:paraId="46D4F3AB">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B3E0218">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7908DE5">
            <w:pPr>
              <w:keepNext w:val="0"/>
              <w:keepLines w:val="0"/>
              <w:pageBreakBefore w:val="0"/>
              <w:widowControl/>
              <w:kinsoku/>
              <w:wordWrap w:val="0"/>
              <w:overflowPunct/>
              <w:topLinePunct w:val="0"/>
              <w:autoSpaceDE w:val="0"/>
              <w:autoSpaceDN w:val="0"/>
              <w:bidi w:val="0"/>
              <w:adjustRightInd w:val="0"/>
              <w:snapToGrid w:val="0"/>
              <w:spacing w:before="65" w:line="288" w:lineRule="auto"/>
              <w:ind w:left="1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自觉抵制围标</w:t>
            </w:r>
          </w:p>
          <w:p w14:paraId="24B6EC43">
            <w:pPr>
              <w:keepNext w:val="0"/>
              <w:keepLines w:val="0"/>
              <w:pageBreakBefore w:val="0"/>
              <w:widowControl/>
              <w:kinsoku/>
              <w:wordWrap w:val="0"/>
              <w:overflowPunct/>
              <w:topLinePunct w:val="0"/>
              <w:autoSpaceDE w:val="0"/>
              <w:autoSpaceDN w:val="0"/>
              <w:bidi w:val="0"/>
              <w:adjustRightInd w:val="0"/>
              <w:snapToGrid w:val="0"/>
              <w:spacing w:before="131" w:line="288" w:lineRule="auto"/>
              <w:ind w:left="2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串标和弄虚</w:t>
            </w:r>
          </w:p>
          <w:p w14:paraId="79AED1DA">
            <w:pPr>
              <w:keepNext w:val="0"/>
              <w:keepLines w:val="0"/>
              <w:pageBreakBefore w:val="0"/>
              <w:widowControl/>
              <w:kinsoku/>
              <w:wordWrap w:val="0"/>
              <w:overflowPunct/>
              <w:topLinePunct w:val="0"/>
              <w:autoSpaceDE w:val="0"/>
              <w:autoSpaceDN w:val="0"/>
              <w:bidi w:val="0"/>
              <w:adjustRightInd w:val="0"/>
              <w:snapToGrid w:val="0"/>
              <w:spacing w:before="133" w:line="288" w:lineRule="auto"/>
              <w:ind w:left="5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作假行为的承诺</w:t>
            </w:r>
          </w:p>
        </w:tc>
        <w:tc>
          <w:tcPr>
            <w:tcW w:w="3107" w:type="dxa"/>
            <w:vAlign w:val="top"/>
          </w:tcPr>
          <w:p w14:paraId="2BB2A63A">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B1E7220">
            <w:pPr>
              <w:keepNext w:val="0"/>
              <w:keepLines w:val="0"/>
              <w:pageBreakBefore w:val="0"/>
              <w:widowControl/>
              <w:kinsoku/>
              <w:wordWrap w:val="0"/>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我方合法正当、诚实守信地</w:t>
            </w:r>
            <w:r>
              <w:rPr>
                <w:rFonts w:hint="eastAsia" w:ascii="宋体" w:hAnsi="宋体" w:eastAsia="宋体" w:cs="宋体"/>
                <w:color w:val="auto"/>
                <w:spacing w:val="7"/>
                <w:sz w:val="24"/>
                <w:szCs w:val="24"/>
                <w:highlight w:val="none"/>
              </w:rPr>
              <w:t>参与投标，不组织、不参加围标串标违法行为，不通过弄虚作假</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6"/>
                <w:sz w:val="24"/>
                <w:szCs w:val="24"/>
                <w:highlight w:val="none"/>
              </w:rPr>
              <w:t>行为骗取中标。</w:t>
            </w:r>
          </w:p>
        </w:tc>
        <w:tc>
          <w:tcPr>
            <w:tcW w:w="4272" w:type="dxa"/>
            <w:vAlign w:val="top"/>
          </w:tcPr>
          <w:p w14:paraId="26B083FE">
            <w:pPr>
              <w:keepNext w:val="0"/>
              <w:keepLines w:val="0"/>
              <w:pageBreakBefore w:val="0"/>
              <w:widowControl/>
              <w:kinsoku/>
              <w:wordWrap w:val="0"/>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auto"/>
                <w:spacing w:val="7"/>
                <w:sz w:val="24"/>
                <w:szCs w:val="24"/>
                <w:highlight w:val="none"/>
              </w:rPr>
              <w:t>引起的一切法律后果。</w:t>
            </w:r>
          </w:p>
        </w:tc>
      </w:tr>
      <w:tr w14:paraId="2D9BB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32E4EFB">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409B337">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DB6B007">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EF032B3">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1490C13">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E3CB086">
            <w:pPr>
              <w:keepNext w:val="0"/>
              <w:keepLines w:val="0"/>
              <w:pageBreakBefore w:val="0"/>
              <w:widowControl/>
              <w:kinsoku/>
              <w:wordWrap w:val="0"/>
              <w:overflowPunct/>
              <w:topLinePunct w:val="0"/>
              <w:autoSpaceDE w:val="0"/>
              <w:autoSpaceDN w:val="0"/>
              <w:bidi w:val="0"/>
              <w:adjustRightInd w:val="0"/>
              <w:snapToGrid w:val="0"/>
              <w:spacing w:before="58" w:line="288" w:lineRule="auto"/>
              <w:ind w:left="30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675" w:type="dxa"/>
            <w:vAlign w:val="top"/>
          </w:tcPr>
          <w:p w14:paraId="215074D9">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74C634D">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2C168CF">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08086A">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AE96CB2">
            <w:pPr>
              <w:keepNext w:val="0"/>
              <w:keepLines w:val="0"/>
              <w:pageBreakBefore w:val="0"/>
              <w:widowControl/>
              <w:kinsoku/>
              <w:wordWrap w:val="0"/>
              <w:overflowPunct/>
              <w:topLinePunct w:val="0"/>
              <w:autoSpaceDE w:val="0"/>
              <w:autoSpaceDN w:val="0"/>
              <w:bidi w:val="0"/>
              <w:adjustRightInd w:val="0"/>
              <w:snapToGrid w:val="0"/>
              <w:spacing w:before="65" w:line="288" w:lineRule="auto"/>
              <w:ind w:left="369" w:right="367" w:firstLine="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r>
              <w:rPr>
                <w:rFonts w:hint="eastAsia" w:ascii="宋体" w:hAnsi="宋体" w:eastAsia="宋体" w:cs="宋体"/>
                <w:color w:val="auto"/>
                <w:spacing w:val="7"/>
                <w:sz w:val="24"/>
                <w:szCs w:val="24"/>
                <w:highlight w:val="none"/>
              </w:rPr>
              <w:t>任职承诺</w:t>
            </w:r>
          </w:p>
        </w:tc>
        <w:tc>
          <w:tcPr>
            <w:tcW w:w="3107" w:type="dxa"/>
            <w:vAlign w:val="top"/>
          </w:tcPr>
          <w:p w14:paraId="76EFB3E9">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A627F9">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5BDC043">
            <w:pPr>
              <w:keepNext w:val="0"/>
              <w:keepLines w:val="0"/>
              <w:pageBreakBefore w:val="0"/>
              <w:widowControl/>
              <w:kinsoku/>
              <w:wordWrap w:val="0"/>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我方拟派项目经理现阶段</w:t>
            </w:r>
            <w:r>
              <w:rPr>
                <w:rFonts w:hint="eastAsia" w:ascii="宋体" w:hAnsi="宋体" w:eastAsia="宋体" w:cs="宋体"/>
                <w:color w:val="auto"/>
                <w:spacing w:val="7"/>
                <w:sz w:val="24"/>
                <w:szCs w:val="24"/>
                <w:highlight w:val="none"/>
              </w:rPr>
              <w:t>没有担任任何在施（包括已中标</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未开工、已开工未竣工）建设工</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程项目的项目经理。</w:t>
            </w:r>
          </w:p>
        </w:tc>
        <w:tc>
          <w:tcPr>
            <w:tcW w:w="4272" w:type="dxa"/>
            <w:vAlign w:val="top"/>
          </w:tcPr>
          <w:p w14:paraId="5743E675">
            <w:pPr>
              <w:keepNext w:val="0"/>
              <w:keepLines w:val="0"/>
              <w:pageBreakBefore w:val="0"/>
              <w:widowControl/>
              <w:kinsoku/>
              <w:wordWrap w:val="0"/>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如果我方拟派项目经理在本项目招标投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标活动期间有担任其他任何在施（包括已中标未开工、已开工未竣工）建设工程项目的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项目经理，我方接受招标人或其授权的招标</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代理机构或其组建的评标委员会依据招标文件作出的相应处理以及有关监督部门作出的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z w:val="24"/>
                <w:szCs w:val="24"/>
                <w:highlight w:val="none"/>
              </w:rPr>
              <w:t>行政处罚，并承担由此引起的一切法律后果。</w:t>
            </w:r>
          </w:p>
        </w:tc>
      </w:tr>
      <w:tr w14:paraId="72FB26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4E3D8D6">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F025A1B">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B6C23FF">
            <w:pPr>
              <w:keepNext w:val="0"/>
              <w:keepLines w:val="0"/>
              <w:pageBreakBefore w:val="0"/>
              <w:widowControl/>
              <w:kinsoku/>
              <w:wordWrap w:val="0"/>
              <w:overflowPunct/>
              <w:topLinePunct w:val="0"/>
              <w:autoSpaceDE w:val="0"/>
              <w:autoSpaceDN w:val="0"/>
              <w:bidi w:val="0"/>
              <w:adjustRightInd w:val="0"/>
              <w:snapToGrid w:val="0"/>
              <w:spacing w:before="58" w:line="288" w:lineRule="auto"/>
              <w:ind w:left="31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75" w:type="dxa"/>
            <w:vAlign w:val="top"/>
          </w:tcPr>
          <w:p w14:paraId="55EAC143">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878D575">
            <w:pPr>
              <w:keepNext w:val="0"/>
              <w:keepLines w:val="0"/>
              <w:pageBreakBefore w:val="0"/>
              <w:widowControl/>
              <w:kinsoku/>
              <w:wordWrap w:val="0"/>
              <w:overflowPunct/>
              <w:topLinePunct w:val="0"/>
              <w:autoSpaceDE w:val="0"/>
              <w:autoSpaceDN w:val="0"/>
              <w:bidi w:val="0"/>
              <w:adjustRightInd w:val="0"/>
              <w:snapToGrid w:val="0"/>
              <w:spacing w:before="65" w:line="288" w:lineRule="auto"/>
              <w:ind w:left="267" w:right="261" w:firstLine="1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真实性承诺</w:t>
            </w:r>
          </w:p>
        </w:tc>
        <w:tc>
          <w:tcPr>
            <w:tcW w:w="3107" w:type="dxa"/>
            <w:vAlign w:val="top"/>
          </w:tcPr>
          <w:p w14:paraId="18597784">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456CE76">
            <w:pPr>
              <w:keepNext w:val="0"/>
              <w:keepLines w:val="0"/>
              <w:pageBreakBefore w:val="0"/>
              <w:widowControl/>
              <w:kinsoku/>
              <w:wordWrap w:val="0"/>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我方所递交投标文件的全</w:t>
            </w:r>
            <w:r>
              <w:rPr>
                <w:rFonts w:hint="eastAsia" w:ascii="宋体" w:hAnsi="宋体" w:eastAsia="宋体" w:cs="宋体"/>
                <w:color w:val="auto"/>
                <w:spacing w:val="-7"/>
                <w:sz w:val="24"/>
                <w:szCs w:val="24"/>
                <w:highlight w:val="none"/>
              </w:rPr>
              <w:t>部内容均为真实、有效、准确的。</w:t>
            </w:r>
          </w:p>
        </w:tc>
        <w:tc>
          <w:tcPr>
            <w:tcW w:w="4272" w:type="dxa"/>
            <w:vAlign w:val="top"/>
          </w:tcPr>
          <w:p w14:paraId="5795EA48">
            <w:pPr>
              <w:keepNext w:val="0"/>
              <w:keepLines w:val="0"/>
              <w:pageBreakBefore w:val="0"/>
              <w:widowControl/>
              <w:kinsoku/>
              <w:wordWrap w:val="0"/>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如果我方递交的投标文件任何内容不真实或无效或不准确，我方接受招标人或其授权的招标代理机构或其组建的评标委员会依</w:t>
            </w:r>
            <w:r>
              <w:rPr>
                <w:rFonts w:hint="eastAsia" w:ascii="宋体" w:hAnsi="宋体" w:eastAsia="宋体" w:cs="宋体"/>
                <w:color w:val="auto"/>
                <w:sz w:val="24"/>
                <w:szCs w:val="24"/>
                <w:highlight w:val="none"/>
              </w:rPr>
              <w:t>据招标文件作出的相应处理，包括否决投标。</w:t>
            </w:r>
          </w:p>
        </w:tc>
      </w:tr>
      <w:tr w14:paraId="51603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top"/>
          </w:tcPr>
          <w:p w14:paraId="49BD0024">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CCB2627">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FE2C9E7">
            <w:pPr>
              <w:keepNext w:val="0"/>
              <w:keepLines w:val="0"/>
              <w:pageBreakBefore w:val="0"/>
              <w:widowControl/>
              <w:kinsoku/>
              <w:wordWrap w:val="0"/>
              <w:overflowPunct/>
              <w:topLinePunct w:val="0"/>
              <w:autoSpaceDE w:val="0"/>
              <w:autoSpaceDN w:val="0"/>
              <w:bidi w:val="0"/>
              <w:adjustRightInd w:val="0"/>
              <w:snapToGrid w:val="0"/>
              <w:spacing w:before="58" w:line="288" w:lineRule="auto"/>
              <w:ind w:left="3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p w14:paraId="32AB9786">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114300" distR="114300" simplePos="0" relativeHeight="251662336"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1"/>
                          <a:stretch>
                            <a:fillRect/>
                          </a:stretch>
                        </pic:blipFill>
                        <pic:spPr>
                          <a:xfrm>
                            <a:off x="0" y="0"/>
                            <a:ext cx="6350" cy="241300"/>
                          </a:xfrm>
                          <a:prstGeom prst="rect">
                            <a:avLst/>
                          </a:prstGeom>
                          <a:noFill/>
                          <a:ln>
                            <a:noFill/>
                          </a:ln>
                        </pic:spPr>
                      </pic:pic>
                    </a:graphicData>
                  </a:graphic>
                </wp:anchor>
              </w:drawing>
            </w:r>
          </w:p>
        </w:tc>
        <w:tc>
          <w:tcPr>
            <w:tcW w:w="1675" w:type="dxa"/>
            <w:vAlign w:val="top"/>
          </w:tcPr>
          <w:p w14:paraId="030C31BE">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0294887">
            <w:pPr>
              <w:keepNext w:val="0"/>
              <w:keepLines w:val="0"/>
              <w:pageBreakBefore w:val="0"/>
              <w:widowControl/>
              <w:kinsoku/>
              <w:wordWrap w:val="0"/>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p>
          <w:p w14:paraId="143CB162">
            <w:pPr>
              <w:keepNext w:val="0"/>
              <w:keepLines w:val="0"/>
              <w:pageBreakBefore w:val="0"/>
              <w:widowControl/>
              <w:kinsoku/>
              <w:wordWrap w:val="0"/>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信息公开承诺</w:t>
            </w:r>
          </w:p>
        </w:tc>
        <w:tc>
          <w:tcPr>
            <w:tcW w:w="3107" w:type="dxa"/>
            <w:vAlign w:val="top"/>
          </w:tcPr>
          <w:p w14:paraId="18B580A3">
            <w:pPr>
              <w:keepNext w:val="0"/>
              <w:keepLines w:val="0"/>
              <w:pageBreakBefore w:val="0"/>
              <w:widowControl/>
              <w:kinsoku/>
              <w:wordWrap w:val="0"/>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我方提供完整的文件。如果</w:t>
            </w:r>
            <w:r>
              <w:rPr>
                <w:rFonts w:hint="eastAsia" w:ascii="宋体" w:hAnsi="宋体" w:eastAsia="宋体" w:cs="宋体"/>
                <w:color w:val="auto"/>
                <w:spacing w:val="7"/>
                <w:sz w:val="24"/>
                <w:szCs w:val="24"/>
                <w:highlight w:val="none"/>
              </w:rPr>
              <w:t>我方成为本项目中标候选人，我</w:t>
            </w:r>
            <w:r>
              <w:rPr>
                <w:rFonts w:hint="eastAsia" w:ascii="宋体" w:hAnsi="宋体" w:eastAsia="宋体" w:cs="宋体"/>
                <w:color w:val="auto"/>
                <w:spacing w:val="23"/>
                <w:sz w:val="24"/>
                <w:szCs w:val="24"/>
                <w:highlight w:val="none"/>
              </w:rPr>
              <w:t>方同意并授权招标人在评标结果公示期内公开我方商务标书</w:t>
            </w:r>
            <w:r>
              <w:rPr>
                <w:rFonts w:hint="eastAsia" w:ascii="宋体" w:hAnsi="宋体" w:eastAsia="宋体" w:cs="宋体"/>
                <w:color w:val="auto"/>
                <w:spacing w:val="3"/>
                <w:sz w:val="24"/>
                <w:szCs w:val="24"/>
                <w:highlight w:val="none"/>
              </w:rPr>
              <w:t>的全部内容。</w:t>
            </w:r>
          </w:p>
        </w:tc>
        <w:tc>
          <w:tcPr>
            <w:tcW w:w="4272" w:type="dxa"/>
            <w:vAlign w:val="top"/>
          </w:tcPr>
          <w:p w14:paraId="58689A3B">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05pt;margin-top:1.5pt;height:121.25pt;width:212.5pt;z-index:251660288;mso-width-relative:page;mso-height-relative:page;" filled="f" stroked="t" coordsize="21600,21600" o:gfxdata="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qIdPdQAAAAHAQAADwAAAAAAAAABACAAAAAiAAAAZHJzL2Rvd25y&#10;ZXYueG1sUEsBAhQAFAAAAAgAh07iQNS38qICAgAA0AMAAA4AAAAAAAAAAQAgAAAAIwEAAGRycy9l&#10;Mm9Eb2MueG1sUEsFBgAAAAAGAAYAWQEAAJcFAAAAAA==&#10;">
                      <v:fill on="f" focussize="0,0"/>
                      <v:stroke weight="1pt" color="#4874CB [3204]" miterlimit="8" joinstyle="miter"/>
                      <v:imagedata o:title=""/>
                      <o:lock v:ext="edit" aspectratio="f"/>
                    </v:line>
                  </w:pict>
                </mc:Fallback>
              </mc:AlternateContent>
            </w:r>
          </w:p>
          <w:p w14:paraId="7B63BF6A">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365EE97">
            <w:pPr>
              <w:keepNext w:val="0"/>
              <w:keepLines w:val="0"/>
              <w:pageBreakBefore w:val="0"/>
              <w:widowControl/>
              <w:kinsoku/>
              <w:wordWrap w:val="0"/>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z w:val="24"/>
                <w:szCs w:val="24"/>
                <w:highlight w:val="none"/>
              </w:rPr>
            </w:pPr>
          </w:p>
        </w:tc>
      </w:tr>
      <w:tr w14:paraId="3B05B0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top"/>
          </w:tcPr>
          <w:p w14:paraId="4FE4BF02">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5998836">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BAF5C8C">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FE97F06">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B2A9F3E">
            <w:pPr>
              <w:keepNext w:val="0"/>
              <w:keepLines w:val="0"/>
              <w:pageBreakBefore w:val="0"/>
              <w:widowControl/>
              <w:kinsoku/>
              <w:wordWrap w:val="0"/>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75" w:type="dxa"/>
            <w:vAlign w:val="top"/>
          </w:tcPr>
          <w:p w14:paraId="43163C3D">
            <w:pPr>
              <w:pStyle w:val="21"/>
              <w:keepNext w:val="0"/>
              <w:keepLines w:val="0"/>
              <w:pageBreakBefore w:val="0"/>
              <w:widowControl/>
              <w:kinsoku/>
              <w:wordWrap w:val="0"/>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21584682">
            <w:pPr>
              <w:pStyle w:val="21"/>
              <w:keepNext w:val="0"/>
              <w:keepLines w:val="0"/>
              <w:pageBreakBefore w:val="0"/>
              <w:widowControl/>
              <w:kinsoku/>
              <w:wordWrap w:val="0"/>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628BCDB">
            <w:pPr>
              <w:pStyle w:val="21"/>
              <w:keepNext w:val="0"/>
              <w:keepLines w:val="0"/>
              <w:pageBreakBefore w:val="0"/>
              <w:widowControl/>
              <w:kinsoku/>
              <w:wordWrap w:val="0"/>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17B4F23B">
            <w:pPr>
              <w:keepNext w:val="0"/>
              <w:keepLines w:val="0"/>
              <w:pageBreakBefore w:val="0"/>
              <w:widowControl/>
              <w:kinsoku/>
              <w:wordWrap w:val="0"/>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对不正常报价</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4"/>
                <w:sz w:val="24"/>
                <w:szCs w:val="24"/>
                <w:highlight w:val="none"/>
              </w:rPr>
              <w:t>的确认承诺</w:t>
            </w:r>
          </w:p>
        </w:tc>
        <w:tc>
          <w:tcPr>
            <w:tcW w:w="3107" w:type="dxa"/>
            <w:vAlign w:val="top"/>
          </w:tcPr>
          <w:p w14:paraId="7ED4B132">
            <w:pPr>
              <w:keepNext w:val="0"/>
              <w:keepLines w:val="0"/>
              <w:pageBreakBefore w:val="0"/>
              <w:widowControl/>
              <w:kinsoku/>
              <w:wordWrap w:val="0"/>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如果我方中标，我方接受招</w:t>
            </w:r>
            <w:r>
              <w:rPr>
                <w:rFonts w:hint="eastAsia" w:ascii="宋体" w:hAnsi="宋体" w:eastAsia="宋体" w:cs="宋体"/>
                <w:color w:val="auto"/>
                <w:spacing w:val="23"/>
                <w:sz w:val="24"/>
                <w:szCs w:val="24"/>
                <w:highlight w:val="none"/>
              </w:rPr>
              <w:t>标人在合同订立期间依据招标文件有关条款约定对我方已标价工程量清单中不正常报价的</w:t>
            </w:r>
            <w:r>
              <w:rPr>
                <w:rFonts w:hint="eastAsia" w:ascii="宋体" w:hAnsi="宋体" w:eastAsia="宋体" w:cs="宋体"/>
                <w:color w:val="auto"/>
                <w:spacing w:val="7"/>
                <w:sz w:val="24"/>
                <w:szCs w:val="24"/>
                <w:highlight w:val="none"/>
              </w:rPr>
              <w:t>修正或认定，并按要求签署《不</w:t>
            </w:r>
            <w:r>
              <w:rPr>
                <w:rFonts w:hint="eastAsia" w:ascii="宋体" w:hAnsi="宋体" w:eastAsia="宋体" w:cs="宋体"/>
                <w:color w:val="auto"/>
                <w:spacing w:val="8"/>
                <w:sz w:val="24"/>
                <w:szCs w:val="24"/>
                <w:highlight w:val="none"/>
              </w:rPr>
              <w:t>正常报价清单》加以确认。</w:t>
            </w:r>
          </w:p>
        </w:tc>
        <w:tc>
          <w:tcPr>
            <w:tcW w:w="4272" w:type="dxa"/>
            <w:vAlign w:val="top"/>
          </w:tcPr>
          <w:p w14:paraId="45890CDC">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26035</wp:posOffset>
                      </wp:positionV>
                      <wp:extent cx="2706370" cy="1920875"/>
                      <wp:effectExtent l="3810" t="5080" r="13970" b="17145"/>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6pt;margin-top:2.05pt;height:151.25pt;width:213.1pt;z-index:251661312;mso-width-relative:page;mso-height-relative:page;" filled="f" stroked="t" coordsize="21600,21600" o:gfxdata="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HjHtdIAAAAHAQAADwAAAAAAAAABACAAAAAiAAAAZHJzL2Rvd25y&#10;ZXYueG1sUEsBAhQAFAAAAAgAh07iQBDx3nQEAgAA0AMAAA4AAAAAAAAAAQAgAAAAIQEAAGRycy9l&#10;Mm9Eb2MueG1sUEsFBgAAAAAGAAYAWQEAAJcFAAAAAA==&#10;">
                      <v:fill on="f" focussize="0,0"/>
                      <v:stroke weight="1pt" color="#4874CB [3204]" miterlimit="8" joinstyle="miter"/>
                      <v:imagedata o:title=""/>
                      <o:lock v:ext="edit" aspectratio="f"/>
                    </v:line>
                  </w:pict>
                </mc:Fallback>
              </mc:AlternateContent>
            </w:r>
          </w:p>
          <w:p w14:paraId="5F28B8B3">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6D395E9">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940329C">
            <w:pPr>
              <w:keepNext w:val="0"/>
              <w:keepLines w:val="0"/>
              <w:pageBreakBefore w:val="0"/>
              <w:widowControl/>
              <w:kinsoku/>
              <w:wordWrap w:val="0"/>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z w:val="24"/>
                <w:szCs w:val="24"/>
                <w:highlight w:val="none"/>
              </w:rPr>
            </w:pPr>
          </w:p>
        </w:tc>
      </w:tr>
      <w:tr w14:paraId="7BD2A5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EAD56D7">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FE0E6B3">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6F77DE">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1867D0E">
            <w:pPr>
              <w:keepNext w:val="0"/>
              <w:keepLines w:val="0"/>
              <w:pageBreakBefore w:val="0"/>
              <w:widowControl/>
              <w:kinsoku/>
              <w:wordWrap w:val="0"/>
              <w:overflowPunct/>
              <w:topLinePunct w:val="0"/>
              <w:autoSpaceDE w:val="0"/>
              <w:autoSpaceDN w:val="0"/>
              <w:bidi w:val="0"/>
              <w:adjustRightInd w:val="0"/>
              <w:snapToGrid w:val="0"/>
              <w:spacing w:before="58" w:line="288" w:lineRule="auto"/>
              <w:ind w:left="3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75" w:type="dxa"/>
            <w:vAlign w:val="top"/>
          </w:tcPr>
          <w:p w14:paraId="723303EA">
            <w:pPr>
              <w:pStyle w:val="21"/>
              <w:keepNext w:val="0"/>
              <w:keepLines w:val="0"/>
              <w:pageBreakBefore w:val="0"/>
              <w:widowControl/>
              <w:kinsoku/>
              <w:wordWrap w:val="0"/>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0BBA9BD9">
            <w:pPr>
              <w:pStyle w:val="21"/>
              <w:keepNext w:val="0"/>
              <w:keepLines w:val="0"/>
              <w:pageBreakBefore w:val="0"/>
              <w:widowControl/>
              <w:kinsoku/>
              <w:wordWrap w:val="0"/>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5CC084B4">
            <w:pPr>
              <w:keepNext w:val="0"/>
              <w:keepLines w:val="0"/>
              <w:pageBreakBefore w:val="0"/>
              <w:widowControl/>
              <w:kinsoku/>
              <w:wordWrap w:val="0"/>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按时提交履约</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7"/>
                <w:sz w:val="24"/>
                <w:szCs w:val="24"/>
                <w:highlight w:val="none"/>
              </w:rPr>
              <w:t>保证的承诺</w:t>
            </w:r>
          </w:p>
        </w:tc>
        <w:tc>
          <w:tcPr>
            <w:tcW w:w="3107" w:type="dxa"/>
            <w:vAlign w:val="top"/>
          </w:tcPr>
          <w:p w14:paraId="7B61A6BA">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FDB927">
            <w:pPr>
              <w:keepNext w:val="0"/>
              <w:keepLines w:val="0"/>
              <w:pageBreakBefore w:val="0"/>
              <w:widowControl/>
              <w:kinsoku/>
              <w:wordWrap w:val="0"/>
              <w:overflowPunct/>
              <w:topLinePunct w:val="0"/>
              <w:autoSpaceDE w:val="0"/>
              <w:autoSpaceDN w:val="0"/>
              <w:bidi w:val="0"/>
              <w:adjustRightInd w:val="0"/>
              <w:snapToGrid w:val="0"/>
              <w:spacing w:line="288" w:lineRule="auto"/>
              <w:ind w:left="11"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招标文件规定的时限内全额提</w:t>
            </w:r>
            <w:r>
              <w:rPr>
                <w:rFonts w:hint="eastAsia" w:ascii="宋体" w:hAnsi="宋体" w:eastAsia="宋体" w:cs="宋体"/>
                <w:color w:val="auto"/>
                <w:spacing w:val="6"/>
                <w:sz w:val="24"/>
                <w:szCs w:val="24"/>
                <w:highlight w:val="none"/>
              </w:rPr>
              <w:t>交履约保证。</w:t>
            </w:r>
          </w:p>
        </w:tc>
        <w:tc>
          <w:tcPr>
            <w:tcW w:w="4272" w:type="dxa"/>
            <w:vAlign w:val="top"/>
          </w:tcPr>
          <w:p w14:paraId="37B7C163">
            <w:pPr>
              <w:keepNext w:val="0"/>
              <w:keepLines w:val="0"/>
              <w:pageBreakBefore w:val="0"/>
              <w:widowControl/>
              <w:kinsoku/>
              <w:wordWrap w:val="0"/>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如果我方未在招标文件规定的时限内全</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9"/>
                <w:sz w:val="24"/>
                <w:szCs w:val="24"/>
                <w:highlight w:val="none"/>
              </w:rPr>
              <w:t>额提交履约保证，我方接受招标人依据招标文件作出的相应处理以及有关监督部门作出的行政处罚，并承担由此引起的一切法律后</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果。</w:t>
            </w:r>
          </w:p>
        </w:tc>
      </w:tr>
      <w:tr w14:paraId="208D9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0120DE6">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5046E4C">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ECA051A">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042F4FA">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D371D4C">
            <w:pPr>
              <w:keepNext w:val="0"/>
              <w:keepLines w:val="0"/>
              <w:pageBreakBefore w:val="0"/>
              <w:widowControl/>
              <w:kinsoku/>
              <w:wordWrap w:val="0"/>
              <w:overflowPunct/>
              <w:topLinePunct w:val="0"/>
              <w:autoSpaceDE w:val="0"/>
              <w:autoSpaceDN w:val="0"/>
              <w:bidi w:val="0"/>
              <w:adjustRightInd w:val="0"/>
              <w:snapToGrid w:val="0"/>
              <w:spacing w:before="58"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75" w:type="dxa"/>
            <w:vAlign w:val="top"/>
          </w:tcPr>
          <w:p w14:paraId="18DB3F26">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59BCC8F">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39A4BCB">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452B58C">
            <w:pPr>
              <w:keepNext w:val="0"/>
              <w:keepLines w:val="0"/>
              <w:pageBreakBefore w:val="0"/>
              <w:widowControl/>
              <w:kinsoku/>
              <w:wordWrap w:val="0"/>
              <w:overflowPunct/>
              <w:topLinePunct w:val="0"/>
              <w:autoSpaceDE w:val="0"/>
              <w:autoSpaceDN w:val="0"/>
              <w:bidi w:val="0"/>
              <w:adjustRightInd w:val="0"/>
              <w:snapToGrid w:val="0"/>
              <w:spacing w:line="288" w:lineRule="auto"/>
              <w:ind w:left="0"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按时签订合同</w:t>
            </w:r>
            <w:r>
              <w:rPr>
                <w:rFonts w:hint="eastAsia" w:ascii="宋体" w:hAnsi="宋体" w:eastAsia="宋体" w:cs="宋体"/>
                <w:color w:val="auto"/>
                <w:spacing w:val="1"/>
                <w:sz w:val="24"/>
                <w:szCs w:val="24"/>
                <w:highlight w:val="none"/>
              </w:rPr>
              <w:t>的承诺</w:t>
            </w:r>
          </w:p>
        </w:tc>
        <w:tc>
          <w:tcPr>
            <w:tcW w:w="3107" w:type="dxa"/>
            <w:vAlign w:val="top"/>
          </w:tcPr>
          <w:p w14:paraId="745A5CAB">
            <w:pPr>
              <w:pStyle w:val="21"/>
              <w:keepNext w:val="0"/>
              <w:keepLines w:val="0"/>
              <w:pageBreakBefore w:val="0"/>
              <w:widowControl/>
              <w:kinsoku/>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044BA3E">
            <w:pPr>
              <w:keepNext w:val="0"/>
              <w:keepLines w:val="0"/>
              <w:pageBreakBefore w:val="0"/>
              <w:widowControl/>
              <w:kinsoku/>
              <w:wordWrap w:val="0"/>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招标文件规定的时限内与招标</w:t>
            </w:r>
            <w:r>
              <w:rPr>
                <w:rFonts w:hint="eastAsia" w:ascii="宋体" w:hAnsi="宋体" w:eastAsia="宋体" w:cs="宋体"/>
                <w:color w:val="auto"/>
                <w:spacing w:val="7"/>
                <w:sz w:val="24"/>
                <w:szCs w:val="24"/>
                <w:highlight w:val="none"/>
              </w:rPr>
              <w:t>人签订合同，不提出违背或超出</w:t>
            </w:r>
            <w:r>
              <w:rPr>
                <w:rFonts w:hint="eastAsia" w:ascii="宋体" w:hAnsi="宋体" w:eastAsia="宋体" w:cs="宋体"/>
                <w:color w:val="auto"/>
                <w:spacing w:val="8"/>
                <w:sz w:val="24"/>
                <w:szCs w:val="24"/>
                <w:highlight w:val="none"/>
              </w:rPr>
              <w:t>招标文件、中标文件的要求。</w:t>
            </w:r>
          </w:p>
        </w:tc>
        <w:tc>
          <w:tcPr>
            <w:tcW w:w="4272" w:type="dxa"/>
            <w:vAlign w:val="top"/>
          </w:tcPr>
          <w:p w14:paraId="1F95DB8F">
            <w:pPr>
              <w:keepNext w:val="0"/>
              <w:keepLines w:val="0"/>
              <w:pageBreakBefore w:val="0"/>
              <w:widowControl/>
              <w:kinsoku/>
              <w:wordWrap w:val="0"/>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如果我方未在招标文件规定的时限内与招标人签订合同，或我方在签订合同过程中</w:t>
            </w:r>
            <w:r>
              <w:rPr>
                <w:rFonts w:hint="eastAsia" w:ascii="宋体" w:hAnsi="宋体" w:eastAsia="宋体" w:cs="宋体"/>
                <w:color w:val="auto"/>
                <w:sz w:val="24"/>
                <w:szCs w:val="24"/>
                <w:highlight w:val="none"/>
              </w:rPr>
              <w:t>提出违背或超出招标文件、中标文件的要求。</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7"/>
                <w:sz w:val="24"/>
                <w:szCs w:val="24"/>
                <w:highlight w:val="none"/>
              </w:rPr>
              <w:t>我方接受招标人依据招标文件作出的相应处</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理以及有关监督部门作出的行政处罚，并承</w:t>
            </w:r>
            <w:r>
              <w:rPr>
                <w:rFonts w:hint="eastAsia" w:ascii="宋体" w:hAnsi="宋体" w:eastAsia="宋体" w:cs="宋体"/>
                <w:color w:val="auto"/>
                <w:spacing w:val="5"/>
                <w:sz w:val="24"/>
                <w:szCs w:val="24"/>
                <w:highlight w:val="none"/>
              </w:rPr>
              <w:t>担由此引起的一切法律后果。</w:t>
            </w:r>
          </w:p>
        </w:tc>
      </w:tr>
    </w:tbl>
    <w:p w14:paraId="1280BF8E">
      <w:pPr>
        <w:pageBreakBefore w:val="0"/>
        <w:kinsoku/>
        <w:wordWrap w:val="0"/>
        <w:overflowPunct/>
        <w:topLinePunct w:val="0"/>
        <w:bidi w:val="0"/>
        <w:spacing w:before="78" w:line="219" w:lineRule="auto"/>
        <w:ind w:firstLine="6832" w:firstLineChars="2800"/>
        <w:jc w:val="both"/>
        <w:rPr>
          <w:rFonts w:hint="eastAsia" w:ascii="宋体" w:hAnsi="宋体" w:eastAsia="宋体" w:cs="宋体"/>
          <w:color w:val="auto"/>
          <w:spacing w:val="2"/>
          <w:sz w:val="24"/>
          <w:szCs w:val="24"/>
          <w:highlight w:val="none"/>
        </w:rPr>
      </w:pPr>
    </w:p>
    <w:p w14:paraId="2CF50268">
      <w:pPr>
        <w:pageBreakBefore w:val="0"/>
        <w:kinsoku/>
        <w:wordWrap w:val="0"/>
        <w:overflowPunct/>
        <w:topLinePunct w:val="0"/>
        <w:bidi w:val="0"/>
        <w:spacing w:before="78" w:line="219" w:lineRule="auto"/>
        <w:ind w:firstLine="6832" w:firstLineChars="280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2D917528">
      <w:pPr>
        <w:pStyle w:val="3"/>
        <w:pageBreakBefore w:val="0"/>
        <w:kinsoku/>
        <w:wordWrap w:val="0"/>
        <w:overflowPunct/>
        <w:topLinePunct w:val="0"/>
        <w:bidi w:val="0"/>
        <w:spacing w:line="297" w:lineRule="auto"/>
        <w:jc w:val="right"/>
        <w:rPr>
          <w:rFonts w:hint="eastAsia" w:ascii="宋体" w:hAnsi="宋体" w:eastAsia="宋体" w:cs="宋体"/>
          <w:color w:val="auto"/>
          <w:highlight w:val="none"/>
        </w:rPr>
      </w:pPr>
    </w:p>
    <w:p w14:paraId="6AF2FDE1">
      <w:pPr>
        <w:pageBreakBefore w:val="0"/>
        <w:kinsoku/>
        <w:wordWrap w:val="0"/>
        <w:overflowPunct/>
        <w:topLinePunct w:val="0"/>
        <w:bidi w:val="0"/>
        <w:spacing w:before="78" w:line="219" w:lineRule="auto"/>
        <w:ind w:left="4366"/>
        <w:jc w:val="righ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28353B88">
      <w:pPr>
        <w:pageBreakBefore w:val="0"/>
        <w:kinsoku/>
        <w:wordWrap w:val="0"/>
        <w:overflowPunct/>
        <w:topLinePunct w:val="0"/>
        <w:bidi w:val="0"/>
        <w:outlineLvl w:val="9"/>
        <w:rPr>
          <w:rFonts w:hint="eastAsia"/>
          <w:color w:val="auto"/>
          <w:highlight w:val="none"/>
        </w:rPr>
      </w:pPr>
    </w:p>
    <w:p w14:paraId="4D59FD44">
      <w:pPr>
        <w:pageBreakBefore w:val="0"/>
        <w:kinsoku/>
        <w:wordWrap w:val="0"/>
        <w:overflowPunct/>
        <w:topLinePunct w:val="0"/>
        <w:bidi w:val="0"/>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4DEAF14D">
      <w:pPr>
        <w:pageBreakBefore w:val="0"/>
        <w:kinsoku/>
        <w:wordWrap w:val="0"/>
        <w:overflowPunct/>
        <w:topLinePunct w:val="0"/>
        <w:bidi w:val="0"/>
        <w:spacing w:line="220" w:lineRule="auto"/>
        <w:jc w:val="right"/>
        <w:rPr>
          <w:rFonts w:hint="eastAsia" w:ascii="宋体" w:hAnsi="宋体" w:eastAsia="宋体" w:cs="宋体"/>
          <w:color w:val="auto"/>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E08E517">
      <w:pPr>
        <w:pageBreakBefore w:val="0"/>
        <w:kinsoku/>
        <w:wordWrap w:val="0"/>
        <w:overflowPunct/>
        <w:topLinePunct w:val="0"/>
        <w:bidi w:val="0"/>
        <w:spacing w:before="78" w:line="220" w:lineRule="auto"/>
        <w:outlineLvl w:val="2"/>
        <w:rPr>
          <w:rFonts w:hint="eastAsia" w:ascii="宋体" w:hAnsi="宋体" w:eastAsia="宋体" w:cs="宋体"/>
          <w:b/>
          <w:bCs/>
          <w:color w:val="auto"/>
          <w:spacing w:val="-4"/>
          <w:sz w:val="24"/>
          <w:szCs w:val="24"/>
          <w:highlight w:val="none"/>
        </w:rPr>
      </w:pPr>
      <w:bookmarkStart w:id="236" w:name="_Toc14378"/>
      <w:r>
        <w:rPr>
          <w:rFonts w:hint="eastAsia" w:ascii="宋体" w:hAnsi="宋体" w:eastAsia="宋体" w:cs="宋体"/>
          <w:b/>
          <w:bCs/>
          <w:color w:val="auto"/>
          <w:spacing w:val="-4"/>
          <w:sz w:val="24"/>
          <w:szCs w:val="24"/>
          <w:highlight w:val="none"/>
        </w:rPr>
        <w:t>格式四 授权委托书</w:t>
      </w:r>
      <w:bookmarkEnd w:id="236"/>
    </w:p>
    <w:p w14:paraId="52D6B1AC">
      <w:pPr>
        <w:pStyle w:val="3"/>
        <w:pageBreakBefore w:val="0"/>
        <w:kinsoku/>
        <w:wordWrap w:val="0"/>
        <w:overflowPunct/>
        <w:topLinePunct w:val="0"/>
        <w:bidi w:val="0"/>
        <w:spacing w:line="351" w:lineRule="auto"/>
        <w:rPr>
          <w:rFonts w:hint="eastAsia" w:ascii="宋体" w:hAnsi="宋体" w:eastAsia="宋体" w:cs="宋体"/>
          <w:color w:val="auto"/>
          <w:highlight w:val="none"/>
        </w:rPr>
      </w:pPr>
    </w:p>
    <w:p w14:paraId="4FF0C18E">
      <w:pPr>
        <w:pStyle w:val="3"/>
        <w:pageBreakBefore w:val="0"/>
        <w:kinsoku/>
        <w:wordWrap w:val="0"/>
        <w:overflowPunct/>
        <w:topLinePunct w:val="0"/>
        <w:bidi w:val="0"/>
        <w:spacing w:line="351" w:lineRule="auto"/>
        <w:rPr>
          <w:rFonts w:hint="eastAsia" w:ascii="宋体" w:hAnsi="宋体" w:eastAsia="宋体" w:cs="宋体"/>
          <w:color w:val="auto"/>
          <w:highlight w:val="none"/>
        </w:rPr>
      </w:pPr>
    </w:p>
    <w:p w14:paraId="392E9734">
      <w:pPr>
        <w:pageBreakBefore w:val="0"/>
        <w:kinsoku/>
        <w:wordWrap w:val="0"/>
        <w:overflowPunct/>
        <w:topLinePunct w:val="0"/>
        <w:bidi w:val="0"/>
        <w:spacing w:before="97" w:line="219" w:lineRule="auto"/>
        <w:ind w:left="3786"/>
        <w:rPr>
          <w:rFonts w:hint="eastAsia" w:ascii="宋体" w:hAnsi="宋体" w:eastAsia="宋体" w:cs="宋体"/>
          <w:color w:val="auto"/>
          <w:sz w:val="30"/>
          <w:szCs w:val="30"/>
          <w:highlight w:val="none"/>
        </w:rPr>
      </w:pPr>
      <w:bookmarkStart w:id="237" w:name="bookmark151"/>
      <w:bookmarkEnd w:id="237"/>
      <w:r>
        <w:rPr>
          <w:rFonts w:hint="eastAsia" w:ascii="宋体" w:hAnsi="宋体" w:eastAsia="宋体" w:cs="宋体"/>
          <w:b/>
          <w:bCs/>
          <w:color w:val="auto"/>
          <w:spacing w:val="-5"/>
          <w:sz w:val="30"/>
          <w:szCs w:val="30"/>
          <w:highlight w:val="none"/>
        </w:rPr>
        <w:t>授权委托书</w:t>
      </w:r>
    </w:p>
    <w:p w14:paraId="04F88440">
      <w:pPr>
        <w:pStyle w:val="3"/>
        <w:pageBreakBefore w:val="0"/>
        <w:kinsoku/>
        <w:wordWrap w:val="0"/>
        <w:overflowPunct/>
        <w:topLinePunct w:val="0"/>
        <w:bidi w:val="0"/>
        <w:spacing w:line="250" w:lineRule="auto"/>
        <w:rPr>
          <w:rFonts w:hint="eastAsia" w:ascii="宋体" w:hAnsi="宋体" w:eastAsia="宋体" w:cs="宋体"/>
          <w:color w:val="auto"/>
          <w:highlight w:val="none"/>
        </w:rPr>
      </w:pPr>
    </w:p>
    <w:p w14:paraId="2017F5C3">
      <w:pPr>
        <w:pStyle w:val="3"/>
        <w:pageBreakBefore w:val="0"/>
        <w:kinsoku/>
        <w:wordWrap w:val="0"/>
        <w:overflowPunct/>
        <w:topLinePunct w:val="0"/>
        <w:bidi w:val="0"/>
        <w:spacing w:line="250" w:lineRule="auto"/>
        <w:rPr>
          <w:rFonts w:hint="eastAsia" w:ascii="宋体" w:hAnsi="宋体" w:eastAsia="宋体" w:cs="宋体"/>
          <w:color w:val="auto"/>
          <w:highlight w:val="none"/>
        </w:rPr>
      </w:pPr>
    </w:p>
    <w:p w14:paraId="05FEBBB4">
      <w:pPr>
        <w:pStyle w:val="3"/>
        <w:pageBreakBefore w:val="0"/>
        <w:kinsoku/>
        <w:wordWrap w:val="0"/>
        <w:overflowPunct/>
        <w:topLinePunct w:val="0"/>
        <w:bidi w:val="0"/>
        <w:spacing w:line="251" w:lineRule="auto"/>
        <w:rPr>
          <w:rFonts w:hint="eastAsia" w:ascii="宋体" w:hAnsi="宋体" w:eastAsia="宋体" w:cs="宋体"/>
          <w:color w:val="auto"/>
          <w:highlight w:val="none"/>
        </w:rPr>
      </w:pPr>
    </w:p>
    <w:p w14:paraId="751DBC02">
      <w:pPr>
        <w:pageBreakBefore w:val="0"/>
        <w:kinsoku/>
        <w:wordWrap w:val="0"/>
        <w:overflowPunct/>
        <w:topLinePunct w:val="0"/>
        <w:bidi w:val="0"/>
        <w:spacing w:before="78" w:line="330" w:lineRule="auto"/>
        <w:ind w:firstLine="481"/>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8"/>
          <w:highlight w:val="none"/>
          <w:lang w:eastAsia="zh-CN"/>
        </w:rPr>
        <w:t>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 w:val="24"/>
          <w:szCs w:val="28"/>
          <w:highlight w:val="none"/>
          <w:u w:val="single"/>
          <w:lang w:eastAsia="zh-CN"/>
        </w:rPr>
        <w:t>（项目名称）</w:t>
      </w:r>
      <w:r>
        <w:rPr>
          <w:rFonts w:hint="eastAsia" w:ascii="宋体" w:hAnsi="宋体" w:eastAsia="宋体" w:cs="宋体"/>
          <w:snapToGrid w:val="0"/>
          <w:color w:val="auto"/>
          <w:kern w:val="0"/>
          <w:sz w:val="24"/>
          <w:szCs w:val="28"/>
          <w:highlight w:val="none"/>
          <w:lang w:eastAsia="zh-CN"/>
        </w:rPr>
        <w:t xml:space="preserve"> 投标文件、签订合同和处理有关事宜，其法律后果由我方承担。</w:t>
      </w:r>
    </w:p>
    <w:p w14:paraId="2653EF0D">
      <w:pPr>
        <w:pageBreakBefore w:val="0"/>
        <w:kinsoku/>
        <w:wordWrap w:val="0"/>
        <w:overflowPunct/>
        <w:topLinePunct w:val="0"/>
        <w:bidi w:val="0"/>
        <w:spacing w:before="32" w:line="320" w:lineRule="auto"/>
        <w:ind w:left="480" w:right="497"/>
        <w:rPr>
          <w:rFonts w:hint="eastAsia" w:ascii="宋体" w:hAnsi="宋体" w:eastAsia="宋体" w:cs="宋体"/>
          <w:color w:val="auto"/>
          <w:spacing w:val="15"/>
          <w:sz w:val="24"/>
          <w:szCs w:val="24"/>
          <w:highlight w:val="none"/>
        </w:rPr>
      </w:pPr>
      <w:r>
        <w:rPr>
          <w:rFonts w:hint="eastAsia" w:ascii="宋体" w:hAnsi="宋体" w:eastAsia="宋体" w:cs="宋体"/>
          <w:color w:val="auto"/>
          <w:spacing w:val="-9"/>
          <w:sz w:val="24"/>
          <w:szCs w:val="24"/>
          <w:highlight w:val="none"/>
        </w:rPr>
        <w:t>委托期限：</w:t>
      </w:r>
      <w:r>
        <w:rPr>
          <w:rFonts w:hint="eastAsia" w:ascii="宋体" w:hAnsi="宋体" w:eastAsia="宋体" w:cs="宋体"/>
          <w:color w:val="auto"/>
          <w:spacing w:val="-9"/>
          <w:sz w:val="24"/>
          <w:szCs w:val="24"/>
          <w:highlight w:val="none"/>
          <w:u w:val="single"/>
        </w:rPr>
        <w:t>至投标有效期的期满之日止</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5"/>
          <w:sz w:val="24"/>
          <w:szCs w:val="24"/>
          <w:highlight w:val="none"/>
        </w:rPr>
        <w:t xml:space="preserve"> </w:t>
      </w:r>
    </w:p>
    <w:p w14:paraId="7CF2436B">
      <w:pPr>
        <w:pageBreakBefore w:val="0"/>
        <w:kinsoku/>
        <w:wordWrap w:val="0"/>
        <w:overflowPunct/>
        <w:topLinePunct w:val="0"/>
        <w:bidi w:val="0"/>
        <w:spacing w:before="32" w:line="320" w:lineRule="auto"/>
        <w:ind w:left="480" w:right="49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代理人无转委托权。</w:t>
      </w:r>
    </w:p>
    <w:p w14:paraId="0C0A40E6">
      <w:pPr>
        <w:pStyle w:val="3"/>
        <w:pageBreakBefore w:val="0"/>
        <w:kinsoku/>
        <w:wordWrap w:val="0"/>
        <w:overflowPunct/>
        <w:topLinePunct w:val="0"/>
        <w:bidi w:val="0"/>
        <w:spacing w:line="276" w:lineRule="auto"/>
        <w:rPr>
          <w:rFonts w:hint="eastAsia" w:ascii="宋体" w:hAnsi="宋体" w:eastAsia="宋体" w:cs="宋体"/>
          <w:color w:val="auto"/>
          <w:highlight w:val="none"/>
        </w:rPr>
      </w:pPr>
    </w:p>
    <w:p w14:paraId="418B1FBB">
      <w:pPr>
        <w:pStyle w:val="3"/>
        <w:pageBreakBefore w:val="0"/>
        <w:kinsoku/>
        <w:wordWrap w:val="0"/>
        <w:overflowPunct/>
        <w:topLinePunct w:val="0"/>
        <w:bidi w:val="0"/>
        <w:spacing w:line="277" w:lineRule="auto"/>
        <w:rPr>
          <w:rFonts w:hint="eastAsia" w:ascii="宋体" w:hAnsi="宋体" w:eastAsia="宋体" w:cs="宋体"/>
          <w:color w:val="auto"/>
          <w:highlight w:val="none"/>
        </w:rPr>
      </w:pPr>
    </w:p>
    <w:p w14:paraId="0ECC62DD">
      <w:pPr>
        <w:pStyle w:val="3"/>
        <w:pageBreakBefore w:val="0"/>
        <w:kinsoku/>
        <w:wordWrap w:val="0"/>
        <w:overflowPunct/>
        <w:topLinePunct w:val="0"/>
        <w:bidi w:val="0"/>
        <w:spacing w:line="277" w:lineRule="auto"/>
        <w:rPr>
          <w:rFonts w:hint="eastAsia" w:ascii="宋体" w:hAnsi="宋体" w:eastAsia="宋体" w:cs="宋体"/>
          <w:color w:val="auto"/>
          <w:highlight w:val="none"/>
        </w:rPr>
      </w:pPr>
    </w:p>
    <w:p w14:paraId="7120C750">
      <w:pPr>
        <w:pageBreakBefore w:val="0"/>
        <w:kinsoku/>
        <w:wordWrap w:val="0"/>
        <w:overflowPunct/>
        <w:topLinePunct w:val="0"/>
        <w:bidi w:val="0"/>
        <w:spacing w:before="78" w:line="219" w:lineRule="auto"/>
        <w:ind w:left="3123"/>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  标  人</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4"/>
          <w:sz w:val="24"/>
          <w:szCs w:val="24"/>
          <w:highlight w:val="none"/>
        </w:rPr>
        <w:t>盖单位章）</w:t>
      </w:r>
    </w:p>
    <w:p w14:paraId="51DF3B0D">
      <w:pPr>
        <w:pStyle w:val="3"/>
        <w:pageBreakBefore w:val="0"/>
        <w:kinsoku/>
        <w:wordWrap w:val="0"/>
        <w:overflowPunct/>
        <w:topLinePunct w:val="0"/>
        <w:bidi w:val="0"/>
        <w:spacing w:line="317" w:lineRule="auto"/>
        <w:jc w:val="right"/>
        <w:rPr>
          <w:rFonts w:hint="eastAsia" w:ascii="宋体" w:hAnsi="宋体" w:eastAsia="宋体" w:cs="宋体"/>
          <w:color w:val="auto"/>
          <w:highlight w:val="none"/>
        </w:rPr>
      </w:pPr>
    </w:p>
    <w:p w14:paraId="387F00A4">
      <w:pPr>
        <w:pStyle w:val="3"/>
        <w:pageBreakBefore w:val="0"/>
        <w:kinsoku/>
        <w:wordWrap w:val="0"/>
        <w:overflowPunct/>
        <w:topLinePunct w:val="0"/>
        <w:bidi w:val="0"/>
        <w:spacing w:line="317" w:lineRule="auto"/>
        <w:jc w:val="right"/>
        <w:rPr>
          <w:rFonts w:hint="eastAsia" w:ascii="宋体" w:hAnsi="宋体" w:eastAsia="宋体" w:cs="宋体"/>
          <w:color w:val="auto"/>
          <w:highlight w:val="none"/>
        </w:rPr>
      </w:pPr>
    </w:p>
    <w:p w14:paraId="1CDD9DC5">
      <w:pPr>
        <w:pStyle w:val="3"/>
        <w:pageBreakBefore w:val="0"/>
        <w:kinsoku/>
        <w:wordWrap w:val="0"/>
        <w:overflowPunct/>
        <w:topLinePunct w:val="0"/>
        <w:bidi w:val="0"/>
        <w:spacing w:line="317" w:lineRule="auto"/>
        <w:jc w:val="right"/>
        <w:rPr>
          <w:rFonts w:hint="eastAsia" w:ascii="宋体" w:hAnsi="宋体" w:eastAsia="宋体" w:cs="宋体"/>
          <w:color w:val="auto"/>
          <w:highlight w:val="none"/>
        </w:rPr>
      </w:pPr>
    </w:p>
    <w:p w14:paraId="65F4BA3B">
      <w:pPr>
        <w:pageBreakBefore w:val="0"/>
        <w:kinsoku/>
        <w:wordWrap w:val="0"/>
        <w:overflowPunct/>
        <w:topLinePunct w:val="0"/>
        <w:bidi w:val="0"/>
        <w:spacing w:before="79" w:line="219" w:lineRule="auto"/>
        <w:ind w:left="3121"/>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2"/>
          <w:sz w:val="24"/>
          <w:szCs w:val="24"/>
          <w:highlight w:val="none"/>
        </w:rPr>
        <w:t>签字或盖章）</w:t>
      </w:r>
    </w:p>
    <w:p w14:paraId="596BE95B">
      <w:pPr>
        <w:pStyle w:val="3"/>
        <w:pageBreakBefore w:val="0"/>
        <w:kinsoku/>
        <w:wordWrap w:val="0"/>
        <w:overflowPunct/>
        <w:topLinePunct w:val="0"/>
        <w:bidi w:val="0"/>
        <w:spacing w:line="317" w:lineRule="auto"/>
        <w:jc w:val="right"/>
        <w:rPr>
          <w:rFonts w:hint="eastAsia" w:ascii="宋体" w:hAnsi="宋体" w:eastAsia="宋体" w:cs="宋体"/>
          <w:color w:val="auto"/>
          <w:highlight w:val="none"/>
        </w:rPr>
      </w:pPr>
    </w:p>
    <w:p w14:paraId="19BDFE69">
      <w:pPr>
        <w:pStyle w:val="3"/>
        <w:pageBreakBefore w:val="0"/>
        <w:kinsoku/>
        <w:wordWrap w:val="0"/>
        <w:overflowPunct/>
        <w:topLinePunct w:val="0"/>
        <w:bidi w:val="0"/>
        <w:spacing w:line="317" w:lineRule="auto"/>
        <w:jc w:val="right"/>
        <w:rPr>
          <w:rFonts w:hint="eastAsia" w:ascii="宋体" w:hAnsi="宋体" w:eastAsia="宋体" w:cs="宋体"/>
          <w:color w:val="auto"/>
          <w:highlight w:val="none"/>
        </w:rPr>
      </w:pPr>
    </w:p>
    <w:p w14:paraId="1EA7C1F1">
      <w:pPr>
        <w:pStyle w:val="3"/>
        <w:pageBreakBefore w:val="0"/>
        <w:kinsoku/>
        <w:wordWrap w:val="0"/>
        <w:overflowPunct/>
        <w:topLinePunct w:val="0"/>
        <w:bidi w:val="0"/>
        <w:spacing w:line="317" w:lineRule="auto"/>
        <w:jc w:val="right"/>
        <w:rPr>
          <w:rFonts w:hint="eastAsia" w:ascii="宋体" w:hAnsi="宋体" w:eastAsia="宋体" w:cs="宋体"/>
          <w:color w:val="auto"/>
          <w:highlight w:val="none"/>
        </w:rPr>
      </w:pPr>
    </w:p>
    <w:p w14:paraId="1D10DF0C">
      <w:pPr>
        <w:pageBreakBefore w:val="0"/>
        <w:kinsoku/>
        <w:wordWrap w:val="0"/>
        <w:overflowPunct/>
        <w:topLinePunct w:val="0"/>
        <w:bidi w:val="0"/>
        <w:spacing w:before="78" w:line="219" w:lineRule="auto"/>
        <w:ind w:left="288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委托代理人</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
          <w:sz w:val="24"/>
          <w:szCs w:val="24"/>
          <w:highlight w:val="none"/>
        </w:rPr>
        <w:t>签字或盖章）</w:t>
      </w:r>
    </w:p>
    <w:p w14:paraId="5B063E8A">
      <w:pPr>
        <w:pStyle w:val="3"/>
        <w:pageBreakBefore w:val="0"/>
        <w:kinsoku/>
        <w:wordWrap w:val="0"/>
        <w:overflowPunct/>
        <w:topLinePunct w:val="0"/>
        <w:bidi w:val="0"/>
        <w:spacing w:line="256" w:lineRule="auto"/>
        <w:jc w:val="right"/>
        <w:rPr>
          <w:rFonts w:hint="eastAsia" w:ascii="宋体" w:hAnsi="宋体" w:eastAsia="宋体" w:cs="宋体"/>
          <w:color w:val="auto"/>
          <w:highlight w:val="none"/>
        </w:rPr>
      </w:pPr>
    </w:p>
    <w:p w14:paraId="492E95D9">
      <w:pPr>
        <w:pStyle w:val="3"/>
        <w:pageBreakBefore w:val="0"/>
        <w:kinsoku/>
        <w:wordWrap w:val="0"/>
        <w:overflowPunct/>
        <w:topLinePunct w:val="0"/>
        <w:bidi w:val="0"/>
        <w:spacing w:line="256" w:lineRule="auto"/>
        <w:jc w:val="right"/>
        <w:rPr>
          <w:rFonts w:hint="eastAsia" w:ascii="宋体" w:hAnsi="宋体" w:eastAsia="宋体" w:cs="宋体"/>
          <w:color w:val="auto"/>
          <w:highlight w:val="none"/>
        </w:rPr>
      </w:pPr>
    </w:p>
    <w:p w14:paraId="116EE129">
      <w:pPr>
        <w:pageBreakBefore w:val="0"/>
        <w:kinsoku/>
        <w:wordWrap w:val="0"/>
        <w:overflowPunct/>
        <w:topLinePunct w:val="0"/>
        <w:bidi w:val="0"/>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528954B">
      <w:pPr>
        <w:pageBreakBefore w:val="0"/>
        <w:kinsoku/>
        <w:wordWrap w:val="0"/>
        <w:overflowPunct/>
        <w:topLinePunct w:val="0"/>
        <w:bidi w:val="0"/>
        <w:spacing w:before="78" w:line="220" w:lineRule="auto"/>
        <w:ind w:left="4201"/>
        <w:jc w:val="right"/>
        <w:rPr>
          <w:rFonts w:hint="eastAsia" w:ascii="宋体" w:hAnsi="宋体" w:eastAsia="宋体" w:cs="宋体"/>
          <w:color w:val="auto"/>
          <w:sz w:val="24"/>
          <w:szCs w:val="24"/>
          <w:highlight w:val="none"/>
        </w:rPr>
      </w:pPr>
    </w:p>
    <w:p w14:paraId="6285CC3E">
      <w:pPr>
        <w:pageBreakBefore w:val="0"/>
        <w:kinsoku/>
        <w:wordWrap w:val="0"/>
        <w:overflowPunct/>
        <w:topLinePunct w:val="0"/>
        <w:bidi w:val="0"/>
        <w:spacing w:before="69"/>
        <w:rPr>
          <w:rFonts w:hint="eastAsia" w:ascii="宋体" w:hAnsi="宋体" w:eastAsia="宋体" w:cs="宋体"/>
          <w:color w:val="auto"/>
          <w:highlight w:val="none"/>
        </w:rPr>
      </w:pPr>
    </w:p>
    <w:p w14:paraId="13041B14">
      <w:pPr>
        <w:pageBreakBefore w:val="0"/>
        <w:kinsoku/>
        <w:wordWrap w:val="0"/>
        <w:overflowPunct/>
        <w:topLinePunct w:val="0"/>
        <w:bidi w:val="0"/>
        <w:spacing w:before="69"/>
        <w:rPr>
          <w:rFonts w:hint="eastAsia" w:ascii="宋体" w:hAnsi="宋体" w:eastAsia="宋体" w:cs="宋体"/>
          <w:color w:val="auto"/>
          <w:highlight w:val="none"/>
        </w:rPr>
      </w:pPr>
    </w:p>
    <w:tbl>
      <w:tblPr>
        <w:tblStyle w:val="14"/>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2E62157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68BF3639">
            <w:pPr>
              <w:pStyle w:val="21"/>
              <w:pageBreakBefore w:val="0"/>
              <w:kinsoku/>
              <w:wordWrap w:val="0"/>
              <w:overflowPunct/>
              <w:topLinePunct w:val="0"/>
              <w:bidi w:val="0"/>
              <w:spacing w:line="245" w:lineRule="auto"/>
              <w:rPr>
                <w:rFonts w:hint="eastAsia" w:ascii="宋体" w:hAnsi="宋体" w:eastAsia="宋体" w:cs="宋体"/>
                <w:color w:val="auto"/>
                <w:highlight w:val="none"/>
              </w:rPr>
            </w:pPr>
          </w:p>
          <w:p w14:paraId="4B47535F">
            <w:pPr>
              <w:pStyle w:val="21"/>
              <w:pageBreakBefore w:val="0"/>
              <w:kinsoku/>
              <w:wordWrap w:val="0"/>
              <w:overflowPunct/>
              <w:topLinePunct w:val="0"/>
              <w:bidi w:val="0"/>
              <w:spacing w:line="245" w:lineRule="auto"/>
              <w:rPr>
                <w:rFonts w:hint="eastAsia" w:ascii="宋体" w:hAnsi="宋体" w:eastAsia="宋体" w:cs="宋体"/>
                <w:color w:val="auto"/>
                <w:highlight w:val="none"/>
              </w:rPr>
            </w:pPr>
          </w:p>
          <w:p w14:paraId="0C140ADB">
            <w:pPr>
              <w:pStyle w:val="21"/>
              <w:pageBreakBefore w:val="0"/>
              <w:kinsoku/>
              <w:wordWrap w:val="0"/>
              <w:overflowPunct/>
              <w:topLinePunct w:val="0"/>
              <w:bidi w:val="0"/>
              <w:spacing w:line="245" w:lineRule="auto"/>
              <w:rPr>
                <w:rFonts w:hint="eastAsia" w:ascii="宋体" w:hAnsi="宋体" w:eastAsia="宋体" w:cs="宋体"/>
                <w:color w:val="auto"/>
                <w:highlight w:val="none"/>
              </w:rPr>
            </w:pPr>
          </w:p>
          <w:p w14:paraId="37AC5D2F">
            <w:pPr>
              <w:pStyle w:val="21"/>
              <w:pageBreakBefore w:val="0"/>
              <w:kinsoku/>
              <w:wordWrap w:val="0"/>
              <w:overflowPunct/>
              <w:topLinePunct w:val="0"/>
              <w:bidi w:val="0"/>
              <w:spacing w:line="245" w:lineRule="auto"/>
              <w:rPr>
                <w:rFonts w:hint="eastAsia" w:ascii="宋体" w:hAnsi="宋体" w:eastAsia="宋体" w:cs="宋体"/>
                <w:color w:val="auto"/>
                <w:highlight w:val="none"/>
              </w:rPr>
            </w:pPr>
          </w:p>
          <w:p w14:paraId="4D91F07F">
            <w:pPr>
              <w:pStyle w:val="21"/>
              <w:pageBreakBefore w:val="0"/>
              <w:kinsoku/>
              <w:wordWrap w:val="0"/>
              <w:overflowPunct/>
              <w:topLinePunct w:val="0"/>
              <w:bidi w:val="0"/>
              <w:spacing w:line="245" w:lineRule="auto"/>
              <w:rPr>
                <w:rFonts w:hint="eastAsia" w:ascii="宋体" w:hAnsi="宋体" w:eastAsia="宋体" w:cs="宋体"/>
                <w:color w:val="auto"/>
                <w:highlight w:val="none"/>
              </w:rPr>
            </w:pPr>
          </w:p>
          <w:p w14:paraId="51376401">
            <w:pPr>
              <w:pStyle w:val="21"/>
              <w:pageBreakBefore w:val="0"/>
              <w:kinsoku/>
              <w:wordWrap w:val="0"/>
              <w:overflowPunct/>
              <w:topLinePunct w:val="0"/>
              <w:bidi w:val="0"/>
              <w:spacing w:line="245" w:lineRule="auto"/>
              <w:rPr>
                <w:rFonts w:hint="eastAsia" w:ascii="宋体" w:hAnsi="宋体" w:eastAsia="宋体" w:cs="宋体"/>
                <w:color w:val="auto"/>
                <w:highlight w:val="none"/>
              </w:rPr>
            </w:pPr>
          </w:p>
          <w:p w14:paraId="3DA54932">
            <w:pPr>
              <w:pStyle w:val="21"/>
              <w:pageBreakBefore w:val="0"/>
              <w:kinsoku/>
              <w:wordWrap w:val="0"/>
              <w:overflowPunct/>
              <w:topLinePunct w:val="0"/>
              <w:bidi w:val="0"/>
              <w:spacing w:line="246" w:lineRule="auto"/>
              <w:rPr>
                <w:rFonts w:hint="eastAsia" w:ascii="宋体" w:hAnsi="宋体" w:eastAsia="宋体" w:cs="宋体"/>
                <w:color w:val="auto"/>
                <w:highlight w:val="none"/>
              </w:rPr>
            </w:pPr>
          </w:p>
          <w:p w14:paraId="163627A6">
            <w:pPr>
              <w:pageBreakBefore w:val="0"/>
              <w:kinsoku/>
              <w:wordWrap w:val="0"/>
              <w:overflowPunct/>
              <w:topLinePunct w:val="0"/>
              <w:bidi w:val="0"/>
              <w:spacing w:before="78" w:line="220" w:lineRule="auto"/>
              <w:ind w:left="7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委托代理人身份证</w:t>
            </w:r>
            <w:r>
              <w:rPr>
                <w:rFonts w:hint="eastAsia" w:ascii="宋体" w:hAnsi="宋体" w:eastAsia="宋体" w:cs="宋体"/>
                <w:color w:val="auto"/>
                <w:spacing w:val="-1"/>
                <w:sz w:val="24"/>
                <w:szCs w:val="24"/>
                <w:highlight w:val="none"/>
                <w:lang w:val="en-US" w:eastAsia="zh-CN"/>
              </w:rPr>
              <w:t>彩色扫描件</w:t>
            </w:r>
            <w:r>
              <w:rPr>
                <w:rFonts w:hint="eastAsia" w:ascii="宋体" w:hAnsi="宋体" w:eastAsia="宋体" w:cs="宋体"/>
                <w:color w:val="auto"/>
                <w:spacing w:val="-1"/>
                <w:sz w:val="24"/>
                <w:szCs w:val="24"/>
                <w:highlight w:val="none"/>
              </w:rPr>
              <w:t>正、反面</w:t>
            </w:r>
          </w:p>
        </w:tc>
      </w:tr>
    </w:tbl>
    <w:p w14:paraId="28E282AE">
      <w:pPr>
        <w:pStyle w:val="3"/>
        <w:pageBreakBefore w:val="0"/>
        <w:kinsoku/>
        <w:wordWrap w:val="0"/>
        <w:overflowPunct/>
        <w:topLinePunct w:val="0"/>
        <w:bidi w:val="0"/>
        <w:rPr>
          <w:rFonts w:hint="eastAsia" w:ascii="宋体" w:hAnsi="宋体" w:eastAsia="宋体" w:cs="宋体"/>
          <w:color w:val="auto"/>
          <w:highlight w:val="none"/>
        </w:rPr>
      </w:pPr>
    </w:p>
    <w:p w14:paraId="54CE0BF6">
      <w:pPr>
        <w:pageBreakBefore w:val="0"/>
        <w:kinsoku/>
        <w:wordWrap w:val="0"/>
        <w:overflowPunct/>
        <w:topLinePunct w:val="0"/>
        <w:bidi w:val="0"/>
        <w:rPr>
          <w:rFonts w:hint="eastAsia" w:ascii="宋体" w:hAnsi="宋体" w:eastAsia="宋体" w:cs="宋体"/>
          <w:color w:val="auto"/>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EDAFA3A">
      <w:pPr>
        <w:pageBreakBefore w:val="0"/>
        <w:kinsoku/>
        <w:wordWrap w:val="0"/>
        <w:overflowPunct/>
        <w:topLinePunct w:val="0"/>
        <w:bidi w:val="0"/>
        <w:spacing w:before="78" w:line="220" w:lineRule="auto"/>
        <w:outlineLvl w:val="2"/>
        <w:rPr>
          <w:rFonts w:hint="eastAsia" w:ascii="宋体" w:hAnsi="宋体" w:eastAsia="宋体" w:cs="宋体"/>
          <w:b/>
          <w:bCs/>
          <w:color w:val="auto"/>
          <w:spacing w:val="-4"/>
          <w:sz w:val="24"/>
          <w:szCs w:val="24"/>
          <w:highlight w:val="none"/>
        </w:rPr>
      </w:pPr>
      <w:bookmarkStart w:id="238" w:name="_Toc1878"/>
      <w:r>
        <w:rPr>
          <w:rFonts w:hint="eastAsia" w:ascii="宋体" w:hAnsi="宋体" w:eastAsia="宋体" w:cs="宋体"/>
          <w:b/>
          <w:bCs/>
          <w:color w:val="auto"/>
          <w:spacing w:val="-4"/>
          <w:sz w:val="24"/>
          <w:szCs w:val="24"/>
          <w:highlight w:val="none"/>
        </w:rPr>
        <w:t>格式五 法定代表人身份证明</w:t>
      </w:r>
      <w:bookmarkEnd w:id="238"/>
    </w:p>
    <w:p w14:paraId="1AD2910A">
      <w:pPr>
        <w:pStyle w:val="3"/>
        <w:pageBreakBefore w:val="0"/>
        <w:kinsoku/>
        <w:wordWrap w:val="0"/>
        <w:overflowPunct/>
        <w:topLinePunct w:val="0"/>
        <w:bidi w:val="0"/>
        <w:spacing w:line="350" w:lineRule="auto"/>
        <w:rPr>
          <w:rFonts w:hint="eastAsia" w:ascii="宋体" w:hAnsi="宋体" w:eastAsia="宋体" w:cs="宋体"/>
          <w:color w:val="auto"/>
          <w:highlight w:val="none"/>
        </w:rPr>
      </w:pPr>
    </w:p>
    <w:p w14:paraId="00B721B3">
      <w:pPr>
        <w:pStyle w:val="3"/>
        <w:pageBreakBefore w:val="0"/>
        <w:kinsoku/>
        <w:wordWrap w:val="0"/>
        <w:overflowPunct/>
        <w:topLinePunct w:val="0"/>
        <w:bidi w:val="0"/>
        <w:spacing w:line="350" w:lineRule="auto"/>
        <w:rPr>
          <w:rFonts w:hint="eastAsia" w:ascii="宋体" w:hAnsi="宋体" w:eastAsia="宋体" w:cs="宋体"/>
          <w:color w:val="auto"/>
          <w:highlight w:val="none"/>
        </w:rPr>
      </w:pPr>
    </w:p>
    <w:p w14:paraId="62C321D1">
      <w:pPr>
        <w:pageBreakBefore w:val="0"/>
        <w:kinsoku/>
        <w:wordWrap w:val="0"/>
        <w:overflowPunct/>
        <w:topLinePunct w:val="0"/>
        <w:bidi w:val="0"/>
        <w:spacing w:before="98" w:line="220" w:lineRule="auto"/>
        <w:ind w:left="3183"/>
        <w:rPr>
          <w:rFonts w:hint="eastAsia" w:ascii="宋体" w:hAnsi="宋体" w:eastAsia="宋体" w:cs="宋体"/>
          <w:color w:val="auto"/>
          <w:sz w:val="30"/>
          <w:szCs w:val="30"/>
          <w:highlight w:val="none"/>
        </w:rPr>
      </w:pPr>
      <w:bookmarkStart w:id="239" w:name="bookmark152"/>
      <w:bookmarkEnd w:id="239"/>
      <w:r>
        <w:rPr>
          <w:rFonts w:hint="eastAsia" w:ascii="宋体" w:hAnsi="宋体" w:eastAsia="宋体" w:cs="宋体"/>
          <w:b/>
          <w:bCs/>
          <w:color w:val="auto"/>
          <w:spacing w:val="-4"/>
          <w:sz w:val="30"/>
          <w:szCs w:val="30"/>
          <w:highlight w:val="none"/>
        </w:rPr>
        <w:t>法定代表人身份证明</w:t>
      </w:r>
    </w:p>
    <w:p w14:paraId="5055A950">
      <w:pPr>
        <w:pStyle w:val="3"/>
        <w:pageBreakBefore w:val="0"/>
        <w:kinsoku/>
        <w:wordWrap w:val="0"/>
        <w:overflowPunct/>
        <w:topLinePunct w:val="0"/>
        <w:bidi w:val="0"/>
        <w:spacing w:line="250" w:lineRule="auto"/>
        <w:rPr>
          <w:rFonts w:hint="eastAsia" w:ascii="宋体" w:hAnsi="宋体" w:eastAsia="宋体" w:cs="宋体"/>
          <w:color w:val="auto"/>
          <w:highlight w:val="none"/>
        </w:rPr>
      </w:pPr>
    </w:p>
    <w:p w14:paraId="705CECB5">
      <w:pPr>
        <w:pStyle w:val="3"/>
        <w:pageBreakBefore w:val="0"/>
        <w:kinsoku/>
        <w:wordWrap w:val="0"/>
        <w:overflowPunct/>
        <w:topLinePunct w:val="0"/>
        <w:bidi w:val="0"/>
        <w:spacing w:line="250" w:lineRule="auto"/>
        <w:rPr>
          <w:rFonts w:hint="eastAsia" w:ascii="宋体" w:hAnsi="宋体" w:eastAsia="宋体" w:cs="宋体"/>
          <w:color w:val="auto"/>
          <w:highlight w:val="none"/>
        </w:rPr>
      </w:pPr>
    </w:p>
    <w:p w14:paraId="0978BEEE">
      <w:pPr>
        <w:pStyle w:val="3"/>
        <w:pageBreakBefore w:val="0"/>
        <w:kinsoku/>
        <w:wordWrap w:val="0"/>
        <w:overflowPunct/>
        <w:topLinePunct w:val="0"/>
        <w:bidi w:val="0"/>
        <w:spacing w:line="251" w:lineRule="auto"/>
        <w:rPr>
          <w:rFonts w:hint="eastAsia" w:ascii="宋体" w:hAnsi="宋体" w:eastAsia="宋体" w:cs="宋体"/>
          <w:color w:val="auto"/>
          <w:highlight w:val="none"/>
        </w:rPr>
      </w:pPr>
    </w:p>
    <w:p w14:paraId="59417B9C">
      <w:pPr>
        <w:pageBreakBefore w:val="0"/>
        <w:kinsoku/>
        <w:wordWrap w:val="0"/>
        <w:overflowPunct/>
        <w:topLinePunct w:val="0"/>
        <w:bidi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投标人名称：</w:t>
      </w:r>
      <w:r>
        <w:rPr>
          <w:rFonts w:hint="eastAsia" w:ascii="宋体" w:hAnsi="宋体" w:eastAsia="宋体" w:cs="宋体"/>
          <w:snapToGrid w:val="0"/>
          <w:color w:val="auto"/>
          <w:kern w:val="0"/>
          <w:sz w:val="24"/>
          <w:szCs w:val="24"/>
          <w:highlight w:val="none"/>
          <w:u w:val="single"/>
        </w:rPr>
        <w:t xml:space="preserve">                  </w:t>
      </w:r>
    </w:p>
    <w:p w14:paraId="5CFA1839">
      <w:pPr>
        <w:pageBreakBefore w:val="0"/>
        <w:kinsoku/>
        <w:wordWrap w:val="0"/>
        <w:overflowPunct/>
        <w:topLinePunct w:val="0"/>
        <w:bidi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姓名：</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性别：</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年龄：</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职务：</w:t>
      </w:r>
      <w:r>
        <w:rPr>
          <w:rFonts w:hint="eastAsia" w:ascii="宋体" w:hAnsi="宋体" w:eastAsia="宋体" w:cs="宋体"/>
          <w:snapToGrid w:val="0"/>
          <w:color w:val="auto"/>
          <w:kern w:val="0"/>
          <w:sz w:val="24"/>
          <w:szCs w:val="24"/>
          <w:highlight w:val="none"/>
          <w:u w:val="single"/>
        </w:rPr>
        <w:t xml:space="preserve">           </w:t>
      </w:r>
    </w:p>
    <w:p w14:paraId="34156ED0">
      <w:pPr>
        <w:pageBreakBefore w:val="0"/>
        <w:kinsoku/>
        <w:wordWrap w:val="0"/>
        <w:overflowPunct/>
        <w:topLinePunct w:val="0"/>
        <w:bidi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w:t>
      </w:r>
    </w:p>
    <w:p w14:paraId="4052DAC3">
      <w:pPr>
        <w:pageBreakBefore w:val="0"/>
        <w:kinsoku/>
        <w:wordWrap w:val="0"/>
        <w:overflowPunct/>
        <w:topLinePunct w:val="0"/>
        <w:bidi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4"/>
          <w:szCs w:val="24"/>
          <w:highlight w:val="none"/>
        </w:rPr>
        <w:t xml:space="preserve">    特此证明。</w:t>
      </w:r>
    </w:p>
    <w:p w14:paraId="53ADDF35">
      <w:pPr>
        <w:pStyle w:val="3"/>
        <w:pageBreakBefore w:val="0"/>
        <w:kinsoku/>
        <w:wordWrap w:val="0"/>
        <w:overflowPunct/>
        <w:topLinePunct w:val="0"/>
        <w:bidi w:val="0"/>
        <w:spacing w:line="277" w:lineRule="auto"/>
        <w:rPr>
          <w:rFonts w:hint="eastAsia" w:ascii="宋体" w:hAnsi="宋体" w:eastAsia="宋体" w:cs="宋体"/>
          <w:color w:val="auto"/>
          <w:highlight w:val="none"/>
        </w:rPr>
      </w:pPr>
    </w:p>
    <w:p w14:paraId="7F91432D">
      <w:pPr>
        <w:pStyle w:val="3"/>
        <w:pageBreakBefore w:val="0"/>
        <w:kinsoku/>
        <w:wordWrap w:val="0"/>
        <w:overflowPunct/>
        <w:topLinePunct w:val="0"/>
        <w:bidi w:val="0"/>
        <w:spacing w:line="277" w:lineRule="auto"/>
        <w:rPr>
          <w:rFonts w:hint="eastAsia" w:ascii="宋体" w:hAnsi="宋体" w:eastAsia="宋体" w:cs="宋体"/>
          <w:color w:val="auto"/>
          <w:highlight w:val="none"/>
        </w:rPr>
      </w:pPr>
    </w:p>
    <w:p w14:paraId="449CA16E">
      <w:pPr>
        <w:pStyle w:val="3"/>
        <w:pageBreakBefore w:val="0"/>
        <w:kinsoku/>
        <w:wordWrap w:val="0"/>
        <w:overflowPunct/>
        <w:topLinePunct w:val="0"/>
        <w:bidi w:val="0"/>
        <w:spacing w:line="278" w:lineRule="auto"/>
        <w:rPr>
          <w:rFonts w:hint="eastAsia" w:ascii="宋体" w:hAnsi="宋体" w:eastAsia="宋体" w:cs="宋体"/>
          <w:color w:val="auto"/>
          <w:highlight w:val="none"/>
        </w:rPr>
      </w:pPr>
    </w:p>
    <w:p w14:paraId="739A3A69">
      <w:pPr>
        <w:pageBreakBefore w:val="0"/>
        <w:kinsoku/>
        <w:wordWrap w:val="0"/>
        <w:overflowPunct/>
        <w:topLinePunct w:val="0"/>
        <w:bidi w:val="0"/>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盖单位章）</w:t>
      </w:r>
    </w:p>
    <w:p w14:paraId="09C9B7F3">
      <w:pPr>
        <w:pStyle w:val="3"/>
        <w:pageBreakBefore w:val="0"/>
        <w:kinsoku/>
        <w:wordWrap w:val="0"/>
        <w:overflowPunct/>
        <w:topLinePunct w:val="0"/>
        <w:bidi w:val="0"/>
        <w:spacing w:line="317" w:lineRule="auto"/>
        <w:jc w:val="right"/>
        <w:rPr>
          <w:rFonts w:hint="eastAsia" w:ascii="宋体" w:hAnsi="宋体" w:eastAsia="宋体" w:cs="宋体"/>
          <w:color w:val="auto"/>
          <w:highlight w:val="none"/>
        </w:rPr>
      </w:pPr>
    </w:p>
    <w:p w14:paraId="7ED9322A">
      <w:pPr>
        <w:pStyle w:val="3"/>
        <w:pageBreakBefore w:val="0"/>
        <w:kinsoku/>
        <w:wordWrap w:val="0"/>
        <w:overflowPunct/>
        <w:topLinePunct w:val="0"/>
        <w:bidi w:val="0"/>
        <w:spacing w:line="317" w:lineRule="auto"/>
        <w:jc w:val="right"/>
        <w:rPr>
          <w:rFonts w:hint="eastAsia" w:ascii="宋体" w:hAnsi="宋体" w:eastAsia="宋体" w:cs="宋体"/>
          <w:color w:val="auto"/>
          <w:highlight w:val="none"/>
        </w:rPr>
      </w:pPr>
    </w:p>
    <w:p w14:paraId="2815C601">
      <w:pPr>
        <w:pStyle w:val="3"/>
        <w:pageBreakBefore w:val="0"/>
        <w:kinsoku/>
        <w:wordWrap w:val="0"/>
        <w:overflowPunct/>
        <w:topLinePunct w:val="0"/>
        <w:bidi w:val="0"/>
        <w:spacing w:line="317" w:lineRule="auto"/>
        <w:jc w:val="right"/>
        <w:rPr>
          <w:rFonts w:hint="eastAsia" w:ascii="宋体" w:hAnsi="宋体" w:eastAsia="宋体" w:cs="宋体"/>
          <w:color w:val="auto"/>
          <w:highlight w:val="none"/>
        </w:rPr>
      </w:pPr>
    </w:p>
    <w:p w14:paraId="42180BF6">
      <w:pPr>
        <w:pageBreakBefore w:val="0"/>
        <w:kinsoku/>
        <w:wordWrap w:val="0"/>
        <w:overflowPunct/>
        <w:topLinePunct w:val="0"/>
        <w:bidi w:val="0"/>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73A6063C">
      <w:pPr>
        <w:pStyle w:val="3"/>
        <w:pageBreakBefore w:val="0"/>
        <w:kinsoku/>
        <w:wordWrap w:val="0"/>
        <w:overflowPunct/>
        <w:topLinePunct w:val="0"/>
        <w:bidi w:val="0"/>
        <w:spacing w:line="257" w:lineRule="auto"/>
        <w:jc w:val="right"/>
        <w:rPr>
          <w:rFonts w:hint="eastAsia" w:ascii="宋体" w:hAnsi="宋体" w:eastAsia="宋体" w:cs="宋体"/>
          <w:color w:val="auto"/>
          <w:highlight w:val="none"/>
        </w:rPr>
      </w:pPr>
    </w:p>
    <w:p w14:paraId="018096D8">
      <w:pPr>
        <w:pStyle w:val="3"/>
        <w:pageBreakBefore w:val="0"/>
        <w:kinsoku/>
        <w:wordWrap w:val="0"/>
        <w:overflowPunct/>
        <w:topLinePunct w:val="0"/>
        <w:bidi w:val="0"/>
        <w:spacing w:line="257" w:lineRule="auto"/>
        <w:jc w:val="right"/>
        <w:rPr>
          <w:rFonts w:hint="eastAsia" w:ascii="宋体" w:hAnsi="宋体" w:eastAsia="宋体" w:cs="宋体"/>
          <w:color w:val="auto"/>
          <w:highlight w:val="none"/>
        </w:rPr>
      </w:pPr>
    </w:p>
    <w:p w14:paraId="617EB836">
      <w:pPr>
        <w:pStyle w:val="3"/>
        <w:pageBreakBefore w:val="0"/>
        <w:kinsoku/>
        <w:wordWrap w:val="0"/>
        <w:overflowPunct/>
        <w:topLinePunct w:val="0"/>
        <w:bidi w:val="0"/>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1A090BA">
      <w:pPr>
        <w:pStyle w:val="3"/>
        <w:pageBreakBefore w:val="0"/>
        <w:kinsoku/>
        <w:wordWrap w:val="0"/>
        <w:overflowPunct/>
        <w:topLinePunct w:val="0"/>
        <w:bidi w:val="0"/>
        <w:spacing w:line="254" w:lineRule="auto"/>
        <w:rPr>
          <w:rFonts w:hint="eastAsia" w:ascii="宋体" w:hAnsi="宋体" w:eastAsia="宋体" w:cs="宋体"/>
          <w:color w:val="auto"/>
          <w:highlight w:val="none"/>
        </w:rPr>
      </w:pPr>
    </w:p>
    <w:p w14:paraId="5CEDF64B">
      <w:pPr>
        <w:pStyle w:val="3"/>
        <w:pageBreakBefore w:val="0"/>
        <w:kinsoku/>
        <w:wordWrap w:val="0"/>
        <w:overflowPunct/>
        <w:topLinePunct w:val="0"/>
        <w:bidi w:val="0"/>
        <w:spacing w:line="254" w:lineRule="auto"/>
        <w:rPr>
          <w:rFonts w:hint="eastAsia" w:ascii="宋体" w:hAnsi="宋体" w:eastAsia="宋体" w:cs="宋体"/>
          <w:color w:val="auto"/>
          <w:highlight w:val="none"/>
        </w:rPr>
      </w:pPr>
    </w:p>
    <w:p w14:paraId="37810D14">
      <w:pPr>
        <w:pStyle w:val="3"/>
        <w:pageBreakBefore w:val="0"/>
        <w:kinsoku/>
        <w:wordWrap w:val="0"/>
        <w:overflowPunct/>
        <w:topLinePunct w:val="0"/>
        <w:bidi w:val="0"/>
        <w:spacing w:line="254" w:lineRule="auto"/>
        <w:rPr>
          <w:rFonts w:hint="eastAsia" w:ascii="宋体" w:hAnsi="宋体" w:eastAsia="宋体" w:cs="宋体"/>
          <w:color w:val="auto"/>
          <w:highlight w:val="none"/>
        </w:rPr>
      </w:pPr>
    </w:p>
    <w:p w14:paraId="160B9E44">
      <w:pPr>
        <w:pStyle w:val="3"/>
        <w:pageBreakBefore w:val="0"/>
        <w:kinsoku/>
        <w:wordWrap w:val="0"/>
        <w:overflowPunct/>
        <w:topLinePunct w:val="0"/>
        <w:bidi w:val="0"/>
        <w:spacing w:line="254" w:lineRule="auto"/>
        <w:rPr>
          <w:rFonts w:hint="eastAsia" w:ascii="宋体" w:hAnsi="宋体" w:eastAsia="宋体" w:cs="宋体"/>
          <w:color w:val="auto"/>
          <w:highlight w:val="none"/>
        </w:rPr>
      </w:pPr>
    </w:p>
    <w:p w14:paraId="5A8402FE">
      <w:pPr>
        <w:pStyle w:val="3"/>
        <w:pageBreakBefore w:val="0"/>
        <w:kinsoku/>
        <w:wordWrap w:val="0"/>
        <w:overflowPunct/>
        <w:topLinePunct w:val="0"/>
        <w:bidi w:val="0"/>
        <w:spacing w:line="255" w:lineRule="auto"/>
        <w:rPr>
          <w:rFonts w:hint="eastAsia" w:ascii="宋体" w:hAnsi="宋体" w:eastAsia="宋体" w:cs="宋体"/>
          <w:color w:val="auto"/>
          <w:highlight w:val="none"/>
        </w:rPr>
      </w:pPr>
    </w:p>
    <w:p w14:paraId="0AF113AB">
      <w:pPr>
        <w:pStyle w:val="3"/>
        <w:pageBreakBefore w:val="0"/>
        <w:kinsoku/>
        <w:wordWrap w:val="0"/>
        <w:overflowPunct/>
        <w:topLinePunct w:val="0"/>
        <w:bidi w:val="0"/>
        <w:spacing w:line="255" w:lineRule="auto"/>
        <w:rPr>
          <w:rFonts w:hint="eastAsia" w:ascii="宋体" w:hAnsi="宋体" w:eastAsia="宋体" w:cs="宋体"/>
          <w:color w:val="auto"/>
          <w:highlight w:val="none"/>
        </w:rPr>
      </w:pPr>
    </w:p>
    <w:p w14:paraId="7240EAD7">
      <w:pPr>
        <w:pStyle w:val="3"/>
        <w:pageBreakBefore w:val="0"/>
        <w:kinsoku/>
        <w:wordWrap w:val="0"/>
        <w:overflowPunct/>
        <w:topLinePunct w:val="0"/>
        <w:bidi w:val="0"/>
        <w:spacing w:before="1" w:line="2510" w:lineRule="exact"/>
        <w:ind w:firstLine="2534"/>
        <w:rPr>
          <w:rFonts w:hint="eastAsia" w:ascii="宋体" w:hAnsi="宋体" w:eastAsia="宋体" w:cs="宋体"/>
          <w:color w:val="auto"/>
          <w:highlight w:val="none"/>
        </w:rPr>
      </w:pPr>
      <w:r>
        <w:rPr>
          <w:rFonts w:hint="eastAsia" w:ascii="宋体" w:hAnsi="宋体" w:eastAsia="宋体" w:cs="宋体"/>
          <w:color w:val="auto"/>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2"/>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638F7D77">
                              <w:pPr>
                                <w:spacing w:line="249" w:lineRule="auto"/>
                              </w:pPr>
                            </w:p>
                            <w:p w14:paraId="5E375EDF">
                              <w:pPr>
                                <w:spacing w:line="249" w:lineRule="auto"/>
                              </w:pPr>
                            </w:p>
                            <w:p w14:paraId="79DCDDFC">
                              <w:pPr>
                                <w:spacing w:line="249" w:lineRule="auto"/>
                              </w:pPr>
                            </w:p>
                            <w:p w14:paraId="4864DF24">
                              <w:pPr>
                                <w:spacing w:line="249" w:lineRule="auto"/>
                              </w:pPr>
                            </w:p>
                            <w:p w14:paraId="587E985E">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2"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38F7D77">
                        <w:pPr>
                          <w:spacing w:line="249" w:lineRule="auto"/>
                        </w:pPr>
                      </w:p>
                      <w:p w14:paraId="5E375EDF">
                        <w:pPr>
                          <w:spacing w:line="249" w:lineRule="auto"/>
                        </w:pPr>
                      </w:p>
                      <w:p w14:paraId="79DCDDFC">
                        <w:pPr>
                          <w:spacing w:line="249" w:lineRule="auto"/>
                        </w:pPr>
                      </w:p>
                      <w:p w14:paraId="4864DF24">
                        <w:pPr>
                          <w:spacing w:line="249" w:lineRule="auto"/>
                        </w:pPr>
                      </w:p>
                      <w:p w14:paraId="587E985E">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v:textbox>
                </v:shape>
                <w10:wrap type="none"/>
                <w10:anchorlock/>
              </v:group>
            </w:pict>
          </mc:Fallback>
        </mc:AlternateContent>
      </w:r>
    </w:p>
    <w:p w14:paraId="0F3417DC">
      <w:pPr>
        <w:pageBreakBefore w:val="0"/>
        <w:kinsoku/>
        <w:wordWrap w:val="0"/>
        <w:overflowPunct/>
        <w:topLinePunct w:val="0"/>
        <w:bidi w:val="0"/>
        <w:spacing w:line="2510" w:lineRule="exact"/>
        <w:rPr>
          <w:rFonts w:hint="eastAsia" w:ascii="宋体" w:hAnsi="宋体" w:eastAsia="宋体" w:cs="宋体"/>
          <w:color w:val="auto"/>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3A3A170">
      <w:pPr>
        <w:pageBreakBefore w:val="0"/>
        <w:kinsoku/>
        <w:wordWrap w:val="0"/>
        <w:overflowPunct/>
        <w:topLinePunct w:val="0"/>
        <w:bidi w:val="0"/>
        <w:spacing w:before="78" w:line="220" w:lineRule="auto"/>
        <w:outlineLvl w:val="2"/>
        <w:rPr>
          <w:rFonts w:hint="eastAsia" w:ascii="宋体" w:hAnsi="宋体" w:eastAsia="宋体" w:cs="宋体"/>
          <w:b/>
          <w:bCs/>
          <w:color w:val="auto"/>
          <w:spacing w:val="-4"/>
          <w:sz w:val="24"/>
          <w:szCs w:val="24"/>
          <w:highlight w:val="none"/>
        </w:rPr>
      </w:pPr>
      <w:bookmarkStart w:id="240" w:name="_Toc667"/>
      <w:r>
        <w:rPr>
          <w:rFonts w:hint="eastAsia" w:ascii="宋体" w:hAnsi="宋体" w:eastAsia="宋体" w:cs="宋体"/>
          <w:b/>
          <w:bCs/>
          <w:color w:val="auto"/>
          <w:spacing w:val="-4"/>
          <w:sz w:val="24"/>
          <w:szCs w:val="24"/>
          <w:highlight w:val="none"/>
        </w:rPr>
        <w:t>格式六 联合体协议书</w:t>
      </w:r>
      <w:bookmarkEnd w:id="240"/>
    </w:p>
    <w:p w14:paraId="3D9671D8">
      <w:pPr>
        <w:pageBreakBefore w:val="0"/>
        <w:kinsoku/>
        <w:wordWrap w:val="0"/>
        <w:overflowPunct/>
        <w:topLinePunct w:val="0"/>
        <w:bidi w:val="0"/>
        <w:spacing w:before="98" w:line="219" w:lineRule="auto"/>
        <w:ind w:left="3638"/>
        <w:rPr>
          <w:rFonts w:hint="default" w:ascii="宋体" w:hAnsi="宋体" w:eastAsia="宋体" w:cs="宋体"/>
          <w:color w:val="auto"/>
          <w:sz w:val="30"/>
          <w:szCs w:val="30"/>
          <w:highlight w:val="none"/>
          <w:lang w:val="en-US" w:eastAsia="zh-CN"/>
        </w:rPr>
      </w:pPr>
      <w:bookmarkStart w:id="241" w:name="bookmark153"/>
      <w:bookmarkEnd w:id="241"/>
      <w:r>
        <w:rPr>
          <w:rFonts w:hint="eastAsia" w:ascii="宋体" w:hAnsi="宋体" w:eastAsia="宋体" w:cs="宋体"/>
          <w:b/>
          <w:bCs/>
          <w:color w:val="auto"/>
          <w:spacing w:val="-5"/>
          <w:sz w:val="30"/>
          <w:szCs w:val="30"/>
          <w:highlight w:val="none"/>
        </w:rPr>
        <w:t>联合体协议书</w:t>
      </w:r>
      <w:r>
        <w:rPr>
          <w:rFonts w:hint="eastAsia" w:ascii="宋体" w:hAnsi="宋体" w:eastAsia="宋体" w:cs="宋体"/>
          <w:b/>
          <w:bCs/>
          <w:color w:val="auto"/>
          <w:spacing w:val="-5"/>
          <w:sz w:val="30"/>
          <w:szCs w:val="30"/>
          <w:highlight w:val="none"/>
          <w:lang w:val="en-US" w:eastAsia="zh-CN"/>
        </w:rPr>
        <w:t>(如需)</w:t>
      </w:r>
    </w:p>
    <w:p w14:paraId="75F1511F">
      <w:pPr>
        <w:pStyle w:val="3"/>
        <w:keepNext w:val="0"/>
        <w:keepLines w:val="0"/>
        <w:pageBreakBefore w:val="0"/>
        <w:widowControl/>
        <w:kinsoku/>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280CB50B">
      <w:pPr>
        <w:keepNext w:val="0"/>
        <w:keepLines w:val="0"/>
        <w:pageBreakBefore w:val="0"/>
        <w:widowControl/>
        <w:kinsoku/>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12"/>
          <w:sz w:val="24"/>
          <w:szCs w:val="24"/>
          <w:highlight w:val="none"/>
        </w:rPr>
        <w:t>牵头人名称：</w:t>
      </w:r>
      <w:r>
        <w:rPr>
          <w:rFonts w:hint="eastAsia" w:ascii="宋体" w:hAnsi="宋体" w:eastAsia="宋体" w:cs="宋体"/>
          <w:color w:val="auto"/>
          <w:spacing w:val="4"/>
          <w:sz w:val="24"/>
          <w:szCs w:val="24"/>
          <w:highlight w:val="none"/>
        </w:rPr>
        <w:t xml:space="preserve"> </w:t>
      </w:r>
    </w:p>
    <w:p w14:paraId="7BD92AE9">
      <w:pPr>
        <w:keepNext w:val="0"/>
        <w:keepLines w:val="0"/>
        <w:pageBreakBefore w:val="0"/>
        <w:widowControl/>
        <w:kinsoku/>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79AFE5A3">
      <w:pPr>
        <w:keepNext w:val="0"/>
        <w:keepLines w:val="0"/>
        <w:pageBreakBefore w:val="0"/>
        <w:widowControl/>
        <w:kinsoku/>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法定住所：</w:t>
      </w:r>
    </w:p>
    <w:p w14:paraId="2D9D8763">
      <w:pPr>
        <w:pageBreakBefore w:val="0"/>
        <w:kinsoku/>
        <w:wordWrap w:val="0"/>
        <w:overflowPunct/>
        <w:topLinePunct w:val="0"/>
        <w:bidi w:val="0"/>
        <w:outlineLvl w:val="9"/>
        <w:rPr>
          <w:rFonts w:hint="eastAsia"/>
          <w:color w:val="auto"/>
          <w:highlight w:val="none"/>
        </w:rPr>
      </w:pPr>
    </w:p>
    <w:p w14:paraId="3419B235">
      <w:pPr>
        <w:keepNext w:val="0"/>
        <w:keepLines w:val="0"/>
        <w:pageBreakBefore w:val="0"/>
        <w:widowControl/>
        <w:kinsoku/>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成员二名称：</w:t>
      </w:r>
      <w:r>
        <w:rPr>
          <w:rFonts w:hint="eastAsia" w:ascii="宋体" w:hAnsi="宋体" w:eastAsia="宋体" w:cs="宋体"/>
          <w:color w:val="auto"/>
          <w:sz w:val="24"/>
          <w:szCs w:val="24"/>
          <w:highlight w:val="none"/>
        </w:rPr>
        <w:t xml:space="preserve"> </w:t>
      </w:r>
    </w:p>
    <w:p w14:paraId="47C56F7F">
      <w:pPr>
        <w:keepNext w:val="0"/>
        <w:keepLines w:val="0"/>
        <w:pageBreakBefore w:val="0"/>
        <w:widowControl/>
        <w:kinsoku/>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13D1A308">
      <w:pPr>
        <w:keepNext w:val="0"/>
        <w:keepLines w:val="0"/>
        <w:pageBreakBefore w:val="0"/>
        <w:widowControl/>
        <w:kinsoku/>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法定住所：</w:t>
      </w:r>
    </w:p>
    <w:p w14:paraId="2D4D3269">
      <w:pPr>
        <w:keepNext w:val="0"/>
        <w:keepLines w:val="0"/>
        <w:pageBreakBefore w:val="0"/>
        <w:widowControl/>
        <w:kinsoku/>
        <w:wordWrap w:val="0"/>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3"/>
          <w:position w:val="3"/>
          <w:sz w:val="24"/>
          <w:szCs w:val="24"/>
          <w:highlight w:val="none"/>
        </w:rPr>
        <w:t>……</w:t>
      </w:r>
    </w:p>
    <w:p w14:paraId="3C7B8779">
      <w:pPr>
        <w:keepNext w:val="0"/>
        <w:keepLines w:val="0"/>
        <w:pageBreakBefore w:val="0"/>
        <w:widowControl/>
        <w:kinsoku/>
        <w:wordWrap w:val="0"/>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上述各成员单位经过友好协商，自愿组成联合体，</w:t>
      </w:r>
      <w:r>
        <w:rPr>
          <w:rFonts w:hint="eastAsia" w:ascii="宋体" w:hAnsi="宋体" w:eastAsia="宋体" w:cs="宋体"/>
          <w:color w:val="auto"/>
          <w:sz w:val="24"/>
          <w:szCs w:val="24"/>
          <w:highlight w:val="none"/>
        </w:rPr>
        <w:t>共同参加（项目名称</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以下简</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称“本项目</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”）的施工投标并争取赢得本项目施工承包</w:t>
      </w:r>
      <w:r>
        <w:rPr>
          <w:rFonts w:hint="eastAsia" w:ascii="宋体" w:hAnsi="宋体" w:eastAsia="宋体" w:cs="宋体"/>
          <w:color w:val="auto"/>
          <w:spacing w:val="-3"/>
          <w:sz w:val="24"/>
          <w:szCs w:val="24"/>
          <w:highlight w:val="none"/>
        </w:rPr>
        <w:t>合同（以下简称合同）。现就联</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合体投标事宜订立如下协议：</w:t>
      </w:r>
    </w:p>
    <w:p w14:paraId="731B67A3">
      <w:pPr>
        <w:keepNext w:val="0"/>
        <w:keepLines w:val="0"/>
        <w:pageBreakBefore w:val="0"/>
        <w:widowControl/>
        <w:kinsoku/>
        <w:wordWrap w:val="0"/>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rPr>
        <w:t>某成员单位名称）为联合体牵头人。</w:t>
      </w:r>
    </w:p>
    <w:p w14:paraId="7D88355E">
      <w:pPr>
        <w:keepNext w:val="0"/>
        <w:keepLines w:val="0"/>
        <w:pageBreakBefore w:val="0"/>
        <w:widowControl/>
        <w:kinsoku/>
        <w:wordWrap w:val="0"/>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
          <w:sz w:val="24"/>
          <w:szCs w:val="24"/>
          <w:highlight w:val="none"/>
        </w:rPr>
        <w:t>．在本项目投标阶段，联合体牵头人合法代表联合体各成员负责本项目投标</w:t>
      </w:r>
      <w:r>
        <w:rPr>
          <w:rFonts w:hint="eastAsia" w:ascii="宋体" w:hAnsi="宋体" w:eastAsia="宋体" w:cs="宋体"/>
          <w:color w:val="auto"/>
          <w:spacing w:val="-2"/>
          <w:sz w:val="24"/>
          <w:szCs w:val="24"/>
          <w:highlight w:val="none"/>
        </w:rPr>
        <w:t>文件编制活动，代表联合体提交和接收相关的资料、信息及指示，并处理与投标和中标有关</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的一切事务；联合体中标后，联合体牵头人负责合同订立和合同实施阶段的主办、组织</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和协调工作。</w:t>
      </w:r>
    </w:p>
    <w:p w14:paraId="5409F1B3">
      <w:pPr>
        <w:keepNext w:val="0"/>
        <w:keepLines w:val="0"/>
        <w:pageBreakBefore w:val="0"/>
        <w:widowControl/>
        <w:kinsoku/>
        <w:wordWrap w:val="0"/>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．联合体将严格按照招标文件的各项要求，递交投标文件，履行</w:t>
      </w:r>
      <w:r>
        <w:rPr>
          <w:rFonts w:hint="eastAsia" w:ascii="宋体" w:hAnsi="宋体" w:eastAsia="宋体" w:cs="宋体"/>
          <w:color w:val="auto"/>
          <w:spacing w:val="-2"/>
          <w:sz w:val="24"/>
          <w:szCs w:val="24"/>
          <w:highlight w:val="none"/>
        </w:rPr>
        <w:t>投标义务和中标后的合同，共同承担合同规定的一切义务和责任，联合体各成员单位按照内部职责的部</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
          <w:sz w:val="24"/>
          <w:szCs w:val="24"/>
          <w:highlight w:val="none"/>
        </w:rPr>
        <w:t>分，承担各自所负的责任和风险，并向招标人承担连带责任。</w:t>
      </w:r>
    </w:p>
    <w:p w14:paraId="36A1D70C">
      <w:pPr>
        <w:keepNext w:val="0"/>
        <w:keepLines w:val="0"/>
        <w:pageBreakBefore w:val="0"/>
        <w:widowControl/>
        <w:kinsoku/>
        <w:wordWrap w:val="0"/>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z w:val="24"/>
          <w:szCs w:val="24"/>
          <w:highlight w:val="none"/>
        </w:rPr>
      </w:pPr>
      <w:bookmarkStart w:id="242" w:name="_Toc5365"/>
      <w:bookmarkStart w:id="243" w:name="_Toc32149"/>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2"/>
          <w:sz w:val="24"/>
          <w:szCs w:val="24"/>
          <w:highlight w:val="none"/>
        </w:rPr>
        <w:t>．联合体各成员单位内部的职责分工如下：。</w:t>
      </w:r>
      <w:bookmarkEnd w:id="242"/>
      <w:bookmarkEnd w:id="243"/>
    </w:p>
    <w:p w14:paraId="17E97E7A">
      <w:pPr>
        <w:keepNext w:val="0"/>
        <w:keepLines w:val="0"/>
        <w:pageBreakBefore w:val="0"/>
        <w:widowControl/>
        <w:kinsoku/>
        <w:wordWrap w:val="0"/>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．投标工作和联合体在中标后工程实施过程中的有关费用按</w:t>
      </w:r>
      <w:r>
        <w:rPr>
          <w:rFonts w:hint="eastAsia" w:ascii="宋体" w:hAnsi="宋体" w:eastAsia="宋体" w:cs="宋体"/>
          <w:color w:val="auto"/>
          <w:spacing w:val="-2"/>
          <w:sz w:val="24"/>
          <w:szCs w:val="24"/>
          <w:highlight w:val="none"/>
        </w:rPr>
        <w:t>各自承担的工作量分</w:t>
      </w:r>
      <w:r>
        <w:rPr>
          <w:rFonts w:hint="eastAsia" w:ascii="宋体" w:hAnsi="宋体" w:eastAsia="宋体" w:cs="宋体"/>
          <w:color w:val="auto"/>
          <w:spacing w:val="-5"/>
          <w:sz w:val="24"/>
          <w:szCs w:val="24"/>
          <w:highlight w:val="none"/>
        </w:rPr>
        <w:t>摊。</w:t>
      </w:r>
    </w:p>
    <w:p w14:paraId="40E0DA14">
      <w:pPr>
        <w:keepNext w:val="0"/>
        <w:keepLines w:val="0"/>
        <w:pageBreakBefore w:val="0"/>
        <w:widowControl/>
        <w:kinsoku/>
        <w:wordWrap w:val="0"/>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．联合体中标后，本联合体协议是合同的附件，对联合体各成</w:t>
      </w:r>
      <w:r>
        <w:rPr>
          <w:rFonts w:hint="eastAsia" w:ascii="宋体" w:hAnsi="宋体" w:eastAsia="宋体" w:cs="宋体"/>
          <w:color w:val="auto"/>
          <w:spacing w:val="-2"/>
          <w:sz w:val="24"/>
          <w:szCs w:val="24"/>
          <w:highlight w:val="none"/>
        </w:rPr>
        <w:t>员单位有合同约束</w:t>
      </w:r>
      <w:r>
        <w:rPr>
          <w:rFonts w:hint="eastAsia" w:ascii="宋体" w:hAnsi="宋体" w:eastAsia="宋体" w:cs="宋体"/>
          <w:color w:val="auto"/>
          <w:spacing w:val="-7"/>
          <w:sz w:val="24"/>
          <w:szCs w:val="24"/>
          <w:highlight w:val="none"/>
        </w:rPr>
        <w:t>力。</w:t>
      </w:r>
    </w:p>
    <w:p w14:paraId="38B03B8C">
      <w:pPr>
        <w:keepNext w:val="0"/>
        <w:keepLines w:val="0"/>
        <w:pageBreakBefore w:val="0"/>
        <w:widowControl/>
        <w:kinsoku/>
        <w:wordWrap w:val="0"/>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．本协议书自签署之日起生效，联合体未中标或者中标时合同履行</w:t>
      </w:r>
      <w:r>
        <w:rPr>
          <w:rFonts w:hint="eastAsia" w:ascii="宋体" w:hAnsi="宋体" w:eastAsia="宋体" w:cs="宋体"/>
          <w:color w:val="auto"/>
          <w:spacing w:val="-2"/>
          <w:sz w:val="24"/>
          <w:szCs w:val="24"/>
          <w:highlight w:val="none"/>
        </w:rPr>
        <w:t>完毕后自动失</w:t>
      </w:r>
      <w:r>
        <w:rPr>
          <w:rFonts w:hint="eastAsia" w:ascii="宋体" w:hAnsi="宋体" w:eastAsia="宋体" w:cs="宋体"/>
          <w:color w:val="auto"/>
          <w:spacing w:val="-8"/>
          <w:sz w:val="24"/>
          <w:szCs w:val="24"/>
          <w:highlight w:val="none"/>
        </w:rPr>
        <w:t>效。</w:t>
      </w:r>
    </w:p>
    <w:p w14:paraId="378200D7">
      <w:pPr>
        <w:keepNext w:val="0"/>
        <w:keepLines w:val="0"/>
        <w:pageBreakBefore w:val="0"/>
        <w:widowControl/>
        <w:kinsoku/>
        <w:wordWrap w:val="0"/>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z w:val="24"/>
          <w:szCs w:val="24"/>
          <w:highlight w:val="none"/>
        </w:rPr>
      </w:pPr>
      <w:bookmarkStart w:id="244" w:name="_Toc26708"/>
      <w:bookmarkStart w:id="245" w:name="_Toc22612"/>
      <w:r>
        <w:rPr>
          <w:rFonts w:hint="eastAsia" w:ascii="宋体" w:hAnsi="宋体" w:eastAsia="宋体" w:cs="宋体"/>
          <w:color w:val="auto"/>
          <w:spacing w:val="-2"/>
          <w:sz w:val="24"/>
          <w:szCs w:val="24"/>
          <w:highlight w:val="none"/>
        </w:rPr>
        <w:t>8</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．本协议书一式份，联合体成员和招标人各执一份。</w:t>
      </w:r>
      <w:bookmarkEnd w:id="244"/>
      <w:bookmarkEnd w:id="245"/>
    </w:p>
    <w:p w14:paraId="24676EC3">
      <w:pPr>
        <w:keepNext w:val="0"/>
        <w:keepLines w:val="0"/>
        <w:pageBreakBefore w:val="0"/>
        <w:widowControl/>
        <w:kinsoku/>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bookmarkStart w:id="246" w:name="bookmark154"/>
      <w:bookmarkEnd w:id="246"/>
      <w:r>
        <w:rPr>
          <w:rFonts w:hint="eastAsia" w:ascii="宋体" w:hAnsi="宋体" w:eastAsia="宋体" w:cs="宋体"/>
          <w:color w:val="auto"/>
          <w:sz w:val="24"/>
          <w:szCs w:val="24"/>
          <w:highlight w:val="none"/>
        </w:rPr>
        <w:t>牵头人名称</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盖单位章）</w:t>
      </w:r>
    </w:p>
    <w:p w14:paraId="1FF38044">
      <w:pPr>
        <w:pStyle w:val="3"/>
        <w:keepNext w:val="0"/>
        <w:keepLines w:val="0"/>
        <w:pageBreakBefore w:val="0"/>
        <w:widowControl/>
        <w:kinsoku/>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2CEAEED2">
      <w:pPr>
        <w:keepNext w:val="0"/>
        <w:keepLines w:val="0"/>
        <w:pageBreakBefore w:val="0"/>
        <w:widowControl/>
        <w:kinsoku/>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57F4BFEA">
      <w:pPr>
        <w:keepNext w:val="0"/>
        <w:keepLines w:val="0"/>
        <w:pageBreakBefore w:val="0"/>
        <w:widowControl/>
        <w:kinsoku/>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p>
    <w:p w14:paraId="0DBBACEF">
      <w:pPr>
        <w:pStyle w:val="3"/>
        <w:keepNext w:val="0"/>
        <w:keepLines w:val="0"/>
        <w:pageBreakBefore w:val="0"/>
        <w:widowControl/>
        <w:kinsoku/>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45E38371">
      <w:pPr>
        <w:keepNext w:val="0"/>
        <w:keepLines w:val="0"/>
        <w:pageBreakBefore w:val="0"/>
        <w:widowControl/>
        <w:kinsoku/>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05FB342E">
      <w:pPr>
        <w:pageBreakBefore w:val="0"/>
        <w:kinsoku/>
        <w:wordWrap w:val="0"/>
        <w:overflowPunct/>
        <w:topLinePunct w:val="0"/>
        <w:bidi w:val="0"/>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78725DE3">
      <w:pPr>
        <w:pStyle w:val="3"/>
        <w:keepNext w:val="0"/>
        <w:keepLines w:val="0"/>
        <w:pageBreakBefore w:val="0"/>
        <w:widowControl/>
        <w:kinsoku/>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75956A52">
      <w:pPr>
        <w:keepNext w:val="0"/>
        <w:keepLines w:val="0"/>
        <w:pageBreakBefore w:val="0"/>
        <w:widowControl/>
        <w:kinsoku/>
        <w:wordWrap w:val="0"/>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说明：《联合体协议书》</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9"/>
          <w:sz w:val="20"/>
          <w:szCs w:val="20"/>
          <w:highlight w:val="none"/>
        </w:rPr>
        <w:t>由委托代理人签字或盖章的，</w:t>
      </w:r>
      <w:r>
        <w:rPr>
          <w:rFonts w:hint="eastAsia" w:ascii="宋体" w:hAnsi="宋体" w:eastAsia="宋体" w:cs="宋体"/>
          <w:color w:val="auto"/>
          <w:spacing w:val="8"/>
          <w:sz w:val="20"/>
          <w:szCs w:val="20"/>
          <w:highlight w:val="none"/>
        </w:rPr>
        <w:t>应附法定代表人签字或盖章的授权委托</w:t>
      </w:r>
      <w:r>
        <w:rPr>
          <w:rFonts w:hint="eastAsia" w:ascii="宋体" w:hAnsi="宋体" w:eastAsia="宋体" w:cs="宋体"/>
          <w:color w:val="auto"/>
          <w:spacing w:val="-2"/>
          <w:sz w:val="20"/>
          <w:szCs w:val="20"/>
          <w:highlight w:val="none"/>
        </w:rPr>
        <w:t>书。</w:t>
      </w:r>
    </w:p>
    <w:p w14:paraId="3B8BD5E4">
      <w:pPr>
        <w:keepNext w:val="0"/>
        <w:keepLines w:val="0"/>
        <w:pageBreakBefore w:val="0"/>
        <w:widowControl/>
        <w:kinsoku/>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z w:val="20"/>
          <w:szCs w:val="20"/>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6817F60">
      <w:pPr>
        <w:pageBreakBefore w:val="0"/>
        <w:kinsoku/>
        <w:wordWrap w:val="0"/>
        <w:overflowPunct/>
        <w:topLinePunct w:val="0"/>
        <w:bidi w:val="0"/>
        <w:spacing w:before="78" w:line="220" w:lineRule="auto"/>
        <w:outlineLvl w:val="2"/>
        <w:rPr>
          <w:rFonts w:hint="eastAsia" w:ascii="宋体" w:hAnsi="宋体" w:eastAsia="宋体" w:cs="宋体"/>
          <w:b/>
          <w:bCs/>
          <w:color w:val="auto"/>
          <w:spacing w:val="-4"/>
          <w:sz w:val="24"/>
          <w:szCs w:val="24"/>
          <w:highlight w:val="none"/>
        </w:rPr>
      </w:pPr>
      <w:bookmarkStart w:id="247" w:name="_Toc23649"/>
      <w:r>
        <w:rPr>
          <w:rFonts w:hint="eastAsia" w:ascii="宋体" w:hAnsi="宋体" w:eastAsia="宋体" w:cs="宋体"/>
          <w:b/>
          <w:bCs/>
          <w:color w:val="auto"/>
          <w:spacing w:val="-4"/>
          <w:sz w:val="24"/>
          <w:szCs w:val="24"/>
          <w:highlight w:val="none"/>
        </w:rPr>
        <w:t>格式七 投标人基本情况表</w:t>
      </w:r>
      <w:bookmarkEnd w:id="247"/>
    </w:p>
    <w:p w14:paraId="14DDA036">
      <w:pPr>
        <w:pageBreakBefore w:val="0"/>
        <w:kinsoku/>
        <w:wordWrap w:val="0"/>
        <w:overflowPunct/>
        <w:topLinePunct w:val="0"/>
        <w:bidi w:val="0"/>
        <w:spacing w:before="333" w:line="219" w:lineRule="auto"/>
        <w:ind w:left="3350"/>
        <w:rPr>
          <w:rFonts w:hint="eastAsia" w:ascii="宋体" w:hAnsi="宋体" w:eastAsia="宋体" w:cs="宋体"/>
          <w:color w:val="auto"/>
          <w:sz w:val="30"/>
          <w:szCs w:val="30"/>
          <w:highlight w:val="none"/>
        </w:rPr>
      </w:pPr>
      <w:r>
        <w:rPr>
          <w:rFonts w:hint="eastAsia" w:ascii="宋体" w:hAnsi="宋体" w:eastAsia="宋体" w:cs="宋体"/>
          <w:b/>
          <w:bCs/>
          <w:color w:val="auto"/>
          <w:spacing w:val="-5"/>
          <w:sz w:val="30"/>
          <w:szCs w:val="30"/>
          <w:highlight w:val="none"/>
        </w:rPr>
        <w:t>投标人基本情况表</w:t>
      </w:r>
    </w:p>
    <w:p w14:paraId="32729EED">
      <w:pPr>
        <w:pageBreakBefore w:val="0"/>
        <w:kinsoku/>
        <w:wordWrap w:val="0"/>
        <w:overflowPunct/>
        <w:topLinePunct w:val="0"/>
        <w:bidi w:val="0"/>
        <w:spacing w:line="239" w:lineRule="exact"/>
        <w:rPr>
          <w:rFonts w:hint="eastAsia" w:ascii="宋体" w:hAnsi="宋体" w:eastAsia="宋体" w:cs="宋体"/>
          <w:color w:val="auto"/>
          <w:highlight w:val="none"/>
        </w:rPr>
      </w:pPr>
    </w:p>
    <w:tbl>
      <w:tblPr>
        <w:tblStyle w:val="14"/>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02A72F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7D1EE0F5">
            <w:pPr>
              <w:pageBreakBefore w:val="0"/>
              <w:kinsoku/>
              <w:wordWrap w:val="0"/>
              <w:overflowPunct/>
              <w:topLinePunct w:val="0"/>
              <w:bidi w:val="0"/>
              <w:spacing w:before="149" w:line="229" w:lineRule="auto"/>
              <w:ind w:left="22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p>
        </w:tc>
        <w:tc>
          <w:tcPr>
            <w:tcW w:w="7639" w:type="dxa"/>
            <w:gridSpan w:val="8"/>
            <w:vAlign w:val="top"/>
          </w:tcPr>
          <w:p w14:paraId="21519AEE">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3CBAE3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vAlign w:val="top"/>
          </w:tcPr>
          <w:p w14:paraId="5E142255">
            <w:pPr>
              <w:pageBreakBefore w:val="0"/>
              <w:kinsoku/>
              <w:wordWrap w:val="0"/>
              <w:overflowPunct/>
              <w:topLinePunct w:val="0"/>
              <w:bidi w:val="0"/>
              <w:spacing w:before="144"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注册地址</w:t>
            </w:r>
          </w:p>
        </w:tc>
        <w:tc>
          <w:tcPr>
            <w:tcW w:w="3684" w:type="dxa"/>
            <w:gridSpan w:val="3"/>
            <w:vAlign w:val="top"/>
          </w:tcPr>
          <w:p w14:paraId="27D85F71">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354" w:type="dxa"/>
            <w:gridSpan w:val="2"/>
            <w:vAlign w:val="top"/>
          </w:tcPr>
          <w:p w14:paraId="114BD33C">
            <w:pPr>
              <w:pageBreakBefore w:val="0"/>
              <w:kinsoku/>
              <w:wordWrap w:val="0"/>
              <w:overflowPunct/>
              <w:topLinePunct w:val="0"/>
              <w:bidi w:val="0"/>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邮政编码</w:t>
            </w:r>
          </w:p>
        </w:tc>
        <w:tc>
          <w:tcPr>
            <w:tcW w:w="2601" w:type="dxa"/>
            <w:gridSpan w:val="3"/>
            <w:vAlign w:val="top"/>
          </w:tcPr>
          <w:p w14:paraId="33C2FF9E">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487E2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vAlign w:val="top"/>
          </w:tcPr>
          <w:p w14:paraId="224BDDF4">
            <w:pPr>
              <w:pStyle w:val="21"/>
              <w:pageBreakBefore w:val="0"/>
              <w:kinsoku/>
              <w:wordWrap w:val="0"/>
              <w:overflowPunct/>
              <w:topLinePunct w:val="0"/>
              <w:bidi w:val="0"/>
              <w:spacing w:line="332" w:lineRule="auto"/>
              <w:rPr>
                <w:rFonts w:hint="eastAsia" w:ascii="宋体" w:hAnsi="宋体" w:eastAsia="宋体" w:cs="宋体"/>
                <w:color w:val="auto"/>
                <w:sz w:val="24"/>
                <w:szCs w:val="24"/>
                <w:highlight w:val="none"/>
              </w:rPr>
            </w:pPr>
          </w:p>
          <w:p w14:paraId="21572833">
            <w:pPr>
              <w:pageBreakBefore w:val="0"/>
              <w:kinsoku/>
              <w:wordWrap w:val="0"/>
              <w:overflowPunct/>
              <w:topLinePunct w:val="0"/>
              <w:bidi w:val="0"/>
              <w:spacing w:before="65" w:line="230" w:lineRule="auto"/>
              <w:ind w:left="32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联系方式</w:t>
            </w:r>
          </w:p>
        </w:tc>
        <w:tc>
          <w:tcPr>
            <w:tcW w:w="975" w:type="dxa"/>
            <w:vAlign w:val="top"/>
          </w:tcPr>
          <w:p w14:paraId="78B0FA2A">
            <w:pPr>
              <w:pageBreakBefore w:val="0"/>
              <w:kinsoku/>
              <w:wordWrap w:val="0"/>
              <w:overflowPunct/>
              <w:topLinePunct w:val="0"/>
              <w:bidi w:val="0"/>
              <w:spacing w:before="145" w:line="231" w:lineRule="auto"/>
              <w:ind w:left="13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联系人</w:t>
            </w:r>
          </w:p>
        </w:tc>
        <w:tc>
          <w:tcPr>
            <w:tcW w:w="2709" w:type="dxa"/>
            <w:gridSpan w:val="2"/>
            <w:vAlign w:val="top"/>
          </w:tcPr>
          <w:p w14:paraId="018023DF">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354" w:type="dxa"/>
            <w:gridSpan w:val="2"/>
            <w:vAlign w:val="top"/>
          </w:tcPr>
          <w:p w14:paraId="126A236B">
            <w:pPr>
              <w:pageBreakBefore w:val="0"/>
              <w:kinsoku/>
              <w:wordWrap w:val="0"/>
              <w:overflowPunct/>
              <w:topLinePunct w:val="0"/>
              <w:bidi w:val="0"/>
              <w:spacing w:before="145" w:line="231"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电</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2"/>
                <w:sz w:val="24"/>
                <w:szCs w:val="24"/>
                <w:highlight w:val="none"/>
              </w:rPr>
              <w:t>话</w:t>
            </w:r>
          </w:p>
        </w:tc>
        <w:tc>
          <w:tcPr>
            <w:tcW w:w="2601" w:type="dxa"/>
            <w:gridSpan w:val="3"/>
            <w:vAlign w:val="top"/>
          </w:tcPr>
          <w:p w14:paraId="459A9DAF">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25D8C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vAlign w:val="top"/>
          </w:tcPr>
          <w:p w14:paraId="08B2AEE9">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975" w:type="dxa"/>
            <w:vAlign w:val="top"/>
          </w:tcPr>
          <w:p w14:paraId="6A4932C0">
            <w:pPr>
              <w:pageBreakBefore w:val="0"/>
              <w:kinsoku/>
              <w:wordWrap w:val="0"/>
              <w:overflowPunct/>
              <w:topLinePunct w:val="0"/>
              <w:bidi w:val="0"/>
              <w:spacing w:before="143" w:line="228" w:lineRule="auto"/>
              <w:ind w:left="13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传</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真</w:t>
            </w:r>
          </w:p>
        </w:tc>
        <w:tc>
          <w:tcPr>
            <w:tcW w:w="2709" w:type="dxa"/>
            <w:gridSpan w:val="2"/>
            <w:vAlign w:val="top"/>
          </w:tcPr>
          <w:p w14:paraId="6A9B29CC">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354" w:type="dxa"/>
            <w:gridSpan w:val="2"/>
            <w:vAlign w:val="top"/>
          </w:tcPr>
          <w:p w14:paraId="4163A6BA">
            <w:pPr>
              <w:pageBreakBefore w:val="0"/>
              <w:kinsoku/>
              <w:wordWrap w:val="0"/>
              <w:overflowPunct/>
              <w:topLinePunct w:val="0"/>
              <w:bidi w:val="0"/>
              <w:spacing w:before="144" w:line="229" w:lineRule="auto"/>
              <w:ind w:left="23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电子邮箱</w:t>
            </w:r>
          </w:p>
        </w:tc>
        <w:tc>
          <w:tcPr>
            <w:tcW w:w="2601" w:type="dxa"/>
            <w:gridSpan w:val="3"/>
            <w:vAlign w:val="top"/>
          </w:tcPr>
          <w:p w14:paraId="53C1B651">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730833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vAlign w:val="top"/>
          </w:tcPr>
          <w:p w14:paraId="628A515D">
            <w:pPr>
              <w:pageBreakBefore w:val="0"/>
              <w:kinsoku/>
              <w:wordWrap w:val="0"/>
              <w:overflowPunct/>
              <w:topLinePunct w:val="0"/>
              <w:bidi w:val="0"/>
              <w:spacing w:before="14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单位性质</w:t>
            </w:r>
          </w:p>
        </w:tc>
        <w:tc>
          <w:tcPr>
            <w:tcW w:w="7639" w:type="dxa"/>
            <w:gridSpan w:val="8"/>
            <w:vAlign w:val="top"/>
          </w:tcPr>
          <w:p w14:paraId="78C22A91">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199425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5EAEFA74">
            <w:pPr>
              <w:pageBreakBefore w:val="0"/>
              <w:kinsoku/>
              <w:wordWrap w:val="0"/>
              <w:overflowPunct/>
              <w:topLinePunct w:val="0"/>
              <w:bidi w:val="0"/>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法定代表人</w:t>
            </w:r>
          </w:p>
        </w:tc>
        <w:tc>
          <w:tcPr>
            <w:tcW w:w="975" w:type="dxa"/>
            <w:vAlign w:val="top"/>
          </w:tcPr>
          <w:p w14:paraId="33E41CE3">
            <w:pPr>
              <w:pageBreakBefore w:val="0"/>
              <w:kinsoku/>
              <w:wordWrap w:val="0"/>
              <w:overflowPunct/>
              <w:topLinePunct w:val="0"/>
              <w:bidi w:val="0"/>
              <w:spacing w:before="144" w:line="228" w:lineRule="auto"/>
              <w:ind w:left="2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837" w:type="dxa"/>
            <w:vAlign w:val="top"/>
          </w:tcPr>
          <w:p w14:paraId="73A0FFE2">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183" w:type="dxa"/>
            <w:gridSpan w:val="2"/>
            <w:vAlign w:val="top"/>
          </w:tcPr>
          <w:p w14:paraId="3F974C18">
            <w:pPr>
              <w:pageBreakBefore w:val="0"/>
              <w:kinsoku/>
              <w:wordWrap w:val="0"/>
              <w:overflowPunct/>
              <w:topLinePunct w:val="0"/>
              <w:bidi w:val="0"/>
              <w:spacing w:before="144" w:line="228"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技术职称</w:t>
            </w:r>
          </w:p>
        </w:tc>
        <w:tc>
          <w:tcPr>
            <w:tcW w:w="1326" w:type="dxa"/>
            <w:gridSpan w:val="2"/>
            <w:vAlign w:val="top"/>
          </w:tcPr>
          <w:p w14:paraId="4D7CA3C1">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770" w:type="dxa"/>
            <w:vAlign w:val="top"/>
          </w:tcPr>
          <w:p w14:paraId="78C62852">
            <w:pPr>
              <w:pageBreakBefore w:val="0"/>
              <w:kinsoku/>
              <w:wordWrap w:val="0"/>
              <w:overflowPunct/>
              <w:topLinePunct w:val="0"/>
              <w:bidi w:val="0"/>
              <w:spacing w:before="143" w:line="231" w:lineRule="auto"/>
              <w:ind w:left="17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电话</w:t>
            </w:r>
          </w:p>
        </w:tc>
        <w:tc>
          <w:tcPr>
            <w:tcW w:w="1548" w:type="dxa"/>
            <w:vAlign w:val="top"/>
          </w:tcPr>
          <w:p w14:paraId="57E9D0E0">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3D7456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6064B7FD">
            <w:pPr>
              <w:pageBreakBefore w:val="0"/>
              <w:kinsoku/>
              <w:wordWrap w:val="0"/>
              <w:overflowPunct/>
              <w:topLinePunct w:val="0"/>
              <w:bidi w:val="0"/>
              <w:spacing w:before="145" w:line="230"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成立时间</w:t>
            </w:r>
          </w:p>
        </w:tc>
        <w:tc>
          <w:tcPr>
            <w:tcW w:w="2812" w:type="dxa"/>
            <w:gridSpan w:val="2"/>
            <w:vAlign w:val="top"/>
          </w:tcPr>
          <w:p w14:paraId="61CAEFD6">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4827" w:type="dxa"/>
            <w:gridSpan w:val="6"/>
            <w:vAlign w:val="top"/>
          </w:tcPr>
          <w:p w14:paraId="68EE19B6">
            <w:pPr>
              <w:pageBreakBefore w:val="0"/>
              <w:kinsoku/>
              <w:wordWrap w:val="0"/>
              <w:overflowPunct/>
              <w:topLinePunct w:val="0"/>
              <w:bidi w:val="0"/>
              <w:spacing w:before="145" w:line="228" w:lineRule="auto"/>
              <w:ind w:left="128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员工总人数（个</w:t>
            </w:r>
            <w:r>
              <w:rPr>
                <w:rFonts w:hint="eastAsia" w:ascii="宋体" w:hAnsi="宋体" w:eastAsia="宋体" w:cs="宋体"/>
                <w:color w:val="auto"/>
                <w:sz w:val="24"/>
                <w:szCs w:val="24"/>
                <w:highlight w:val="none"/>
              </w:rPr>
              <w:t>）：</w:t>
            </w:r>
          </w:p>
        </w:tc>
      </w:tr>
      <w:tr w14:paraId="4A4B6E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vAlign w:val="top"/>
          </w:tcPr>
          <w:p w14:paraId="3DF6D215">
            <w:pPr>
              <w:pageBreakBefore w:val="0"/>
              <w:kinsoku/>
              <w:wordWrap w:val="0"/>
              <w:overflowPunct/>
              <w:topLinePunct w:val="0"/>
              <w:bidi w:val="0"/>
              <w:spacing w:before="61" w:line="262" w:lineRule="auto"/>
              <w:ind w:right="220"/>
              <w:jc w:val="cente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企业资质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类型和等级</w:t>
            </w:r>
          </w:p>
        </w:tc>
        <w:tc>
          <w:tcPr>
            <w:tcW w:w="2812" w:type="dxa"/>
            <w:gridSpan w:val="2"/>
            <w:vAlign w:val="top"/>
          </w:tcPr>
          <w:p w14:paraId="7C6CD087">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183" w:type="dxa"/>
            <w:gridSpan w:val="2"/>
            <w:vMerge w:val="restart"/>
            <w:tcBorders>
              <w:bottom w:val="nil"/>
            </w:tcBorders>
            <w:vAlign w:val="top"/>
          </w:tcPr>
          <w:p w14:paraId="2F74217E">
            <w:pPr>
              <w:pStyle w:val="21"/>
              <w:pageBreakBefore w:val="0"/>
              <w:kinsoku/>
              <w:wordWrap w:val="0"/>
              <w:overflowPunct/>
              <w:topLinePunct w:val="0"/>
              <w:bidi w:val="0"/>
              <w:spacing w:line="254" w:lineRule="auto"/>
              <w:rPr>
                <w:rFonts w:hint="eastAsia" w:ascii="宋体" w:hAnsi="宋体" w:eastAsia="宋体" w:cs="宋体"/>
                <w:color w:val="auto"/>
                <w:sz w:val="24"/>
                <w:szCs w:val="24"/>
                <w:highlight w:val="none"/>
              </w:rPr>
            </w:pPr>
          </w:p>
          <w:p w14:paraId="085FDF22">
            <w:pPr>
              <w:pStyle w:val="21"/>
              <w:pageBreakBefore w:val="0"/>
              <w:kinsoku/>
              <w:wordWrap w:val="0"/>
              <w:overflowPunct/>
              <w:topLinePunct w:val="0"/>
              <w:bidi w:val="0"/>
              <w:spacing w:line="254" w:lineRule="auto"/>
              <w:rPr>
                <w:rFonts w:hint="eastAsia" w:ascii="宋体" w:hAnsi="宋体" w:eastAsia="宋体" w:cs="宋体"/>
                <w:color w:val="auto"/>
                <w:sz w:val="24"/>
                <w:szCs w:val="24"/>
                <w:highlight w:val="none"/>
              </w:rPr>
            </w:pPr>
          </w:p>
          <w:p w14:paraId="0058CF4E">
            <w:pPr>
              <w:pStyle w:val="21"/>
              <w:pageBreakBefore w:val="0"/>
              <w:kinsoku/>
              <w:wordWrap w:val="0"/>
              <w:overflowPunct/>
              <w:topLinePunct w:val="0"/>
              <w:bidi w:val="0"/>
              <w:spacing w:line="254" w:lineRule="auto"/>
              <w:rPr>
                <w:rFonts w:hint="eastAsia" w:ascii="宋体" w:hAnsi="宋体" w:eastAsia="宋体" w:cs="宋体"/>
                <w:color w:val="auto"/>
                <w:sz w:val="24"/>
                <w:szCs w:val="24"/>
                <w:highlight w:val="none"/>
              </w:rPr>
            </w:pPr>
          </w:p>
          <w:p w14:paraId="52D89A9C">
            <w:pPr>
              <w:pStyle w:val="21"/>
              <w:pageBreakBefore w:val="0"/>
              <w:kinsoku/>
              <w:wordWrap w:val="0"/>
              <w:overflowPunct/>
              <w:topLinePunct w:val="0"/>
              <w:bidi w:val="0"/>
              <w:spacing w:line="254" w:lineRule="auto"/>
              <w:rPr>
                <w:rFonts w:hint="eastAsia" w:ascii="宋体" w:hAnsi="宋体" w:eastAsia="宋体" w:cs="宋体"/>
                <w:color w:val="auto"/>
                <w:sz w:val="24"/>
                <w:szCs w:val="24"/>
                <w:highlight w:val="none"/>
              </w:rPr>
            </w:pPr>
          </w:p>
          <w:p w14:paraId="2A9C3BD7">
            <w:pPr>
              <w:pStyle w:val="21"/>
              <w:pageBreakBefore w:val="0"/>
              <w:kinsoku/>
              <w:wordWrap w:val="0"/>
              <w:overflowPunct/>
              <w:topLinePunct w:val="0"/>
              <w:bidi w:val="0"/>
              <w:spacing w:line="255" w:lineRule="auto"/>
              <w:rPr>
                <w:rFonts w:hint="eastAsia" w:ascii="宋体" w:hAnsi="宋体" w:eastAsia="宋体" w:cs="宋体"/>
                <w:color w:val="auto"/>
                <w:sz w:val="24"/>
                <w:szCs w:val="24"/>
                <w:highlight w:val="none"/>
              </w:rPr>
            </w:pPr>
          </w:p>
          <w:p w14:paraId="6CC6EF4A">
            <w:pPr>
              <w:pageBreakBefore w:val="0"/>
              <w:kinsoku/>
              <w:wordWrap w:val="0"/>
              <w:overflowPunct/>
              <w:topLinePunct w:val="0"/>
              <w:bidi w:val="0"/>
              <w:spacing w:before="65" w:line="229" w:lineRule="auto"/>
              <w:ind w:left="3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其中</w:t>
            </w:r>
          </w:p>
        </w:tc>
        <w:tc>
          <w:tcPr>
            <w:tcW w:w="2096" w:type="dxa"/>
            <w:gridSpan w:val="3"/>
            <w:vAlign w:val="top"/>
          </w:tcPr>
          <w:p w14:paraId="2425027A">
            <w:pPr>
              <w:pageBreakBefore w:val="0"/>
              <w:kinsoku/>
              <w:wordWrap w:val="0"/>
              <w:overflowPunct/>
              <w:topLinePunct w:val="0"/>
              <w:bidi w:val="0"/>
              <w:spacing w:before="214" w:line="229" w:lineRule="auto"/>
              <w:ind w:left="55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48" w:type="dxa"/>
            <w:vAlign w:val="top"/>
          </w:tcPr>
          <w:p w14:paraId="0CC078DE">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02597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vAlign w:val="top"/>
          </w:tcPr>
          <w:p w14:paraId="38A0687A">
            <w:pPr>
              <w:pageBreakBefore w:val="0"/>
              <w:kinsoku/>
              <w:wordWrap w:val="0"/>
              <w:overflowPunct/>
              <w:topLinePunct w:val="0"/>
              <w:bidi w:val="0"/>
              <w:spacing w:before="146" w:line="228" w:lineRule="auto"/>
              <w:ind w:left="23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营业执照号</w:t>
            </w:r>
          </w:p>
        </w:tc>
        <w:tc>
          <w:tcPr>
            <w:tcW w:w="2812" w:type="dxa"/>
            <w:gridSpan w:val="2"/>
            <w:vAlign w:val="top"/>
          </w:tcPr>
          <w:p w14:paraId="48DD56DF">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7CE88A7F">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2096" w:type="dxa"/>
            <w:gridSpan w:val="3"/>
            <w:vAlign w:val="top"/>
          </w:tcPr>
          <w:p w14:paraId="12538A97">
            <w:pPr>
              <w:pageBreakBefore w:val="0"/>
              <w:kinsoku/>
              <w:wordWrap w:val="0"/>
              <w:overflowPunct/>
              <w:topLinePunct w:val="0"/>
              <w:bidi w:val="0"/>
              <w:spacing w:before="146" w:line="228" w:lineRule="auto"/>
              <w:ind w:left="3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高级职称人员</w:t>
            </w:r>
          </w:p>
        </w:tc>
        <w:tc>
          <w:tcPr>
            <w:tcW w:w="1548" w:type="dxa"/>
            <w:vAlign w:val="top"/>
          </w:tcPr>
          <w:p w14:paraId="0D96978F">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578F89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vAlign w:val="top"/>
          </w:tcPr>
          <w:p w14:paraId="7EBB8EC3">
            <w:pPr>
              <w:pageBreakBefore w:val="0"/>
              <w:kinsoku/>
              <w:wordWrap w:val="0"/>
              <w:overflowPunct/>
              <w:topLinePunct w:val="0"/>
              <w:bidi w:val="0"/>
              <w:spacing w:before="146"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注册资金</w:t>
            </w:r>
          </w:p>
        </w:tc>
        <w:tc>
          <w:tcPr>
            <w:tcW w:w="2812" w:type="dxa"/>
            <w:gridSpan w:val="2"/>
            <w:vAlign w:val="top"/>
          </w:tcPr>
          <w:p w14:paraId="60BBB588">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042B2402">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2096" w:type="dxa"/>
            <w:gridSpan w:val="3"/>
            <w:vAlign w:val="top"/>
          </w:tcPr>
          <w:p w14:paraId="254C5EFF">
            <w:pPr>
              <w:pageBreakBefore w:val="0"/>
              <w:kinsoku/>
              <w:wordWrap w:val="0"/>
              <w:overflowPunct/>
              <w:topLinePunct w:val="0"/>
              <w:bidi w:val="0"/>
              <w:spacing w:before="147"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中级职称人员</w:t>
            </w:r>
          </w:p>
        </w:tc>
        <w:tc>
          <w:tcPr>
            <w:tcW w:w="1548" w:type="dxa"/>
            <w:vAlign w:val="top"/>
          </w:tcPr>
          <w:p w14:paraId="0CD349BE">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251D3A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vAlign w:val="top"/>
          </w:tcPr>
          <w:p w14:paraId="7F05C22D">
            <w:pPr>
              <w:pageBreakBefore w:val="0"/>
              <w:kinsoku/>
              <w:wordWrap w:val="0"/>
              <w:overflowPunct/>
              <w:topLinePunct w:val="0"/>
              <w:bidi w:val="0"/>
              <w:spacing w:before="62" w:line="241"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开户银行</w:t>
            </w:r>
          </w:p>
        </w:tc>
        <w:tc>
          <w:tcPr>
            <w:tcW w:w="2812" w:type="dxa"/>
            <w:gridSpan w:val="2"/>
            <w:vAlign w:val="top"/>
          </w:tcPr>
          <w:p w14:paraId="001B5A6A">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07E236F6">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2096" w:type="dxa"/>
            <w:gridSpan w:val="3"/>
            <w:vAlign w:val="top"/>
          </w:tcPr>
          <w:p w14:paraId="5A14CD2D">
            <w:pPr>
              <w:pageBreakBefore w:val="0"/>
              <w:kinsoku/>
              <w:wordWrap w:val="0"/>
              <w:overflowPunct/>
              <w:topLinePunct w:val="0"/>
              <w:bidi w:val="0"/>
              <w:spacing w:before="191" w:line="230"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初级职称人员</w:t>
            </w:r>
          </w:p>
        </w:tc>
        <w:tc>
          <w:tcPr>
            <w:tcW w:w="1548" w:type="dxa"/>
            <w:vAlign w:val="top"/>
          </w:tcPr>
          <w:p w14:paraId="56D27094">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63130E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vAlign w:val="top"/>
          </w:tcPr>
          <w:p w14:paraId="46DD69AB">
            <w:pPr>
              <w:pageBreakBefore w:val="0"/>
              <w:kinsoku/>
              <w:wordWrap w:val="0"/>
              <w:overflowPunct/>
              <w:topLinePunct w:val="0"/>
              <w:bidi w:val="0"/>
              <w:spacing w:before="62" w:line="259"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银行账号</w:t>
            </w:r>
          </w:p>
        </w:tc>
        <w:tc>
          <w:tcPr>
            <w:tcW w:w="2812" w:type="dxa"/>
            <w:gridSpan w:val="2"/>
            <w:vAlign w:val="top"/>
          </w:tcPr>
          <w:p w14:paraId="65CE9325">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183" w:type="dxa"/>
            <w:gridSpan w:val="2"/>
            <w:vMerge w:val="continue"/>
            <w:tcBorders>
              <w:top w:val="nil"/>
            </w:tcBorders>
            <w:vAlign w:val="top"/>
          </w:tcPr>
          <w:p w14:paraId="1DA4FF47">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2096" w:type="dxa"/>
            <w:gridSpan w:val="3"/>
            <w:vAlign w:val="top"/>
          </w:tcPr>
          <w:p w14:paraId="71351406">
            <w:pPr>
              <w:pageBreakBefore w:val="0"/>
              <w:kinsoku/>
              <w:wordWrap w:val="0"/>
              <w:overflowPunct/>
              <w:topLinePunct w:val="0"/>
              <w:bidi w:val="0"/>
              <w:spacing w:before="211" w:line="228" w:lineRule="auto"/>
              <w:ind w:left="6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技术员</w:t>
            </w:r>
          </w:p>
        </w:tc>
        <w:tc>
          <w:tcPr>
            <w:tcW w:w="1548" w:type="dxa"/>
            <w:vAlign w:val="top"/>
          </w:tcPr>
          <w:p w14:paraId="0D809729">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74295D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vAlign w:val="top"/>
          </w:tcPr>
          <w:p w14:paraId="6F177D67">
            <w:pPr>
              <w:pageBreakBefore w:val="0"/>
              <w:kinsoku/>
              <w:wordWrap w:val="0"/>
              <w:overflowPunct/>
              <w:topLinePunct w:val="0"/>
              <w:bidi w:val="0"/>
              <w:spacing w:before="6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经营范围</w:t>
            </w:r>
          </w:p>
        </w:tc>
        <w:tc>
          <w:tcPr>
            <w:tcW w:w="7639" w:type="dxa"/>
            <w:gridSpan w:val="8"/>
            <w:vAlign w:val="top"/>
          </w:tcPr>
          <w:p w14:paraId="05F8D88C">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33756F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vAlign w:val="top"/>
          </w:tcPr>
          <w:p w14:paraId="01E6D9DD">
            <w:pPr>
              <w:pStyle w:val="21"/>
              <w:pageBreakBefore w:val="0"/>
              <w:kinsoku/>
              <w:wordWrap w:val="0"/>
              <w:overflowPunct/>
              <w:topLinePunct w:val="0"/>
              <w:bidi w:val="0"/>
              <w:spacing w:line="295" w:lineRule="auto"/>
              <w:rPr>
                <w:rFonts w:hint="eastAsia" w:ascii="宋体" w:hAnsi="宋体" w:eastAsia="宋体" w:cs="宋体"/>
                <w:color w:val="auto"/>
                <w:sz w:val="24"/>
                <w:szCs w:val="24"/>
                <w:highlight w:val="none"/>
              </w:rPr>
            </w:pPr>
          </w:p>
          <w:p w14:paraId="2DD91160">
            <w:pPr>
              <w:pStyle w:val="21"/>
              <w:pageBreakBefore w:val="0"/>
              <w:kinsoku/>
              <w:wordWrap w:val="0"/>
              <w:overflowPunct/>
              <w:topLinePunct w:val="0"/>
              <w:bidi w:val="0"/>
              <w:spacing w:line="296" w:lineRule="auto"/>
              <w:rPr>
                <w:rFonts w:hint="eastAsia" w:ascii="宋体" w:hAnsi="宋体" w:eastAsia="宋体" w:cs="宋体"/>
                <w:color w:val="auto"/>
                <w:sz w:val="24"/>
                <w:szCs w:val="24"/>
                <w:highlight w:val="none"/>
              </w:rPr>
            </w:pPr>
          </w:p>
          <w:p w14:paraId="1E607DF4">
            <w:pPr>
              <w:pageBreakBefore w:val="0"/>
              <w:kinsoku/>
              <w:wordWrap w:val="0"/>
              <w:overflowPunct/>
              <w:topLinePunct w:val="0"/>
              <w:bidi w:val="0"/>
              <w:spacing w:before="65" w:line="229"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关联企业情况</w:t>
            </w:r>
          </w:p>
        </w:tc>
        <w:tc>
          <w:tcPr>
            <w:tcW w:w="7639" w:type="dxa"/>
            <w:gridSpan w:val="8"/>
            <w:vAlign w:val="top"/>
          </w:tcPr>
          <w:p w14:paraId="5ACD1C76">
            <w:pPr>
              <w:pageBreakBefore w:val="0"/>
              <w:kinsoku/>
              <w:wordWrap w:val="0"/>
              <w:overflowPunct/>
              <w:topLinePunct w:val="0"/>
              <w:bidi w:val="0"/>
              <w:spacing w:before="168"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包括但不限于与投标人存在以下关系的不同单位：</w:t>
            </w:r>
          </w:p>
          <w:p w14:paraId="70295B84">
            <w:pPr>
              <w:pageBreakBefore w:val="0"/>
              <w:kinsoku/>
              <w:wordWrap w:val="0"/>
              <w:overflowPunct/>
              <w:topLinePunct w:val="0"/>
              <w:bidi w:val="0"/>
              <w:spacing w:before="81" w:line="228" w:lineRule="auto"/>
              <w:ind w:left="12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4"/>
                <w:sz w:val="24"/>
                <w:szCs w:val="24"/>
                <w:highlight w:val="none"/>
              </w:rPr>
              <w:t>．法定代表人为同一人的。</w:t>
            </w:r>
          </w:p>
          <w:p w14:paraId="069BC0F2">
            <w:pPr>
              <w:pageBreakBefore w:val="0"/>
              <w:kinsoku/>
              <w:wordWrap w:val="0"/>
              <w:overflowPunct/>
              <w:topLinePunct w:val="0"/>
              <w:bidi w:val="0"/>
              <w:spacing w:before="81" w:line="228" w:lineRule="auto"/>
              <w:ind w:left="10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6"/>
                <w:sz w:val="24"/>
                <w:szCs w:val="24"/>
                <w:highlight w:val="none"/>
              </w:rPr>
              <w:t>．存在控股、管理关系的。</w:t>
            </w:r>
          </w:p>
          <w:p w14:paraId="488A58D1">
            <w:pPr>
              <w:pageBreakBefore w:val="0"/>
              <w:kinsoku/>
              <w:wordWrap w:val="0"/>
              <w:overflowPunct/>
              <w:topLinePunct w:val="0"/>
              <w:bidi w:val="0"/>
              <w:spacing w:before="81" w:line="228" w:lineRule="auto"/>
              <w:ind w:left="1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5"/>
                <w:sz w:val="24"/>
                <w:szCs w:val="24"/>
                <w:highlight w:val="none"/>
              </w:rPr>
              <w:t>．主要人员相互任职的。</w:t>
            </w:r>
          </w:p>
        </w:tc>
      </w:tr>
      <w:tr w14:paraId="5AA68D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vAlign w:val="top"/>
          </w:tcPr>
          <w:p w14:paraId="519A8291">
            <w:pPr>
              <w:pageBreakBefore w:val="0"/>
              <w:kinsoku/>
              <w:wordWrap w:val="0"/>
              <w:overflowPunct/>
              <w:topLinePunct w:val="0"/>
              <w:bidi w:val="0"/>
              <w:spacing w:before="235" w:line="230" w:lineRule="auto"/>
              <w:ind w:left="54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c>
          <w:tcPr>
            <w:tcW w:w="7639" w:type="dxa"/>
            <w:gridSpan w:val="8"/>
            <w:vAlign w:val="top"/>
          </w:tcPr>
          <w:p w14:paraId="20FD0AE4">
            <w:pPr>
              <w:pStyle w:val="21"/>
              <w:pageBreakBefore w:val="0"/>
              <w:kinsoku/>
              <w:wordWrap w:val="0"/>
              <w:overflowPunct/>
              <w:topLinePunct w:val="0"/>
              <w:bidi w:val="0"/>
              <w:rPr>
                <w:rFonts w:hint="eastAsia" w:ascii="宋体" w:hAnsi="宋体" w:eastAsia="宋体" w:cs="宋体"/>
                <w:color w:val="auto"/>
                <w:sz w:val="24"/>
                <w:szCs w:val="24"/>
                <w:highlight w:val="none"/>
              </w:rPr>
            </w:pPr>
          </w:p>
        </w:tc>
      </w:tr>
    </w:tbl>
    <w:p w14:paraId="2CDDCDA5">
      <w:pPr>
        <w:pageBreakBefore w:val="0"/>
        <w:kinsoku/>
        <w:wordWrap w:val="0"/>
        <w:overflowPunct/>
        <w:topLinePunct w:val="0"/>
        <w:bidi w:val="0"/>
        <w:spacing w:before="140" w:line="228" w:lineRule="auto"/>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说明：</w:t>
      </w:r>
    </w:p>
    <w:p w14:paraId="3E4045BF">
      <w:pPr>
        <w:keepNext w:val="0"/>
        <w:keepLines w:val="0"/>
        <w:pageBreakBefore w:val="0"/>
        <w:widowControl/>
        <w:kinsoku/>
        <w:wordWrap w:val="0"/>
        <w:overflowPunct/>
        <w:topLinePunct w:val="0"/>
        <w:autoSpaceDE w:val="0"/>
        <w:autoSpaceDN w:val="0"/>
        <w:bidi w:val="0"/>
        <w:adjustRightInd w:val="0"/>
        <w:snapToGrid w:val="0"/>
        <w:spacing w:before="81" w:line="288" w:lineRule="auto"/>
        <w:textAlignment w:val="baseline"/>
        <w:outlineLvl w:val="9"/>
        <w:rPr>
          <w:rFonts w:hint="eastAsia" w:ascii="宋体" w:hAnsi="宋体" w:eastAsia="宋体" w:cs="宋体"/>
          <w:color w:val="auto"/>
          <w:spacing w:val="4"/>
          <w:sz w:val="18"/>
          <w:szCs w:val="18"/>
          <w:highlight w:val="none"/>
        </w:rPr>
      </w:pPr>
      <w:bookmarkStart w:id="248" w:name="_Toc5131"/>
      <w:bookmarkStart w:id="249" w:name="_Toc14048"/>
      <w:r>
        <w:rPr>
          <w:rFonts w:hint="eastAsia" w:ascii="宋体" w:hAnsi="宋体" w:eastAsia="宋体" w:cs="宋体"/>
          <w:color w:val="auto"/>
          <w:spacing w:val="4"/>
          <w:sz w:val="18"/>
          <w:szCs w:val="18"/>
          <w:highlight w:val="none"/>
        </w:rPr>
        <w:t>1 ．《投标人基本情况表》后应附以下资料：</w:t>
      </w:r>
      <w:bookmarkEnd w:id="248"/>
      <w:bookmarkEnd w:id="249"/>
    </w:p>
    <w:p w14:paraId="2CEABDBC">
      <w:pPr>
        <w:keepNext w:val="0"/>
        <w:keepLines w:val="0"/>
        <w:pageBreakBefore w:val="0"/>
        <w:widowControl/>
        <w:kinsoku/>
        <w:wordWrap w:val="0"/>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pacing w:val="6"/>
          <w:sz w:val="18"/>
          <w:szCs w:val="18"/>
          <w:highlight w:val="none"/>
        </w:rPr>
      </w:pPr>
      <w:r>
        <w:rPr>
          <w:rFonts w:hint="eastAsia" w:ascii="宋体" w:hAnsi="宋体" w:eastAsia="宋体" w:cs="宋体"/>
          <w:color w:val="auto"/>
          <w:spacing w:val="9"/>
          <w:sz w:val="18"/>
          <w:szCs w:val="18"/>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7EFD6D50">
      <w:pPr>
        <w:keepNext w:val="0"/>
        <w:keepLines w:val="0"/>
        <w:pageBreakBefore w:val="0"/>
        <w:widowControl/>
        <w:kinsoku/>
        <w:wordWrap w:val="0"/>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lang w:eastAsia="zh-CN"/>
        </w:rPr>
        <w:t>（2）</w:t>
      </w:r>
      <w:r>
        <w:rPr>
          <w:rFonts w:hint="eastAsia" w:ascii="宋体" w:hAnsi="宋体" w:eastAsia="宋体" w:cs="宋体"/>
          <w:color w:val="auto"/>
          <w:spacing w:val="9"/>
          <w:sz w:val="18"/>
          <w:szCs w:val="18"/>
          <w:highlight w:val="none"/>
        </w:rPr>
        <w:t>“进粤企业和人员诚信信息登记平台</w:t>
      </w:r>
      <w:r>
        <w:rPr>
          <w:rFonts w:hint="eastAsia" w:ascii="宋体" w:hAnsi="宋体" w:eastAsia="宋体" w:cs="宋体"/>
          <w:color w:val="auto"/>
          <w:spacing w:val="-72"/>
          <w:sz w:val="18"/>
          <w:szCs w:val="18"/>
          <w:highlight w:val="none"/>
        </w:rPr>
        <w:t xml:space="preserve"> </w:t>
      </w:r>
      <w:r>
        <w:rPr>
          <w:rFonts w:hint="eastAsia" w:ascii="宋体" w:hAnsi="宋体" w:eastAsia="宋体" w:cs="宋体"/>
          <w:color w:val="auto"/>
          <w:spacing w:val="8"/>
          <w:sz w:val="18"/>
          <w:szCs w:val="18"/>
          <w:highlight w:val="none"/>
        </w:rPr>
        <w:t>”企业信息情况打印页。（适用于省外建筑企业）</w:t>
      </w:r>
    </w:p>
    <w:p w14:paraId="6F0B00EB">
      <w:pPr>
        <w:keepNext w:val="0"/>
        <w:keepLines w:val="0"/>
        <w:pageBreakBefore w:val="0"/>
        <w:widowControl/>
        <w:kinsoku/>
        <w:wordWrap w:val="0"/>
        <w:overflowPunct/>
        <w:topLinePunct w:val="0"/>
        <w:autoSpaceDE w:val="0"/>
        <w:autoSpaceDN w:val="0"/>
        <w:bidi w:val="0"/>
        <w:adjustRightInd w:val="0"/>
        <w:snapToGrid w:val="0"/>
        <w:spacing w:before="153" w:line="288" w:lineRule="auto"/>
        <w:jc w:val="both"/>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lang w:eastAsia="zh-CN"/>
        </w:rPr>
        <w:t>（3）</w:t>
      </w:r>
      <w:r>
        <w:rPr>
          <w:rFonts w:hint="eastAsia" w:ascii="宋体" w:hAnsi="宋体" w:eastAsia="宋体" w:cs="宋体"/>
          <w:color w:val="auto"/>
          <w:spacing w:val="8"/>
          <w:sz w:val="18"/>
          <w:szCs w:val="18"/>
          <w:highlight w:val="none"/>
        </w:rPr>
        <w:t>《法人和非法人组织公共信用信息报告》（在“信用中国</w:t>
      </w:r>
      <w:r>
        <w:rPr>
          <w:rFonts w:hint="eastAsia" w:ascii="宋体" w:hAnsi="宋体" w:eastAsia="宋体" w:cs="宋体"/>
          <w:color w:val="auto"/>
          <w:spacing w:val="-70"/>
          <w:sz w:val="18"/>
          <w:szCs w:val="18"/>
          <w:highlight w:val="none"/>
        </w:rPr>
        <w:t xml:space="preserve"> </w:t>
      </w:r>
      <w:r>
        <w:rPr>
          <w:rFonts w:hint="eastAsia" w:ascii="宋体" w:hAnsi="宋体" w:eastAsia="宋体" w:cs="宋体"/>
          <w:color w:val="auto"/>
          <w:spacing w:val="8"/>
          <w:sz w:val="18"/>
          <w:szCs w:val="18"/>
          <w:highlight w:val="none"/>
        </w:rPr>
        <w:t>”网站企业查询界面</w:t>
      </w:r>
      <w:r>
        <w:rPr>
          <w:rFonts w:hint="eastAsia" w:ascii="宋体" w:hAnsi="宋体" w:eastAsia="宋体" w:cs="宋体"/>
          <w:color w:val="auto"/>
          <w:spacing w:val="7"/>
          <w:sz w:val="18"/>
          <w:szCs w:val="18"/>
          <w:highlight w:val="none"/>
        </w:rPr>
        <w:t>中下载）。</w:t>
      </w:r>
    </w:p>
    <w:p w14:paraId="4BDD280C">
      <w:pPr>
        <w:pageBreakBefore w:val="0"/>
        <w:kinsoku/>
        <w:wordWrap w:val="0"/>
        <w:overflowPunct/>
        <w:topLinePunct w:val="0"/>
        <w:bidi w:val="0"/>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br w:type="page"/>
      </w:r>
    </w:p>
    <w:p w14:paraId="451A766F">
      <w:pPr>
        <w:pageBreakBefore w:val="0"/>
        <w:kinsoku/>
        <w:wordWrap w:val="0"/>
        <w:overflowPunct/>
        <w:topLinePunct w:val="0"/>
        <w:bidi w:val="0"/>
        <w:spacing w:before="78" w:line="220" w:lineRule="auto"/>
        <w:outlineLvl w:val="2"/>
        <w:rPr>
          <w:rFonts w:hint="eastAsia" w:ascii="宋体" w:hAnsi="宋体" w:eastAsia="宋体" w:cs="宋体"/>
          <w:b/>
          <w:bCs/>
          <w:color w:val="auto"/>
          <w:spacing w:val="-4"/>
          <w:sz w:val="24"/>
          <w:szCs w:val="24"/>
          <w:highlight w:val="none"/>
        </w:rPr>
      </w:pPr>
      <w:bookmarkStart w:id="250" w:name="_Toc6783"/>
      <w:r>
        <w:rPr>
          <w:rFonts w:hint="eastAsia" w:ascii="宋体" w:hAnsi="宋体" w:eastAsia="宋体" w:cs="宋体"/>
          <w:b/>
          <w:bCs/>
          <w:color w:val="auto"/>
          <w:spacing w:val="-4"/>
          <w:sz w:val="24"/>
          <w:szCs w:val="24"/>
          <w:highlight w:val="none"/>
        </w:rPr>
        <w:t>格式八 项目经理简历表</w:t>
      </w:r>
      <w:bookmarkEnd w:id="250"/>
    </w:p>
    <w:p w14:paraId="44DC91D3">
      <w:pPr>
        <w:pStyle w:val="3"/>
        <w:pageBreakBefore w:val="0"/>
        <w:kinsoku/>
        <w:wordWrap w:val="0"/>
        <w:overflowPunct/>
        <w:topLinePunct w:val="0"/>
        <w:bidi w:val="0"/>
        <w:spacing w:line="444" w:lineRule="auto"/>
        <w:rPr>
          <w:rFonts w:hint="eastAsia" w:ascii="宋体" w:hAnsi="宋体" w:eastAsia="宋体" w:cs="宋体"/>
          <w:color w:val="auto"/>
          <w:highlight w:val="none"/>
        </w:rPr>
      </w:pPr>
    </w:p>
    <w:p w14:paraId="185D5FD6">
      <w:pPr>
        <w:pageBreakBefore w:val="0"/>
        <w:kinsoku/>
        <w:wordWrap w:val="0"/>
        <w:overflowPunct/>
        <w:topLinePunct w:val="0"/>
        <w:bidi w:val="0"/>
        <w:spacing w:before="97" w:line="219" w:lineRule="auto"/>
        <w:ind w:left="3538"/>
        <w:outlineLvl w:val="9"/>
        <w:rPr>
          <w:rFonts w:hint="eastAsia" w:ascii="宋体" w:hAnsi="宋体" w:eastAsia="宋体" w:cs="宋体"/>
          <w:color w:val="auto"/>
          <w:sz w:val="30"/>
          <w:szCs w:val="30"/>
          <w:highlight w:val="none"/>
        </w:rPr>
      </w:pPr>
      <w:bookmarkStart w:id="251" w:name="bookmark156"/>
      <w:bookmarkEnd w:id="251"/>
      <w:bookmarkStart w:id="252" w:name="bookmark89"/>
      <w:bookmarkEnd w:id="252"/>
      <w:bookmarkStart w:id="253" w:name="_Toc24489"/>
      <w:bookmarkStart w:id="254" w:name="_Toc31533"/>
      <w:r>
        <w:rPr>
          <w:rFonts w:hint="eastAsia" w:ascii="宋体" w:hAnsi="宋体" w:eastAsia="宋体" w:cs="宋体"/>
          <w:b/>
          <w:bCs/>
          <w:color w:val="auto"/>
          <w:spacing w:val="-5"/>
          <w:sz w:val="30"/>
          <w:szCs w:val="30"/>
          <w:highlight w:val="none"/>
        </w:rPr>
        <w:t>项目经理简历表</w:t>
      </w:r>
      <w:bookmarkEnd w:id="253"/>
      <w:bookmarkEnd w:id="254"/>
    </w:p>
    <w:p w14:paraId="7FF3B61F">
      <w:pPr>
        <w:pageBreakBefore w:val="0"/>
        <w:kinsoku/>
        <w:wordWrap w:val="0"/>
        <w:overflowPunct/>
        <w:topLinePunct w:val="0"/>
        <w:bidi w:val="0"/>
        <w:spacing w:line="240" w:lineRule="exact"/>
        <w:rPr>
          <w:rFonts w:hint="eastAsia" w:ascii="宋体" w:hAnsi="宋体" w:eastAsia="宋体" w:cs="宋体"/>
          <w:color w:val="auto"/>
          <w:highlight w:val="none"/>
        </w:rPr>
      </w:pPr>
    </w:p>
    <w:tbl>
      <w:tblPr>
        <w:tblStyle w:val="14"/>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9FDC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top"/>
          </w:tcPr>
          <w:p w14:paraId="6F649E7D">
            <w:pPr>
              <w:pageBreakBefore w:val="0"/>
              <w:kinsoku/>
              <w:wordWrap w:val="0"/>
              <w:overflowPunct/>
              <w:topLinePunct w:val="0"/>
              <w:bidi w:val="0"/>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94" w:type="dxa"/>
            <w:gridSpan w:val="2"/>
            <w:vAlign w:val="top"/>
          </w:tcPr>
          <w:p w14:paraId="0BE65721">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357" w:type="dxa"/>
            <w:vAlign w:val="top"/>
          </w:tcPr>
          <w:p w14:paraId="6A7A5619">
            <w:pPr>
              <w:pageBreakBefore w:val="0"/>
              <w:kinsoku/>
              <w:wordWrap w:val="0"/>
              <w:overflowPunct/>
              <w:topLinePunct w:val="0"/>
              <w:bidi w:val="0"/>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62" w:type="dxa"/>
            <w:vAlign w:val="top"/>
          </w:tcPr>
          <w:p w14:paraId="310E25C0">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798" w:type="dxa"/>
            <w:vAlign w:val="top"/>
          </w:tcPr>
          <w:p w14:paraId="286B13D8">
            <w:pPr>
              <w:pageBreakBefore w:val="0"/>
              <w:kinsoku/>
              <w:wordWrap w:val="0"/>
              <w:overflowPunct/>
              <w:topLinePunct w:val="0"/>
              <w:bidi w:val="0"/>
              <w:spacing w:before="177" w:line="228" w:lineRule="auto"/>
              <w:ind w:left="4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98" w:type="dxa"/>
            <w:vAlign w:val="top"/>
          </w:tcPr>
          <w:p w14:paraId="092C4AA2">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301DB2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top"/>
          </w:tcPr>
          <w:p w14:paraId="700A18F2">
            <w:pPr>
              <w:pageBreakBefore w:val="0"/>
              <w:kinsoku/>
              <w:wordWrap w:val="0"/>
              <w:overflowPunct/>
              <w:topLinePunct w:val="0"/>
              <w:bidi w:val="0"/>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94" w:type="dxa"/>
            <w:gridSpan w:val="2"/>
            <w:vAlign w:val="top"/>
          </w:tcPr>
          <w:p w14:paraId="29D98F38">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357" w:type="dxa"/>
            <w:vAlign w:val="top"/>
          </w:tcPr>
          <w:p w14:paraId="06A23A17">
            <w:pPr>
              <w:pageBreakBefore w:val="0"/>
              <w:kinsoku/>
              <w:wordWrap w:val="0"/>
              <w:overflowPunct/>
              <w:topLinePunct w:val="0"/>
              <w:bidi w:val="0"/>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62" w:type="dxa"/>
            <w:vAlign w:val="top"/>
          </w:tcPr>
          <w:p w14:paraId="75DF90F2">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798" w:type="dxa"/>
            <w:vAlign w:val="top"/>
          </w:tcPr>
          <w:p w14:paraId="5AA14F90">
            <w:pPr>
              <w:pageBreakBefore w:val="0"/>
              <w:kinsoku/>
              <w:wordWrap w:val="0"/>
              <w:overflowPunct/>
              <w:topLinePunct w:val="0"/>
              <w:bidi w:val="0"/>
              <w:spacing w:before="175" w:line="230"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98" w:type="dxa"/>
            <w:vAlign w:val="top"/>
          </w:tcPr>
          <w:p w14:paraId="7644D24F">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6C391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top"/>
          </w:tcPr>
          <w:p w14:paraId="359A1F6D">
            <w:pPr>
              <w:pageBreakBefore w:val="0"/>
              <w:kinsoku/>
              <w:wordWrap w:val="0"/>
              <w:overflowPunct/>
              <w:topLinePunct w:val="0"/>
              <w:bidi w:val="0"/>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51" w:type="dxa"/>
            <w:gridSpan w:val="3"/>
            <w:vAlign w:val="top"/>
          </w:tcPr>
          <w:p w14:paraId="54FDA201">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3860" w:type="dxa"/>
            <w:gridSpan w:val="2"/>
            <w:vAlign w:val="top"/>
          </w:tcPr>
          <w:p w14:paraId="1B0D6DD8">
            <w:pPr>
              <w:pageBreakBefore w:val="0"/>
              <w:kinsoku/>
              <w:wordWrap w:val="0"/>
              <w:overflowPunct/>
              <w:topLinePunct w:val="0"/>
              <w:bidi w:val="0"/>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98" w:type="dxa"/>
            <w:vAlign w:val="top"/>
          </w:tcPr>
          <w:p w14:paraId="5D65D784">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7DF97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top"/>
          </w:tcPr>
          <w:p w14:paraId="67F9A91C">
            <w:pPr>
              <w:pageBreakBefore w:val="0"/>
              <w:kinsoku/>
              <w:wordWrap w:val="0"/>
              <w:overflowPunct/>
              <w:topLinePunct w:val="0"/>
              <w:bidi w:val="0"/>
              <w:spacing w:before="176" w:line="228" w:lineRule="auto"/>
              <w:ind w:left="23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以项目经理身份参与过的主要业绩（已完工项目）</w:t>
            </w:r>
          </w:p>
        </w:tc>
      </w:tr>
      <w:tr w14:paraId="3895B5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14:paraId="797BF19C">
            <w:pPr>
              <w:pageBreakBefore w:val="0"/>
              <w:kinsoku/>
              <w:wordWrap w:val="0"/>
              <w:overflowPunct/>
              <w:topLinePunct w:val="0"/>
              <w:bidi w:val="0"/>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24" w:type="dxa"/>
            <w:gridSpan w:val="2"/>
            <w:vAlign w:val="top"/>
          </w:tcPr>
          <w:p w14:paraId="4007FCA1">
            <w:pPr>
              <w:pageBreakBefore w:val="0"/>
              <w:kinsoku/>
              <w:wordWrap w:val="0"/>
              <w:overflowPunct/>
              <w:topLinePunct w:val="0"/>
              <w:bidi w:val="0"/>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37" w:type="dxa"/>
            <w:gridSpan w:val="2"/>
            <w:vAlign w:val="top"/>
          </w:tcPr>
          <w:p w14:paraId="1C4205E1">
            <w:pPr>
              <w:pageBreakBefore w:val="0"/>
              <w:kinsoku/>
              <w:wordWrap w:val="0"/>
              <w:overflowPunct/>
              <w:topLinePunct w:val="0"/>
              <w:bidi w:val="0"/>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62" w:type="dxa"/>
            <w:vAlign w:val="top"/>
          </w:tcPr>
          <w:p w14:paraId="4B953E8B">
            <w:pPr>
              <w:pageBreakBefore w:val="0"/>
              <w:kinsoku/>
              <w:wordWrap w:val="0"/>
              <w:overflowPunct/>
              <w:topLinePunct w:val="0"/>
              <w:bidi w:val="0"/>
              <w:spacing w:before="176" w:line="228"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98" w:type="dxa"/>
            <w:vAlign w:val="top"/>
          </w:tcPr>
          <w:p w14:paraId="703D0BC4">
            <w:pPr>
              <w:pageBreakBefore w:val="0"/>
              <w:kinsoku/>
              <w:wordWrap w:val="0"/>
              <w:overflowPunct/>
              <w:topLinePunct w:val="0"/>
              <w:bidi w:val="0"/>
              <w:spacing w:before="176" w:line="228" w:lineRule="auto"/>
              <w:ind w:left="2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98" w:type="dxa"/>
            <w:vAlign w:val="top"/>
          </w:tcPr>
          <w:p w14:paraId="66F90DEB">
            <w:pPr>
              <w:pageBreakBefore w:val="0"/>
              <w:kinsoku/>
              <w:wordWrap w:val="0"/>
              <w:overflowPunct/>
              <w:topLinePunct w:val="0"/>
              <w:bidi w:val="0"/>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45236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1487F696">
            <w:pPr>
              <w:pageBreakBefore w:val="0"/>
              <w:kinsoku/>
              <w:wordWrap w:val="0"/>
              <w:overflowPunct/>
              <w:topLinePunct w:val="0"/>
              <w:bidi w:val="0"/>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24" w:type="dxa"/>
            <w:gridSpan w:val="2"/>
            <w:vAlign w:val="top"/>
          </w:tcPr>
          <w:p w14:paraId="5BB2977F">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2037" w:type="dxa"/>
            <w:gridSpan w:val="2"/>
            <w:vAlign w:val="top"/>
          </w:tcPr>
          <w:p w14:paraId="7E680E92">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2062" w:type="dxa"/>
            <w:vAlign w:val="top"/>
          </w:tcPr>
          <w:p w14:paraId="6F8C779D">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798" w:type="dxa"/>
            <w:vAlign w:val="top"/>
          </w:tcPr>
          <w:p w14:paraId="4FB28411">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398" w:type="dxa"/>
            <w:vAlign w:val="top"/>
          </w:tcPr>
          <w:p w14:paraId="07C9E9B4">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02905B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14:paraId="361A5764">
            <w:pPr>
              <w:pageBreakBefore w:val="0"/>
              <w:kinsoku/>
              <w:wordWrap w:val="0"/>
              <w:overflowPunct/>
              <w:topLinePunct w:val="0"/>
              <w:bidi w:val="0"/>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24" w:type="dxa"/>
            <w:gridSpan w:val="2"/>
            <w:vAlign w:val="top"/>
          </w:tcPr>
          <w:p w14:paraId="10AD9F7C">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2037" w:type="dxa"/>
            <w:gridSpan w:val="2"/>
            <w:vAlign w:val="top"/>
          </w:tcPr>
          <w:p w14:paraId="78BE4EE8">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2062" w:type="dxa"/>
            <w:vAlign w:val="top"/>
          </w:tcPr>
          <w:p w14:paraId="202E95FE">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798" w:type="dxa"/>
            <w:vAlign w:val="top"/>
          </w:tcPr>
          <w:p w14:paraId="39BD4C0A">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398" w:type="dxa"/>
            <w:vAlign w:val="top"/>
          </w:tcPr>
          <w:p w14:paraId="3FCA662F">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275B0E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3FE5B5C3">
            <w:pPr>
              <w:pageBreakBefore w:val="0"/>
              <w:kinsoku/>
              <w:wordWrap w:val="0"/>
              <w:overflowPunct/>
              <w:topLinePunct w:val="0"/>
              <w:bidi w:val="0"/>
              <w:spacing w:before="213" w:line="195" w:lineRule="auto"/>
              <w:ind w:left="3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24" w:type="dxa"/>
            <w:gridSpan w:val="2"/>
            <w:vAlign w:val="top"/>
          </w:tcPr>
          <w:p w14:paraId="0F5BFF70">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2037" w:type="dxa"/>
            <w:gridSpan w:val="2"/>
            <w:vAlign w:val="top"/>
          </w:tcPr>
          <w:p w14:paraId="37D97746">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2062" w:type="dxa"/>
            <w:vAlign w:val="top"/>
          </w:tcPr>
          <w:p w14:paraId="4CDFAAF5">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798" w:type="dxa"/>
            <w:vAlign w:val="top"/>
          </w:tcPr>
          <w:p w14:paraId="26C0B79B">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398" w:type="dxa"/>
            <w:vAlign w:val="top"/>
          </w:tcPr>
          <w:p w14:paraId="2086BBE1">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6E4C84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14:paraId="501E4DE3">
            <w:pPr>
              <w:pageBreakBefore w:val="0"/>
              <w:kinsoku/>
              <w:wordWrap w:val="0"/>
              <w:overflowPunct/>
              <w:topLinePunct w:val="0"/>
              <w:bidi w:val="0"/>
              <w:spacing w:before="177" w:line="325"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24" w:type="dxa"/>
            <w:gridSpan w:val="2"/>
            <w:vAlign w:val="top"/>
          </w:tcPr>
          <w:p w14:paraId="370071DD">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2037" w:type="dxa"/>
            <w:gridSpan w:val="2"/>
            <w:vAlign w:val="top"/>
          </w:tcPr>
          <w:p w14:paraId="1BA39C6C">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2062" w:type="dxa"/>
            <w:vAlign w:val="top"/>
          </w:tcPr>
          <w:p w14:paraId="7040D83F">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798" w:type="dxa"/>
            <w:vAlign w:val="top"/>
          </w:tcPr>
          <w:p w14:paraId="62989CF7">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398" w:type="dxa"/>
            <w:vAlign w:val="top"/>
          </w:tcPr>
          <w:p w14:paraId="4044AF0E">
            <w:pPr>
              <w:pStyle w:val="21"/>
              <w:pageBreakBefore w:val="0"/>
              <w:kinsoku/>
              <w:wordWrap w:val="0"/>
              <w:overflowPunct/>
              <w:topLinePunct w:val="0"/>
              <w:bidi w:val="0"/>
              <w:rPr>
                <w:rFonts w:hint="eastAsia" w:ascii="宋体" w:hAnsi="宋体" w:eastAsia="宋体" w:cs="宋体"/>
                <w:color w:val="auto"/>
                <w:sz w:val="24"/>
                <w:szCs w:val="24"/>
                <w:highlight w:val="none"/>
              </w:rPr>
            </w:pPr>
          </w:p>
        </w:tc>
      </w:tr>
    </w:tbl>
    <w:p w14:paraId="72E3EBBA">
      <w:pPr>
        <w:pStyle w:val="3"/>
        <w:pageBreakBefore w:val="0"/>
        <w:kinsoku/>
        <w:wordWrap w:val="0"/>
        <w:overflowPunct/>
        <w:topLinePunct w:val="0"/>
        <w:bidi w:val="0"/>
        <w:spacing w:line="315" w:lineRule="auto"/>
        <w:rPr>
          <w:rFonts w:hint="eastAsia" w:ascii="宋体" w:hAnsi="宋体" w:eastAsia="宋体" w:cs="宋体"/>
          <w:color w:val="auto"/>
          <w:highlight w:val="none"/>
        </w:rPr>
      </w:pPr>
    </w:p>
    <w:p w14:paraId="30968C70">
      <w:pPr>
        <w:pageBreakBefore w:val="0"/>
        <w:kinsoku/>
        <w:wordWrap w:val="0"/>
        <w:overflowPunct/>
        <w:topLinePunct w:val="0"/>
        <w:bidi w:val="0"/>
        <w:spacing w:before="78" w:line="220" w:lineRule="auto"/>
        <w:ind w:left="696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项目经理</w:t>
      </w:r>
      <w:r>
        <w:rPr>
          <w:rFonts w:hint="eastAsia" w:ascii="宋体" w:hAnsi="宋体" w:eastAsia="宋体" w:cs="宋体"/>
          <w:color w:val="auto"/>
          <w:spacing w:val="-18"/>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7918B349">
      <w:pPr>
        <w:pStyle w:val="3"/>
        <w:pageBreakBefore w:val="0"/>
        <w:kinsoku/>
        <w:wordWrap w:val="0"/>
        <w:overflowPunct/>
        <w:topLinePunct w:val="0"/>
        <w:bidi w:val="0"/>
        <w:spacing w:line="256" w:lineRule="auto"/>
        <w:rPr>
          <w:rFonts w:hint="eastAsia" w:ascii="宋体" w:hAnsi="宋体" w:eastAsia="宋体" w:cs="宋体"/>
          <w:color w:val="auto"/>
          <w:highlight w:val="none"/>
        </w:rPr>
      </w:pPr>
    </w:p>
    <w:p w14:paraId="70170666">
      <w:pPr>
        <w:pStyle w:val="3"/>
        <w:pageBreakBefore w:val="0"/>
        <w:kinsoku/>
        <w:wordWrap w:val="0"/>
        <w:overflowPunct/>
        <w:topLinePunct w:val="0"/>
        <w:bidi w:val="0"/>
        <w:spacing w:line="254" w:lineRule="auto"/>
        <w:jc w:val="right"/>
        <w:rPr>
          <w:rFonts w:hint="eastAsia" w:ascii="宋体" w:hAnsi="宋体" w:eastAsia="宋体" w:cs="宋体"/>
          <w:color w:val="auto"/>
          <w:highlight w:val="none"/>
        </w:rPr>
      </w:pPr>
      <w:r>
        <w:rPr>
          <w:rFonts w:hint="eastAsia" w:ascii="宋体" w:hAnsi="宋体" w:eastAsia="宋体" w:cs="宋体"/>
          <w:color w:val="auto"/>
          <w:spacing w:val="-4"/>
          <w:sz w:val="24"/>
          <w:szCs w:val="24"/>
          <w:highlight w:val="non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804494D">
      <w:pPr>
        <w:pageBreakBefore w:val="0"/>
        <w:kinsoku/>
        <w:wordWrap w:val="0"/>
        <w:overflowPunct/>
        <w:topLinePunct w:val="0"/>
        <w:bidi w:val="0"/>
        <w:spacing w:before="78" w:line="220" w:lineRule="auto"/>
        <w:ind w:left="4226"/>
        <w:jc w:val="center"/>
        <w:rPr>
          <w:rFonts w:hint="eastAsia" w:ascii="宋体" w:hAnsi="宋体" w:eastAsia="宋体" w:cs="宋体"/>
          <w:color w:val="auto"/>
          <w:highlight w:val="none"/>
        </w:rPr>
      </w:pPr>
    </w:p>
    <w:p w14:paraId="29F18F2D">
      <w:pPr>
        <w:pStyle w:val="3"/>
        <w:pageBreakBefore w:val="0"/>
        <w:kinsoku/>
        <w:wordWrap w:val="0"/>
        <w:overflowPunct/>
        <w:topLinePunct w:val="0"/>
        <w:bidi w:val="0"/>
        <w:spacing w:line="241" w:lineRule="auto"/>
        <w:rPr>
          <w:rFonts w:hint="eastAsia" w:ascii="宋体" w:hAnsi="宋体" w:eastAsia="宋体" w:cs="宋体"/>
          <w:color w:val="auto"/>
          <w:highlight w:val="none"/>
        </w:rPr>
      </w:pPr>
    </w:p>
    <w:p w14:paraId="72DD2BA3">
      <w:pPr>
        <w:pageBreakBefore w:val="0"/>
        <w:kinsoku/>
        <w:wordWrap w:val="0"/>
        <w:overflowPunct/>
        <w:topLinePunct w:val="0"/>
        <w:bidi w:val="0"/>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说明：《项目经理简历表》后应附拟派项目经理以下资料：</w:t>
      </w:r>
    </w:p>
    <w:p w14:paraId="5196B571">
      <w:pPr>
        <w:pageBreakBefore w:val="0"/>
        <w:kinsoku/>
        <w:wordWrap w:val="0"/>
        <w:overflowPunct/>
        <w:topLinePunct w:val="0"/>
        <w:bidi w:val="0"/>
        <w:spacing w:before="152" w:line="228" w:lineRule="auto"/>
        <w:ind w:left="484"/>
        <w:outlineLvl w:val="9"/>
        <w:rPr>
          <w:rFonts w:hint="eastAsia" w:ascii="宋体" w:hAnsi="宋体" w:eastAsia="宋体" w:cs="宋体"/>
          <w:color w:val="auto"/>
          <w:sz w:val="24"/>
          <w:szCs w:val="24"/>
          <w:highlight w:val="none"/>
        </w:rPr>
      </w:pPr>
      <w:bookmarkStart w:id="255" w:name="_Toc1942"/>
      <w:bookmarkStart w:id="256" w:name="_Toc25271"/>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bookmarkEnd w:id="255"/>
      <w:bookmarkEnd w:id="256"/>
    </w:p>
    <w:p w14:paraId="23DC4C02">
      <w:pPr>
        <w:pageBreakBefore w:val="0"/>
        <w:kinsoku/>
        <w:wordWrap w:val="0"/>
        <w:overflowPunct/>
        <w:topLinePunct w:val="0"/>
        <w:bidi w:val="0"/>
        <w:spacing w:before="153"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8"/>
          <w:sz w:val="24"/>
          <w:szCs w:val="24"/>
          <w:highlight w:val="none"/>
        </w:rPr>
        <w:t>．建造师电子注册证书（在使用有效期内的有效电子证书）彩色扫描件；</w:t>
      </w:r>
    </w:p>
    <w:p w14:paraId="0A694408">
      <w:pPr>
        <w:pageBreakBefore w:val="0"/>
        <w:kinsoku/>
        <w:wordWrap w:val="0"/>
        <w:overflowPunct/>
        <w:topLinePunct w:val="0"/>
        <w:bidi w:val="0"/>
        <w:spacing w:before="154" w:line="298" w:lineRule="auto"/>
        <w:ind w:left="50" w:right="167" w:firstLine="41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3．B 类安全生产考核合格证书彩色扫描件或广东省建筑施工企业管理人员安全生产考核系统考</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7"/>
          <w:sz w:val="24"/>
          <w:szCs w:val="24"/>
          <w:highlight w:val="none"/>
        </w:rPr>
        <w:t>核合格信息彩色扫描件；</w:t>
      </w:r>
    </w:p>
    <w:p w14:paraId="3B1B02C0">
      <w:pPr>
        <w:pageBreakBefore w:val="0"/>
        <w:kinsoku/>
        <w:wordWrap w:val="0"/>
        <w:overflowPunct/>
        <w:topLinePunct w:val="0"/>
        <w:bidi w:val="0"/>
        <w:spacing w:before="153" w:line="299" w:lineRule="auto"/>
        <w:ind w:left="49" w:right="167" w:firstLine="4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8"/>
          <w:sz w:val="24"/>
          <w:szCs w:val="24"/>
          <w:highlight w:val="none"/>
        </w:rPr>
        <w:t>．在本单位缴纳社保</w:t>
      </w:r>
      <w:r>
        <w:rPr>
          <w:rFonts w:hint="eastAsia" w:ascii="宋体" w:hAnsi="宋体" w:eastAsia="宋体" w:cs="宋体"/>
          <w:color w:val="auto"/>
          <w:sz w:val="24"/>
          <w:szCs w:val="24"/>
          <w:highlight w:val="none"/>
          <w:lang w:eastAsia="zh-CN"/>
        </w:rPr>
        <w:t>的证明（至少</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个月，其</w:t>
      </w:r>
      <w:bookmarkStart w:id="257" w:name="OLE_LINK38"/>
      <w:r>
        <w:rPr>
          <w:rFonts w:hint="eastAsia" w:ascii="宋体" w:hAnsi="宋体" w:eastAsia="宋体" w:cs="宋体"/>
          <w:color w:val="auto"/>
          <w:sz w:val="24"/>
          <w:szCs w:val="24"/>
          <w:highlight w:val="none"/>
          <w:lang w:eastAsia="zh-CN"/>
        </w:rPr>
        <w:t>中必须有20</w:t>
      </w: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月</w:t>
      </w:r>
      <w:bookmarkEnd w:id="257"/>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8"/>
          <w:sz w:val="24"/>
          <w:szCs w:val="24"/>
          <w:highlight w:val="none"/>
        </w:rPr>
        <w:t>彩色扫描件或打印件。拟</w:t>
      </w:r>
      <w:r>
        <w:rPr>
          <w:rFonts w:hint="eastAsia" w:ascii="宋体" w:hAnsi="宋体" w:eastAsia="宋体" w:cs="宋体"/>
          <w:color w:val="auto"/>
          <w:spacing w:val="9"/>
          <w:sz w:val="24"/>
          <w:szCs w:val="24"/>
          <w:highlight w:val="none"/>
        </w:rPr>
        <w:t>派项目经理为退休返聘人员无法提供社保证明的，提供退休证和</w:t>
      </w:r>
      <w:r>
        <w:rPr>
          <w:rFonts w:hint="eastAsia" w:ascii="宋体" w:hAnsi="宋体" w:eastAsia="宋体" w:cs="宋体"/>
          <w:color w:val="auto"/>
          <w:spacing w:val="9"/>
          <w:sz w:val="24"/>
          <w:szCs w:val="24"/>
          <w:highlight w:val="none"/>
          <w:lang w:val="en-US" w:eastAsia="zh-CN"/>
        </w:rPr>
        <w:t>返聘协议</w:t>
      </w:r>
      <w:r>
        <w:rPr>
          <w:rFonts w:hint="eastAsia" w:ascii="宋体" w:hAnsi="宋体" w:eastAsia="宋体" w:cs="宋体"/>
          <w:color w:val="auto"/>
          <w:spacing w:val="9"/>
          <w:sz w:val="24"/>
          <w:szCs w:val="24"/>
          <w:highlight w:val="none"/>
        </w:rPr>
        <w:t>彩色扫描件。</w:t>
      </w:r>
    </w:p>
    <w:p w14:paraId="0D3E39AB">
      <w:pPr>
        <w:pageBreakBefore w:val="0"/>
        <w:kinsoku/>
        <w:wordWrap w:val="0"/>
        <w:overflowPunct/>
        <w:topLinePunct w:val="0"/>
        <w:bidi w:val="0"/>
        <w:spacing w:before="150" w:line="300" w:lineRule="auto"/>
        <w:ind w:left="49" w:right="170" w:firstLine="42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7"/>
          <w:sz w:val="24"/>
          <w:szCs w:val="24"/>
          <w:highlight w:val="none"/>
        </w:rPr>
        <w:t>．“进粤企业和人员诚信信息登记平台</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7"/>
          <w:sz w:val="24"/>
          <w:szCs w:val="24"/>
          <w:highlight w:val="none"/>
        </w:rPr>
        <w:t>”个人（项目经理等）信息</w:t>
      </w:r>
      <w:r>
        <w:rPr>
          <w:rFonts w:hint="eastAsia" w:ascii="宋体" w:hAnsi="宋体" w:eastAsia="宋体" w:cs="宋体"/>
          <w:color w:val="auto"/>
          <w:spacing w:val="6"/>
          <w:sz w:val="24"/>
          <w:szCs w:val="24"/>
          <w:highlight w:val="none"/>
        </w:rPr>
        <w:t>情况截图。（适用于省外建</w:t>
      </w:r>
      <w:r>
        <w:rPr>
          <w:rFonts w:hint="eastAsia" w:ascii="宋体" w:hAnsi="宋体" w:eastAsia="宋体" w:cs="宋体"/>
          <w:color w:val="auto"/>
          <w:spacing w:val="4"/>
          <w:sz w:val="24"/>
          <w:szCs w:val="24"/>
          <w:highlight w:val="none"/>
        </w:rPr>
        <w:t>筑企业）</w:t>
      </w:r>
    </w:p>
    <w:p w14:paraId="653B6D5B">
      <w:pPr>
        <w:pageBreakBefore w:val="0"/>
        <w:kinsoku/>
        <w:wordWrap w:val="0"/>
        <w:overflowPunct/>
        <w:topLinePunct w:val="0"/>
        <w:bidi w:val="0"/>
        <w:spacing w:line="300" w:lineRule="auto"/>
        <w:rPr>
          <w:rFonts w:hint="eastAsia" w:ascii="宋体" w:hAnsi="宋体" w:eastAsia="宋体" w:cs="宋体"/>
          <w:color w:val="auto"/>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3CB8FACF">
      <w:pPr>
        <w:pageBreakBefore w:val="0"/>
        <w:kinsoku/>
        <w:wordWrap w:val="0"/>
        <w:overflowPunct/>
        <w:topLinePunct w:val="0"/>
        <w:bidi w:val="0"/>
        <w:spacing w:before="78" w:line="220" w:lineRule="auto"/>
        <w:outlineLvl w:val="2"/>
        <w:rPr>
          <w:rFonts w:hint="eastAsia" w:ascii="宋体" w:hAnsi="宋体" w:eastAsia="宋体" w:cs="宋体"/>
          <w:b/>
          <w:bCs/>
          <w:color w:val="auto"/>
          <w:spacing w:val="-4"/>
          <w:sz w:val="24"/>
          <w:szCs w:val="24"/>
          <w:highlight w:val="none"/>
        </w:rPr>
      </w:pPr>
      <w:bookmarkStart w:id="258" w:name="_Toc13128"/>
      <w:r>
        <w:rPr>
          <w:rFonts w:hint="eastAsia" w:ascii="宋体" w:hAnsi="宋体" w:eastAsia="宋体" w:cs="宋体"/>
          <w:b/>
          <w:bCs/>
          <w:color w:val="auto"/>
          <w:spacing w:val="-4"/>
          <w:sz w:val="24"/>
          <w:szCs w:val="24"/>
          <w:highlight w:val="none"/>
        </w:rPr>
        <w:t>格式九 项目经理任职声明</w:t>
      </w:r>
      <w:bookmarkEnd w:id="258"/>
    </w:p>
    <w:p w14:paraId="50763957">
      <w:pPr>
        <w:pStyle w:val="3"/>
        <w:pageBreakBefore w:val="0"/>
        <w:kinsoku/>
        <w:wordWrap w:val="0"/>
        <w:overflowPunct/>
        <w:topLinePunct w:val="0"/>
        <w:bidi w:val="0"/>
        <w:spacing w:line="350" w:lineRule="auto"/>
        <w:rPr>
          <w:rFonts w:hint="eastAsia" w:ascii="宋体" w:hAnsi="宋体" w:eastAsia="宋体" w:cs="宋体"/>
          <w:color w:val="auto"/>
          <w:highlight w:val="none"/>
        </w:rPr>
      </w:pPr>
    </w:p>
    <w:p w14:paraId="72B47896">
      <w:pPr>
        <w:pStyle w:val="3"/>
        <w:pageBreakBefore w:val="0"/>
        <w:kinsoku/>
        <w:wordWrap w:val="0"/>
        <w:overflowPunct/>
        <w:topLinePunct w:val="0"/>
        <w:bidi w:val="0"/>
        <w:spacing w:line="350" w:lineRule="auto"/>
        <w:rPr>
          <w:rFonts w:hint="eastAsia" w:ascii="宋体" w:hAnsi="宋体" w:eastAsia="宋体" w:cs="宋体"/>
          <w:color w:val="auto"/>
          <w:highlight w:val="none"/>
        </w:rPr>
      </w:pPr>
    </w:p>
    <w:p w14:paraId="532FA83A">
      <w:pPr>
        <w:pageBreakBefore w:val="0"/>
        <w:kinsoku/>
        <w:wordWrap w:val="0"/>
        <w:overflowPunct/>
        <w:topLinePunct w:val="0"/>
        <w:bidi w:val="0"/>
        <w:spacing w:before="98" w:line="220" w:lineRule="auto"/>
        <w:ind w:left="3338"/>
        <w:rPr>
          <w:rFonts w:hint="eastAsia" w:ascii="宋体" w:hAnsi="宋体" w:eastAsia="宋体" w:cs="宋体"/>
          <w:color w:val="auto"/>
          <w:sz w:val="30"/>
          <w:szCs w:val="30"/>
          <w:highlight w:val="none"/>
        </w:rPr>
      </w:pPr>
      <w:bookmarkStart w:id="259" w:name="bookmark157"/>
      <w:bookmarkEnd w:id="259"/>
      <w:r>
        <w:rPr>
          <w:rFonts w:hint="eastAsia" w:ascii="宋体" w:hAnsi="宋体" w:eastAsia="宋体" w:cs="宋体"/>
          <w:b/>
          <w:bCs/>
          <w:color w:val="auto"/>
          <w:spacing w:val="-5"/>
          <w:sz w:val="30"/>
          <w:szCs w:val="30"/>
          <w:highlight w:val="none"/>
        </w:rPr>
        <w:t>项目经理任职声明</w:t>
      </w:r>
    </w:p>
    <w:p w14:paraId="3B33C0D5">
      <w:pPr>
        <w:pStyle w:val="3"/>
        <w:pageBreakBefore w:val="0"/>
        <w:kinsoku/>
        <w:wordWrap w:val="0"/>
        <w:overflowPunct/>
        <w:topLinePunct w:val="0"/>
        <w:bidi w:val="0"/>
        <w:spacing w:line="250" w:lineRule="auto"/>
        <w:rPr>
          <w:rFonts w:hint="eastAsia" w:ascii="宋体" w:hAnsi="宋体" w:eastAsia="宋体" w:cs="宋体"/>
          <w:color w:val="auto"/>
          <w:highlight w:val="none"/>
        </w:rPr>
      </w:pPr>
    </w:p>
    <w:p w14:paraId="09BEE3C9">
      <w:pPr>
        <w:pStyle w:val="3"/>
        <w:pageBreakBefore w:val="0"/>
        <w:kinsoku/>
        <w:wordWrap w:val="0"/>
        <w:overflowPunct/>
        <w:topLinePunct w:val="0"/>
        <w:bidi w:val="0"/>
        <w:spacing w:line="250" w:lineRule="auto"/>
        <w:rPr>
          <w:rFonts w:hint="eastAsia" w:ascii="宋体" w:hAnsi="宋体" w:eastAsia="宋体" w:cs="宋体"/>
          <w:color w:val="auto"/>
          <w:highlight w:val="none"/>
        </w:rPr>
      </w:pPr>
    </w:p>
    <w:p w14:paraId="0AA4EB6D">
      <w:pPr>
        <w:pStyle w:val="3"/>
        <w:pageBreakBefore w:val="0"/>
        <w:kinsoku/>
        <w:wordWrap w:val="0"/>
        <w:overflowPunct/>
        <w:topLinePunct w:val="0"/>
        <w:bidi w:val="0"/>
        <w:spacing w:line="251" w:lineRule="auto"/>
        <w:rPr>
          <w:rFonts w:hint="eastAsia" w:ascii="宋体" w:hAnsi="宋体" w:eastAsia="宋体" w:cs="宋体"/>
          <w:color w:val="auto"/>
          <w:highlight w:val="none"/>
        </w:rPr>
      </w:pPr>
    </w:p>
    <w:p w14:paraId="3FE5935C">
      <w:pPr>
        <w:pageBreakBefore w:val="0"/>
        <w:kinsoku/>
        <w:wordWrap w:val="0"/>
        <w:overflowPunct/>
        <w:topLinePunct w:val="0"/>
        <w:bidi w:val="0"/>
        <w:spacing w:before="78" w:line="221"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致</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lang w:val="en-US" w:eastAsia="zh-CN"/>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9"/>
          <w:sz w:val="24"/>
          <w:szCs w:val="24"/>
          <w:highlight w:val="none"/>
        </w:rPr>
        <w:t>招标人名称</w:t>
      </w:r>
      <w:r>
        <w:rPr>
          <w:rFonts w:hint="eastAsia" w:ascii="宋体" w:hAnsi="宋体" w:eastAsia="宋体" w:cs="宋体"/>
          <w:color w:val="auto"/>
          <w:spacing w:val="-17"/>
          <w:sz w:val="24"/>
          <w:szCs w:val="24"/>
          <w:highlight w:val="none"/>
        </w:rPr>
        <w:t>）</w:t>
      </w:r>
    </w:p>
    <w:p w14:paraId="1238383B">
      <w:pPr>
        <w:pageBreakBefore w:val="0"/>
        <w:kinsoku/>
        <w:wordWrap w:val="0"/>
        <w:overflowPunct/>
        <w:topLinePunct w:val="0"/>
        <w:bidi w:val="0"/>
        <w:spacing w:before="155"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我方在此声明，我方拟派往</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（项目名称）的项目经理</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（项目经理姓名）现阶段没有</w:t>
      </w:r>
      <w:r>
        <w:rPr>
          <w:rFonts w:hint="eastAsia" w:ascii="宋体" w:hAnsi="宋体" w:eastAsia="宋体" w:cs="宋体"/>
          <w:color w:val="auto"/>
          <w:sz w:val="24"/>
          <w:szCs w:val="24"/>
          <w:highlight w:val="none"/>
        </w:rPr>
        <w:t>担任任何在施（包括已中标未开工、已开工未竣工）</w:t>
      </w:r>
      <w:r>
        <w:rPr>
          <w:rFonts w:hint="eastAsia" w:ascii="宋体" w:hAnsi="宋体" w:eastAsia="宋体" w:cs="宋体"/>
          <w:color w:val="auto"/>
          <w:spacing w:val="-1"/>
          <w:sz w:val="24"/>
          <w:szCs w:val="24"/>
          <w:highlight w:val="none"/>
        </w:rPr>
        <w:t>建设工程项目的项目经理。</w:t>
      </w:r>
    </w:p>
    <w:p w14:paraId="03E5EC4A">
      <w:pPr>
        <w:pageBreakBefore w:val="0"/>
        <w:kinsoku/>
        <w:wordWrap w:val="0"/>
        <w:overflowPunct/>
        <w:topLinePunct w:val="0"/>
        <w:bidi w:val="0"/>
        <w:spacing w:before="35" w:line="326" w:lineRule="auto"/>
        <w:ind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我方保证上述信息的真实和准确，并愿意承担因我方就此弄虚作假所引起的一切法</w:t>
      </w:r>
      <w:r>
        <w:rPr>
          <w:rFonts w:hint="eastAsia" w:ascii="宋体" w:hAnsi="宋体" w:eastAsia="宋体" w:cs="宋体"/>
          <w:color w:val="auto"/>
          <w:spacing w:val="-3"/>
          <w:sz w:val="24"/>
          <w:szCs w:val="24"/>
          <w:highlight w:val="none"/>
        </w:rPr>
        <w:t>律后果。</w:t>
      </w:r>
    </w:p>
    <w:p w14:paraId="5CB9C3E7">
      <w:pPr>
        <w:pStyle w:val="3"/>
        <w:pageBreakBefore w:val="0"/>
        <w:kinsoku/>
        <w:wordWrap w:val="0"/>
        <w:overflowPunct/>
        <w:topLinePunct w:val="0"/>
        <w:bidi w:val="0"/>
        <w:spacing w:line="391" w:lineRule="auto"/>
        <w:rPr>
          <w:rFonts w:hint="eastAsia" w:ascii="宋体" w:hAnsi="宋体" w:eastAsia="宋体" w:cs="宋体"/>
          <w:color w:val="auto"/>
          <w:highlight w:val="none"/>
        </w:rPr>
      </w:pPr>
    </w:p>
    <w:p w14:paraId="024308CE">
      <w:pPr>
        <w:pageBreakBefore w:val="0"/>
        <w:kinsoku/>
        <w:wordWrap w:val="0"/>
        <w:overflowPunct/>
        <w:topLinePunct w:val="0"/>
        <w:bidi w:val="0"/>
        <w:spacing w:before="78" w:line="220" w:lineRule="auto"/>
        <w:ind w:left="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特此承诺</w:t>
      </w:r>
    </w:p>
    <w:p w14:paraId="42159746">
      <w:pPr>
        <w:pStyle w:val="3"/>
        <w:pageBreakBefore w:val="0"/>
        <w:kinsoku/>
        <w:wordWrap w:val="0"/>
        <w:overflowPunct/>
        <w:topLinePunct w:val="0"/>
        <w:bidi w:val="0"/>
        <w:spacing w:line="316" w:lineRule="auto"/>
        <w:rPr>
          <w:rFonts w:hint="eastAsia" w:ascii="宋体" w:hAnsi="宋体" w:eastAsia="宋体" w:cs="宋体"/>
          <w:color w:val="auto"/>
          <w:highlight w:val="none"/>
        </w:rPr>
      </w:pPr>
    </w:p>
    <w:p w14:paraId="4D0D96FE">
      <w:pPr>
        <w:pStyle w:val="3"/>
        <w:pageBreakBefore w:val="0"/>
        <w:kinsoku/>
        <w:wordWrap w:val="0"/>
        <w:overflowPunct/>
        <w:topLinePunct w:val="0"/>
        <w:bidi w:val="0"/>
        <w:spacing w:line="317" w:lineRule="auto"/>
        <w:rPr>
          <w:rFonts w:hint="eastAsia" w:ascii="宋体" w:hAnsi="宋体" w:eastAsia="宋体" w:cs="宋体"/>
          <w:color w:val="auto"/>
          <w:highlight w:val="none"/>
        </w:rPr>
      </w:pPr>
    </w:p>
    <w:p w14:paraId="3A9D0045">
      <w:pPr>
        <w:pStyle w:val="3"/>
        <w:pageBreakBefore w:val="0"/>
        <w:kinsoku/>
        <w:wordWrap w:val="0"/>
        <w:overflowPunct/>
        <w:topLinePunct w:val="0"/>
        <w:bidi w:val="0"/>
        <w:spacing w:line="317" w:lineRule="auto"/>
        <w:rPr>
          <w:rFonts w:hint="eastAsia" w:ascii="宋体" w:hAnsi="宋体" w:eastAsia="宋体" w:cs="宋体"/>
          <w:color w:val="auto"/>
          <w:highlight w:val="none"/>
        </w:rPr>
      </w:pPr>
    </w:p>
    <w:p w14:paraId="4EFCA4D3">
      <w:pPr>
        <w:pageBreakBefore w:val="0"/>
        <w:kinsoku/>
        <w:wordWrap w:val="0"/>
        <w:overflowPunct/>
        <w:topLinePunct w:val="0"/>
        <w:bidi w:val="0"/>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11473C24">
      <w:pPr>
        <w:pStyle w:val="3"/>
        <w:pageBreakBefore w:val="0"/>
        <w:kinsoku/>
        <w:wordWrap w:val="0"/>
        <w:overflowPunct/>
        <w:topLinePunct w:val="0"/>
        <w:bidi w:val="0"/>
        <w:spacing w:line="317" w:lineRule="auto"/>
        <w:rPr>
          <w:rFonts w:hint="eastAsia" w:ascii="宋体" w:hAnsi="宋体" w:eastAsia="宋体" w:cs="宋体"/>
          <w:color w:val="auto"/>
          <w:highlight w:val="none"/>
        </w:rPr>
      </w:pPr>
    </w:p>
    <w:p w14:paraId="542278CE">
      <w:pPr>
        <w:pStyle w:val="3"/>
        <w:pageBreakBefore w:val="0"/>
        <w:kinsoku/>
        <w:wordWrap w:val="0"/>
        <w:overflowPunct/>
        <w:topLinePunct w:val="0"/>
        <w:bidi w:val="0"/>
        <w:spacing w:line="317" w:lineRule="auto"/>
        <w:rPr>
          <w:rFonts w:hint="eastAsia" w:ascii="宋体" w:hAnsi="宋体" w:eastAsia="宋体" w:cs="宋体"/>
          <w:color w:val="auto"/>
          <w:highlight w:val="none"/>
        </w:rPr>
      </w:pPr>
    </w:p>
    <w:p w14:paraId="72A1A21F">
      <w:pPr>
        <w:pStyle w:val="3"/>
        <w:pageBreakBefore w:val="0"/>
        <w:kinsoku/>
        <w:wordWrap w:val="0"/>
        <w:overflowPunct/>
        <w:topLinePunct w:val="0"/>
        <w:bidi w:val="0"/>
        <w:spacing w:line="317" w:lineRule="auto"/>
        <w:rPr>
          <w:rFonts w:hint="eastAsia" w:ascii="宋体" w:hAnsi="宋体" w:eastAsia="宋体" w:cs="宋体"/>
          <w:color w:val="auto"/>
          <w:highlight w:val="none"/>
        </w:rPr>
      </w:pPr>
    </w:p>
    <w:p w14:paraId="78744719">
      <w:pPr>
        <w:pageBreakBefore w:val="0"/>
        <w:kinsoku/>
        <w:wordWrap w:val="0"/>
        <w:overflowPunct/>
        <w:topLinePunct w:val="0"/>
        <w:bidi w:val="0"/>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5D5950AE">
      <w:pPr>
        <w:pStyle w:val="3"/>
        <w:pageBreakBefore w:val="0"/>
        <w:kinsoku/>
        <w:wordWrap w:val="0"/>
        <w:overflowPunct/>
        <w:topLinePunct w:val="0"/>
        <w:bidi w:val="0"/>
        <w:spacing w:line="257" w:lineRule="auto"/>
        <w:rPr>
          <w:rFonts w:hint="eastAsia" w:ascii="宋体" w:hAnsi="宋体" w:eastAsia="宋体" w:cs="宋体"/>
          <w:color w:val="auto"/>
          <w:highlight w:val="none"/>
        </w:rPr>
      </w:pPr>
    </w:p>
    <w:p w14:paraId="6A0A2006">
      <w:pPr>
        <w:pStyle w:val="3"/>
        <w:pageBreakBefore w:val="0"/>
        <w:kinsoku/>
        <w:wordWrap w:val="0"/>
        <w:overflowPunct/>
        <w:topLinePunct w:val="0"/>
        <w:bidi w:val="0"/>
        <w:spacing w:line="257" w:lineRule="auto"/>
        <w:rPr>
          <w:rFonts w:hint="eastAsia" w:ascii="宋体" w:hAnsi="宋体" w:eastAsia="宋体" w:cs="宋体"/>
          <w:color w:val="auto"/>
          <w:highlight w:val="none"/>
        </w:rPr>
      </w:pPr>
    </w:p>
    <w:p w14:paraId="129D384D">
      <w:pPr>
        <w:pStyle w:val="3"/>
        <w:pageBreakBefore w:val="0"/>
        <w:kinsoku/>
        <w:wordWrap w:val="0"/>
        <w:overflowPunct/>
        <w:topLinePunct w:val="0"/>
        <w:bidi w:val="0"/>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6DFD9D42">
      <w:pPr>
        <w:pageBreakBefore w:val="0"/>
        <w:kinsoku/>
        <w:wordWrap w:val="0"/>
        <w:overflowPunct/>
        <w:topLinePunct w:val="0"/>
        <w:bidi w:val="0"/>
        <w:spacing w:line="220" w:lineRule="auto"/>
        <w:rPr>
          <w:rFonts w:hint="eastAsia" w:ascii="宋体" w:hAnsi="宋体" w:eastAsia="宋体" w:cs="宋体"/>
          <w:color w:val="auto"/>
          <w:sz w:val="24"/>
          <w:szCs w:val="24"/>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65BFDBC">
      <w:pPr>
        <w:pageBreakBefore w:val="0"/>
        <w:kinsoku/>
        <w:wordWrap w:val="0"/>
        <w:overflowPunct/>
        <w:topLinePunct w:val="0"/>
        <w:bidi w:val="0"/>
        <w:spacing w:before="78" w:line="220" w:lineRule="auto"/>
        <w:outlineLvl w:val="2"/>
        <w:rPr>
          <w:rFonts w:hint="eastAsia" w:ascii="宋体" w:hAnsi="宋体" w:eastAsia="宋体" w:cs="宋体"/>
          <w:b/>
          <w:bCs/>
          <w:color w:val="auto"/>
          <w:spacing w:val="-4"/>
          <w:sz w:val="24"/>
          <w:szCs w:val="24"/>
          <w:highlight w:val="none"/>
        </w:rPr>
      </w:pPr>
      <w:bookmarkStart w:id="260" w:name="_Toc3888"/>
      <w:r>
        <w:rPr>
          <w:rFonts w:hint="eastAsia" w:ascii="宋体" w:hAnsi="宋体" w:eastAsia="宋体" w:cs="宋体"/>
          <w:b/>
          <w:bCs/>
          <w:color w:val="auto"/>
          <w:spacing w:val="-4"/>
          <w:sz w:val="24"/>
          <w:szCs w:val="24"/>
          <w:highlight w:val="none"/>
        </w:rPr>
        <w:t>格式十 项目技术负责人简历表</w:t>
      </w:r>
      <w:bookmarkEnd w:id="260"/>
    </w:p>
    <w:p w14:paraId="2B5EE9D3">
      <w:pPr>
        <w:pStyle w:val="3"/>
        <w:pageBreakBefore w:val="0"/>
        <w:kinsoku/>
        <w:wordWrap w:val="0"/>
        <w:overflowPunct/>
        <w:topLinePunct w:val="0"/>
        <w:bidi w:val="0"/>
        <w:spacing w:line="444" w:lineRule="auto"/>
        <w:rPr>
          <w:rFonts w:hint="eastAsia" w:ascii="宋体" w:hAnsi="宋体" w:eastAsia="宋体" w:cs="宋体"/>
          <w:color w:val="auto"/>
          <w:highlight w:val="none"/>
        </w:rPr>
      </w:pPr>
    </w:p>
    <w:p w14:paraId="660126C7">
      <w:pPr>
        <w:pageBreakBefore w:val="0"/>
        <w:kinsoku/>
        <w:wordWrap w:val="0"/>
        <w:overflowPunct/>
        <w:topLinePunct w:val="0"/>
        <w:bidi w:val="0"/>
        <w:spacing w:before="97" w:line="219" w:lineRule="auto"/>
        <w:ind w:left="3087"/>
        <w:outlineLvl w:val="9"/>
        <w:rPr>
          <w:rFonts w:hint="eastAsia" w:ascii="宋体" w:hAnsi="宋体" w:eastAsia="宋体" w:cs="宋体"/>
          <w:color w:val="auto"/>
          <w:sz w:val="30"/>
          <w:szCs w:val="30"/>
          <w:highlight w:val="none"/>
        </w:rPr>
      </w:pPr>
      <w:bookmarkStart w:id="261" w:name="_Toc1553"/>
      <w:bookmarkStart w:id="262" w:name="_Toc25712"/>
      <w:r>
        <w:rPr>
          <w:rFonts w:hint="eastAsia" w:ascii="宋体" w:hAnsi="宋体" w:eastAsia="宋体" w:cs="宋体"/>
          <w:b/>
          <w:bCs/>
          <w:color w:val="auto"/>
          <w:spacing w:val="-4"/>
          <w:sz w:val="30"/>
          <w:szCs w:val="30"/>
          <w:highlight w:val="none"/>
        </w:rPr>
        <w:t>项目技术负责人简历表</w:t>
      </w:r>
      <w:bookmarkEnd w:id="261"/>
      <w:bookmarkEnd w:id="262"/>
    </w:p>
    <w:p w14:paraId="793853DC">
      <w:pPr>
        <w:pageBreakBefore w:val="0"/>
        <w:kinsoku/>
        <w:wordWrap w:val="0"/>
        <w:overflowPunct/>
        <w:topLinePunct w:val="0"/>
        <w:bidi w:val="0"/>
        <w:spacing w:line="240" w:lineRule="exact"/>
        <w:rPr>
          <w:rFonts w:hint="eastAsia" w:ascii="宋体" w:hAnsi="宋体" w:eastAsia="宋体" w:cs="宋体"/>
          <w:color w:val="auto"/>
          <w:highlight w:val="none"/>
        </w:rPr>
      </w:pPr>
    </w:p>
    <w:tbl>
      <w:tblPr>
        <w:tblStyle w:val="14"/>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16095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top"/>
          </w:tcPr>
          <w:p w14:paraId="1A29E8E9">
            <w:pPr>
              <w:pageBreakBefore w:val="0"/>
              <w:kinsoku/>
              <w:wordWrap w:val="0"/>
              <w:overflowPunct/>
              <w:topLinePunct w:val="0"/>
              <w:bidi w:val="0"/>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82" w:type="dxa"/>
            <w:gridSpan w:val="2"/>
            <w:vAlign w:val="top"/>
          </w:tcPr>
          <w:p w14:paraId="61E80740">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346" w:type="dxa"/>
            <w:vAlign w:val="top"/>
          </w:tcPr>
          <w:p w14:paraId="31353E9D">
            <w:pPr>
              <w:pageBreakBefore w:val="0"/>
              <w:kinsoku/>
              <w:wordWrap w:val="0"/>
              <w:overflowPunct/>
              <w:topLinePunct w:val="0"/>
              <w:bidi w:val="0"/>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47" w:type="dxa"/>
            <w:vAlign w:val="top"/>
          </w:tcPr>
          <w:p w14:paraId="7598C3B0">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783" w:type="dxa"/>
            <w:vAlign w:val="top"/>
          </w:tcPr>
          <w:p w14:paraId="079602E5">
            <w:pPr>
              <w:pageBreakBefore w:val="0"/>
              <w:kinsoku/>
              <w:wordWrap w:val="0"/>
              <w:overflowPunct/>
              <w:topLinePunct w:val="0"/>
              <w:bidi w:val="0"/>
              <w:spacing w:before="177" w:line="228" w:lineRule="auto"/>
              <w:ind w:left="48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86" w:type="dxa"/>
            <w:vAlign w:val="top"/>
          </w:tcPr>
          <w:p w14:paraId="5C37597F">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09A412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top"/>
          </w:tcPr>
          <w:p w14:paraId="236887D3">
            <w:pPr>
              <w:pageBreakBefore w:val="0"/>
              <w:kinsoku/>
              <w:wordWrap w:val="0"/>
              <w:overflowPunct/>
              <w:topLinePunct w:val="0"/>
              <w:bidi w:val="0"/>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82" w:type="dxa"/>
            <w:gridSpan w:val="2"/>
            <w:vAlign w:val="top"/>
          </w:tcPr>
          <w:p w14:paraId="5FED17BA">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346" w:type="dxa"/>
            <w:vAlign w:val="top"/>
          </w:tcPr>
          <w:p w14:paraId="15CBDD7D">
            <w:pPr>
              <w:pageBreakBefore w:val="0"/>
              <w:kinsoku/>
              <w:wordWrap w:val="0"/>
              <w:overflowPunct/>
              <w:topLinePunct w:val="0"/>
              <w:bidi w:val="0"/>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47" w:type="dxa"/>
            <w:vAlign w:val="top"/>
          </w:tcPr>
          <w:p w14:paraId="5CCBF957">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783" w:type="dxa"/>
            <w:vAlign w:val="top"/>
          </w:tcPr>
          <w:p w14:paraId="01085AC3">
            <w:pPr>
              <w:pageBreakBefore w:val="0"/>
              <w:kinsoku/>
              <w:wordWrap w:val="0"/>
              <w:overflowPunct/>
              <w:topLinePunct w:val="0"/>
              <w:bidi w:val="0"/>
              <w:spacing w:before="175" w:line="230" w:lineRule="auto"/>
              <w:ind w:left="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86" w:type="dxa"/>
            <w:vAlign w:val="top"/>
          </w:tcPr>
          <w:p w14:paraId="5F864FCF">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7CDBF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top"/>
          </w:tcPr>
          <w:p w14:paraId="14018382">
            <w:pPr>
              <w:pageBreakBefore w:val="0"/>
              <w:kinsoku/>
              <w:wordWrap w:val="0"/>
              <w:overflowPunct/>
              <w:topLinePunct w:val="0"/>
              <w:bidi w:val="0"/>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28" w:type="dxa"/>
            <w:gridSpan w:val="3"/>
            <w:vAlign w:val="top"/>
          </w:tcPr>
          <w:p w14:paraId="2F2884CD">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3830" w:type="dxa"/>
            <w:gridSpan w:val="2"/>
            <w:vAlign w:val="top"/>
          </w:tcPr>
          <w:p w14:paraId="1475BD90">
            <w:pPr>
              <w:pageBreakBefore w:val="0"/>
              <w:kinsoku/>
              <w:wordWrap w:val="0"/>
              <w:overflowPunct/>
              <w:topLinePunct w:val="0"/>
              <w:bidi w:val="0"/>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86" w:type="dxa"/>
            <w:vAlign w:val="top"/>
          </w:tcPr>
          <w:p w14:paraId="6C32E237">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488B9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14:paraId="5F95069B">
            <w:pPr>
              <w:pageBreakBefore w:val="0"/>
              <w:kinsoku/>
              <w:wordWrap w:val="0"/>
              <w:overflowPunct/>
              <w:topLinePunct w:val="0"/>
              <w:bidi w:val="0"/>
              <w:spacing w:before="176" w:line="228" w:lineRule="auto"/>
              <w:ind w:left="204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以项目技术负责人身份参与过的主要业绩（已完工项目）</w:t>
            </w:r>
          </w:p>
        </w:tc>
      </w:tr>
      <w:tr w14:paraId="1766DC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top"/>
          </w:tcPr>
          <w:p w14:paraId="1091015C">
            <w:pPr>
              <w:pageBreakBefore w:val="0"/>
              <w:kinsoku/>
              <w:wordWrap w:val="0"/>
              <w:overflowPunct/>
              <w:topLinePunct w:val="0"/>
              <w:bidi w:val="0"/>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10" w:type="dxa"/>
            <w:gridSpan w:val="2"/>
            <w:vAlign w:val="top"/>
          </w:tcPr>
          <w:p w14:paraId="5142899E">
            <w:pPr>
              <w:pageBreakBefore w:val="0"/>
              <w:kinsoku/>
              <w:wordWrap w:val="0"/>
              <w:overflowPunct/>
              <w:topLinePunct w:val="0"/>
              <w:bidi w:val="0"/>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21" w:type="dxa"/>
            <w:gridSpan w:val="2"/>
            <w:vAlign w:val="top"/>
          </w:tcPr>
          <w:p w14:paraId="4A3183BC">
            <w:pPr>
              <w:pageBreakBefore w:val="0"/>
              <w:kinsoku/>
              <w:wordWrap w:val="0"/>
              <w:overflowPunct/>
              <w:topLinePunct w:val="0"/>
              <w:bidi w:val="0"/>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47" w:type="dxa"/>
            <w:vAlign w:val="top"/>
          </w:tcPr>
          <w:p w14:paraId="67784B04">
            <w:pPr>
              <w:pageBreakBefore w:val="0"/>
              <w:kinsoku/>
              <w:wordWrap w:val="0"/>
              <w:overflowPunct/>
              <w:topLinePunct w:val="0"/>
              <w:bidi w:val="0"/>
              <w:spacing w:before="176"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83" w:type="dxa"/>
            <w:vAlign w:val="top"/>
          </w:tcPr>
          <w:p w14:paraId="25EE5667">
            <w:pPr>
              <w:pageBreakBefore w:val="0"/>
              <w:kinsoku/>
              <w:wordWrap w:val="0"/>
              <w:overflowPunct/>
              <w:topLinePunct w:val="0"/>
              <w:bidi w:val="0"/>
              <w:spacing w:before="176" w:line="228" w:lineRule="auto"/>
              <w:ind w:left="23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86" w:type="dxa"/>
            <w:vAlign w:val="top"/>
          </w:tcPr>
          <w:p w14:paraId="447C6AB8">
            <w:pPr>
              <w:pageBreakBefore w:val="0"/>
              <w:kinsoku/>
              <w:wordWrap w:val="0"/>
              <w:overflowPunct/>
              <w:topLinePunct w:val="0"/>
              <w:bidi w:val="0"/>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53E320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472189AA">
            <w:pPr>
              <w:pageBreakBefore w:val="0"/>
              <w:kinsoku/>
              <w:wordWrap w:val="0"/>
              <w:overflowPunct/>
              <w:topLinePunct w:val="0"/>
              <w:bidi w:val="0"/>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10" w:type="dxa"/>
            <w:gridSpan w:val="2"/>
            <w:vAlign w:val="top"/>
          </w:tcPr>
          <w:p w14:paraId="62B22E63">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2021" w:type="dxa"/>
            <w:gridSpan w:val="2"/>
            <w:vAlign w:val="top"/>
          </w:tcPr>
          <w:p w14:paraId="3F5ED66B">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2047" w:type="dxa"/>
            <w:vAlign w:val="top"/>
          </w:tcPr>
          <w:p w14:paraId="75504A0F">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783" w:type="dxa"/>
            <w:vAlign w:val="top"/>
          </w:tcPr>
          <w:p w14:paraId="647437AC">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386" w:type="dxa"/>
            <w:vAlign w:val="top"/>
          </w:tcPr>
          <w:p w14:paraId="5B367338">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1156FD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14:paraId="2909C01B">
            <w:pPr>
              <w:pageBreakBefore w:val="0"/>
              <w:kinsoku/>
              <w:wordWrap w:val="0"/>
              <w:overflowPunct/>
              <w:topLinePunct w:val="0"/>
              <w:bidi w:val="0"/>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10" w:type="dxa"/>
            <w:gridSpan w:val="2"/>
            <w:vAlign w:val="top"/>
          </w:tcPr>
          <w:p w14:paraId="51422255">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2021" w:type="dxa"/>
            <w:gridSpan w:val="2"/>
            <w:vAlign w:val="top"/>
          </w:tcPr>
          <w:p w14:paraId="4273DA5B">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2047" w:type="dxa"/>
            <w:vAlign w:val="top"/>
          </w:tcPr>
          <w:p w14:paraId="1AAF2D51">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783" w:type="dxa"/>
            <w:vAlign w:val="top"/>
          </w:tcPr>
          <w:p w14:paraId="051D15DF">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386" w:type="dxa"/>
            <w:vAlign w:val="top"/>
          </w:tcPr>
          <w:p w14:paraId="4200AD4E">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75E63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6AE3C341">
            <w:pPr>
              <w:pageBreakBefore w:val="0"/>
              <w:kinsoku/>
              <w:wordWrap w:val="0"/>
              <w:overflowPunct/>
              <w:topLinePunct w:val="0"/>
              <w:bidi w:val="0"/>
              <w:spacing w:before="178" w:line="324"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10" w:type="dxa"/>
            <w:gridSpan w:val="2"/>
            <w:vAlign w:val="top"/>
          </w:tcPr>
          <w:p w14:paraId="5754BBC6">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2021" w:type="dxa"/>
            <w:gridSpan w:val="2"/>
            <w:vAlign w:val="top"/>
          </w:tcPr>
          <w:p w14:paraId="72F4C53F">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2047" w:type="dxa"/>
            <w:vAlign w:val="top"/>
          </w:tcPr>
          <w:p w14:paraId="0E072B1F">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783" w:type="dxa"/>
            <w:vAlign w:val="top"/>
          </w:tcPr>
          <w:p w14:paraId="2FEEBEC8">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386" w:type="dxa"/>
            <w:vAlign w:val="top"/>
          </w:tcPr>
          <w:p w14:paraId="45AD2BC7">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0E691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100AE66B">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610" w:type="dxa"/>
            <w:gridSpan w:val="2"/>
            <w:vAlign w:val="top"/>
          </w:tcPr>
          <w:p w14:paraId="3D172603">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2021" w:type="dxa"/>
            <w:gridSpan w:val="2"/>
            <w:vAlign w:val="top"/>
          </w:tcPr>
          <w:p w14:paraId="6088B8A2">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2047" w:type="dxa"/>
            <w:vAlign w:val="top"/>
          </w:tcPr>
          <w:p w14:paraId="71FA95CE">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783" w:type="dxa"/>
            <w:vAlign w:val="top"/>
          </w:tcPr>
          <w:p w14:paraId="63618EC9">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386" w:type="dxa"/>
            <w:vAlign w:val="top"/>
          </w:tcPr>
          <w:p w14:paraId="5F9677E7">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492D5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14:paraId="7A0A0F26">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610" w:type="dxa"/>
            <w:gridSpan w:val="2"/>
            <w:vAlign w:val="top"/>
          </w:tcPr>
          <w:p w14:paraId="2EA095B3">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2021" w:type="dxa"/>
            <w:gridSpan w:val="2"/>
            <w:vAlign w:val="top"/>
          </w:tcPr>
          <w:p w14:paraId="783DB79D">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2047" w:type="dxa"/>
            <w:vAlign w:val="top"/>
          </w:tcPr>
          <w:p w14:paraId="707CEA4B">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783" w:type="dxa"/>
            <w:vAlign w:val="top"/>
          </w:tcPr>
          <w:p w14:paraId="6634F4F2">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386" w:type="dxa"/>
            <w:vAlign w:val="top"/>
          </w:tcPr>
          <w:p w14:paraId="79AF8F10">
            <w:pPr>
              <w:pStyle w:val="21"/>
              <w:pageBreakBefore w:val="0"/>
              <w:kinsoku/>
              <w:wordWrap w:val="0"/>
              <w:overflowPunct/>
              <w:topLinePunct w:val="0"/>
              <w:bidi w:val="0"/>
              <w:rPr>
                <w:rFonts w:hint="eastAsia" w:ascii="宋体" w:hAnsi="宋体" w:eastAsia="宋体" w:cs="宋体"/>
                <w:color w:val="auto"/>
                <w:sz w:val="24"/>
                <w:szCs w:val="24"/>
                <w:highlight w:val="none"/>
              </w:rPr>
            </w:pPr>
          </w:p>
        </w:tc>
      </w:tr>
    </w:tbl>
    <w:p w14:paraId="79842BF8">
      <w:pPr>
        <w:pStyle w:val="3"/>
        <w:pageBreakBefore w:val="0"/>
        <w:kinsoku/>
        <w:wordWrap w:val="0"/>
        <w:overflowPunct/>
        <w:topLinePunct w:val="0"/>
        <w:bidi w:val="0"/>
        <w:spacing w:line="314" w:lineRule="auto"/>
        <w:rPr>
          <w:rFonts w:hint="eastAsia" w:ascii="宋体" w:hAnsi="宋体" w:eastAsia="宋体" w:cs="宋体"/>
          <w:color w:val="auto"/>
          <w:sz w:val="24"/>
          <w:szCs w:val="24"/>
          <w:highlight w:val="none"/>
        </w:rPr>
      </w:pPr>
    </w:p>
    <w:p w14:paraId="7F27F6D4">
      <w:pPr>
        <w:pStyle w:val="3"/>
        <w:pageBreakBefore w:val="0"/>
        <w:kinsoku/>
        <w:wordWrap w:val="0"/>
        <w:overflowPunct/>
        <w:topLinePunct w:val="0"/>
        <w:bidi w:val="0"/>
        <w:spacing w:line="315" w:lineRule="auto"/>
        <w:rPr>
          <w:rFonts w:hint="eastAsia" w:ascii="宋体" w:hAnsi="宋体" w:eastAsia="宋体" w:cs="宋体"/>
          <w:color w:val="auto"/>
          <w:sz w:val="24"/>
          <w:szCs w:val="24"/>
          <w:highlight w:val="none"/>
        </w:rPr>
      </w:pPr>
    </w:p>
    <w:p w14:paraId="4C0BB797">
      <w:pPr>
        <w:pStyle w:val="3"/>
        <w:pageBreakBefore w:val="0"/>
        <w:kinsoku/>
        <w:wordWrap w:val="0"/>
        <w:overflowPunct/>
        <w:topLinePunct w:val="0"/>
        <w:bidi w:val="0"/>
        <w:spacing w:line="315" w:lineRule="auto"/>
        <w:rPr>
          <w:rFonts w:hint="eastAsia" w:ascii="宋体" w:hAnsi="宋体" w:eastAsia="宋体" w:cs="宋体"/>
          <w:color w:val="auto"/>
          <w:sz w:val="24"/>
          <w:szCs w:val="24"/>
          <w:highlight w:val="none"/>
        </w:rPr>
      </w:pPr>
    </w:p>
    <w:p w14:paraId="502CE3BE">
      <w:pPr>
        <w:pageBreakBefore w:val="0"/>
        <w:kinsoku/>
        <w:wordWrap w:val="0"/>
        <w:overflowPunct/>
        <w:topLinePunct w:val="0"/>
        <w:bidi w:val="0"/>
        <w:spacing w:before="78" w:line="220" w:lineRule="auto"/>
        <w:ind w:left="5165"/>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项目技术负责人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2"/>
          <w:sz w:val="24"/>
          <w:szCs w:val="24"/>
          <w:highlight w:val="none"/>
        </w:rPr>
        <w:t>签字）</w:t>
      </w:r>
    </w:p>
    <w:p w14:paraId="4A98DCFD">
      <w:pPr>
        <w:pStyle w:val="3"/>
        <w:pageBreakBefore w:val="0"/>
        <w:kinsoku/>
        <w:wordWrap w:val="0"/>
        <w:overflowPunct/>
        <w:topLinePunct w:val="0"/>
        <w:bidi w:val="0"/>
        <w:spacing w:line="256" w:lineRule="auto"/>
        <w:jc w:val="right"/>
        <w:rPr>
          <w:rFonts w:hint="eastAsia" w:ascii="宋体" w:hAnsi="宋体" w:eastAsia="宋体" w:cs="宋体"/>
          <w:color w:val="auto"/>
          <w:sz w:val="24"/>
          <w:szCs w:val="24"/>
          <w:highlight w:val="none"/>
        </w:rPr>
      </w:pPr>
    </w:p>
    <w:p w14:paraId="5D66CCAB">
      <w:pPr>
        <w:pStyle w:val="3"/>
        <w:pageBreakBefore w:val="0"/>
        <w:kinsoku/>
        <w:wordWrap w:val="0"/>
        <w:overflowPunct/>
        <w:topLinePunct w:val="0"/>
        <w:bidi w:val="0"/>
        <w:spacing w:line="257" w:lineRule="auto"/>
        <w:jc w:val="right"/>
        <w:rPr>
          <w:rFonts w:hint="eastAsia" w:ascii="宋体" w:hAnsi="宋体" w:eastAsia="宋体" w:cs="宋体"/>
          <w:color w:val="auto"/>
          <w:sz w:val="24"/>
          <w:szCs w:val="24"/>
          <w:highlight w:val="none"/>
        </w:rPr>
      </w:pPr>
    </w:p>
    <w:p w14:paraId="774C3229">
      <w:pPr>
        <w:pStyle w:val="3"/>
        <w:pageBreakBefore w:val="0"/>
        <w:kinsoku/>
        <w:wordWrap w:val="0"/>
        <w:overflowPunct/>
        <w:topLinePunct w:val="0"/>
        <w:bidi w:val="0"/>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74D04C94">
      <w:pPr>
        <w:pageBreakBefore w:val="0"/>
        <w:kinsoku/>
        <w:wordWrap w:val="0"/>
        <w:overflowPunct/>
        <w:topLinePunct w:val="0"/>
        <w:bidi w:val="0"/>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说明：《项目技术负责人简历表》后应附拟派项目技术负责人以下资料：</w:t>
      </w:r>
    </w:p>
    <w:p w14:paraId="00FF6588">
      <w:pPr>
        <w:pageBreakBefore w:val="0"/>
        <w:kinsoku/>
        <w:wordWrap w:val="0"/>
        <w:overflowPunct/>
        <w:topLinePunct w:val="0"/>
        <w:bidi w:val="0"/>
        <w:spacing w:before="155" w:line="228" w:lineRule="auto"/>
        <w:ind w:left="48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p>
    <w:p w14:paraId="06698B75">
      <w:pPr>
        <w:pageBreakBefore w:val="0"/>
        <w:kinsoku/>
        <w:wordWrap w:val="0"/>
        <w:overflowPunct/>
        <w:topLinePunct w:val="0"/>
        <w:bidi w:val="0"/>
        <w:spacing w:before="151"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5"/>
          <w:sz w:val="24"/>
          <w:szCs w:val="24"/>
          <w:highlight w:val="none"/>
        </w:rPr>
        <w:t>．职称证彩色扫描件；</w:t>
      </w:r>
    </w:p>
    <w:p w14:paraId="193BA85D">
      <w:pPr>
        <w:pageBreakBefore w:val="0"/>
        <w:kinsoku/>
        <w:wordWrap w:val="0"/>
        <w:overflowPunct/>
        <w:topLinePunct w:val="0"/>
        <w:bidi w:val="0"/>
        <w:spacing w:before="153" w:line="299" w:lineRule="auto"/>
        <w:ind w:left="47" w:right="95" w:firstLine="4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8"/>
          <w:sz w:val="24"/>
          <w:szCs w:val="24"/>
          <w:highlight w:val="none"/>
        </w:rPr>
        <w:t>．在本单位缴纳社保的证明（</w:t>
      </w:r>
      <w:r>
        <w:rPr>
          <w:rFonts w:hint="eastAsia" w:ascii="宋体" w:hAnsi="宋体" w:eastAsia="宋体" w:cs="宋体"/>
          <w:color w:val="auto"/>
          <w:sz w:val="24"/>
          <w:szCs w:val="24"/>
          <w:highlight w:val="none"/>
          <w:lang w:eastAsia="zh-CN"/>
        </w:rPr>
        <w:t>至少</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个月，其中必须有20</w:t>
      </w: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w:t>
      </w:r>
      <w:r>
        <w:rPr>
          <w:rFonts w:hint="eastAsia" w:ascii="宋体" w:hAnsi="宋体" w:eastAsia="宋体" w:cs="宋体"/>
          <w:color w:val="auto"/>
          <w:spacing w:val="9"/>
          <w:sz w:val="24"/>
          <w:szCs w:val="24"/>
          <w:highlight w:val="none"/>
          <w:lang w:val="en-US" w:eastAsia="zh-CN"/>
        </w:rPr>
        <w:t>返聘协议</w:t>
      </w:r>
      <w:r>
        <w:rPr>
          <w:rFonts w:hint="eastAsia" w:ascii="宋体" w:hAnsi="宋体" w:eastAsia="宋体" w:cs="宋体"/>
          <w:color w:val="auto"/>
          <w:spacing w:val="9"/>
          <w:sz w:val="24"/>
          <w:szCs w:val="24"/>
          <w:highlight w:val="none"/>
        </w:rPr>
        <w:t>彩色扫描件。</w:t>
      </w:r>
    </w:p>
    <w:p w14:paraId="00EC7063">
      <w:pPr>
        <w:pageBreakBefore w:val="0"/>
        <w:kinsoku/>
        <w:wordWrap w:val="0"/>
        <w:overflowPunct/>
        <w:topLinePunct w:val="0"/>
        <w:bidi w:val="0"/>
        <w:spacing w:before="153" w:line="228" w:lineRule="auto"/>
        <w:ind w:left="46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”个人信息情况截图。（适用于省外建筑企业）</w:t>
      </w:r>
    </w:p>
    <w:p w14:paraId="7A6F11C1">
      <w:pPr>
        <w:pageBreakBefore w:val="0"/>
        <w:kinsoku/>
        <w:wordWrap w:val="0"/>
        <w:overflowPunct/>
        <w:topLinePunct w:val="0"/>
        <w:bidi w:val="0"/>
        <w:spacing w:line="228" w:lineRule="auto"/>
        <w:rPr>
          <w:rFonts w:hint="eastAsia" w:ascii="宋体" w:hAnsi="宋体" w:eastAsia="宋体" w:cs="宋体"/>
          <w:color w:val="auto"/>
          <w:sz w:val="20"/>
          <w:szCs w:val="20"/>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30E6C25C">
      <w:pPr>
        <w:pageBreakBefore w:val="0"/>
        <w:kinsoku/>
        <w:wordWrap w:val="0"/>
        <w:overflowPunct/>
        <w:topLinePunct w:val="0"/>
        <w:bidi w:val="0"/>
        <w:spacing w:before="78" w:line="220" w:lineRule="auto"/>
        <w:outlineLvl w:val="2"/>
        <w:rPr>
          <w:rFonts w:hint="eastAsia" w:ascii="宋体" w:hAnsi="宋体" w:eastAsia="宋体" w:cs="宋体"/>
          <w:b/>
          <w:bCs/>
          <w:color w:val="auto"/>
          <w:spacing w:val="-4"/>
          <w:sz w:val="24"/>
          <w:szCs w:val="24"/>
          <w:highlight w:val="none"/>
        </w:rPr>
      </w:pPr>
      <w:bookmarkStart w:id="263" w:name="_Toc27039"/>
      <w:r>
        <w:rPr>
          <w:rFonts w:hint="eastAsia" w:ascii="宋体" w:hAnsi="宋体" w:eastAsia="宋体" w:cs="宋体"/>
          <w:b/>
          <w:bCs/>
          <w:color w:val="auto"/>
          <w:spacing w:val="-4"/>
          <w:sz w:val="24"/>
          <w:szCs w:val="24"/>
          <w:highlight w:val="none"/>
        </w:rPr>
        <w:t>格式十一 项目管理机构组成表</w:t>
      </w:r>
      <w:bookmarkEnd w:id="263"/>
    </w:p>
    <w:p w14:paraId="2EC5C59E">
      <w:pPr>
        <w:pStyle w:val="3"/>
        <w:pageBreakBefore w:val="0"/>
        <w:kinsoku/>
        <w:wordWrap w:val="0"/>
        <w:overflowPunct/>
        <w:topLinePunct w:val="0"/>
        <w:bidi w:val="0"/>
        <w:spacing w:line="351" w:lineRule="auto"/>
        <w:rPr>
          <w:rFonts w:hint="eastAsia" w:ascii="宋体" w:hAnsi="宋体" w:eastAsia="宋体" w:cs="宋体"/>
          <w:color w:val="auto"/>
          <w:highlight w:val="none"/>
        </w:rPr>
      </w:pPr>
    </w:p>
    <w:p w14:paraId="0156357D">
      <w:pPr>
        <w:pStyle w:val="3"/>
        <w:pageBreakBefore w:val="0"/>
        <w:kinsoku/>
        <w:wordWrap w:val="0"/>
        <w:overflowPunct/>
        <w:topLinePunct w:val="0"/>
        <w:bidi w:val="0"/>
        <w:spacing w:line="351" w:lineRule="auto"/>
        <w:rPr>
          <w:rFonts w:hint="eastAsia" w:ascii="宋体" w:hAnsi="宋体" w:eastAsia="宋体" w:cs="宋体"/>
          <w:color w:val="auto"/>
          <w:highlight w:val="none"/>
        </w:rPr>
      </w:pPr>
    </w:p>
    <w:p w14:paraId="7B0876F5">
      <w:pPr>
        <w:pageBreakBefore w:val="0"/>
        <w:kinsoku/>
        <w:wordWrap w:val="0"/>
        <w:overflowPunct/>
        <w:topLinePunct w:val="0"/>
        <w:bidi w:val="0"/>
        <w:spacing w:before="97" w:line="219" w:lineRule="auto"/>
        <w:ind w:left="3200"/>
        <w:outlineLvl w:val="9"/>
        <w:rPr>
          <w:rFonts w:hint="eastAsia" w:ascii="宋体" w:hAnsi="宋体" w:eastAsia="宋体" w:cs="宋体"/>
          <w:color w:val="auto"/>
          <w:sz w:val="30"/>
          <w:szCs w:val="30"/>
          <w:highlight w:val="none"/>
        </w:rPr>
      </w:pPr>
      <w:bookmarkStart w:id="264" w:name="bookmark158"/>
      <w:bookmarkEnd w:id="264"/>
      <w:bookmarkStart w:id="265" w:name="_Toc28765"/>
      <w:bookmarkStart w:id="266" w:name="_Toc19973"/>
      <w:r>
        <w:rPr>
          <w:rFonts w:hint="eastAsia" w:ascii="宋体" w:hAnsi="宋体" w:eastAsia="宋体" w:cs="宋体"/>
          <w:b/>
          <w:bCs/>
          <w:color w:val="auto"/>
          <w:spacing w:val="-4"/>
          <w:sz w:val="30"/>
          <w:szCs w:val="30"/>
          <w:highlight w:val="none"/>
        </w:rPr>
        <w:t>项目管理机构组成表</w:t>
      </w:r>
      <w:bookmarkEnd w:id="265"/>
      <w:bookmarkEnd w:id="266"/>
    </w:p>
    <w:p w14:paraId="639C8DF8">
      <w:pPr>
        <w:pageBreakBefore w:val="0"/>
        <w:kinsoku/>
        <w:wordWrap w:val="0"/>
        <w:overflowPunct/>
        <w:topLinePunct w:val="0"/>
        <w:bidi w:val="0"/>
        <w:spacing w:before="7"/>
        <w:rPr>
          <w:rFonts w:hint="eastAsia" w:ascii="宋体" w:hAnsi="宋体" w:eastAsia="宋体" w:cs="宋体"/>
          <w:color w:val="auto"/>
          <w:highlight w:val="none"/>
        </w:rPr>
      </w:pPr>
    </w:p>
    <w:tbl>
      <w:tblPr>
        <w:tblStyle w:val="14"/>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73D8C0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top"/>
          </w:tcPr>
          <w:p w14:paraId="583861F6">
            <w:pPr>
              <w:pageBreakBefore w:val="0"/>
              <w:kinsoku/>
              <w:wordWrap w:val="0"/>
              <w:overflowPunct/>
              <w:topLinePunct w:val="0"/>
              <w:bidi w:val="0"/>
              <w:spacing w:before="229" w:line="231" w:lineRule="auto"/>
              <w:ind w:left="9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序号</w:t>
            </w:r>
          </w:p>
        </w:tc>
        <w:tc>
          <w:tcPr>
            <w:tcW w:w="1939" w:type="dxa"/>
            <w:vAlign w:val="top"/>
          </w:tcPr>
          <w:p w14:paraId="2BF4C40B">
            <w:pPr>
              <w:pageBreakBefore w:val="0"/>
              <w:kinsoku/>
              <w:wordWrap w:val="0"/>
              <w:overflowPunct/>
              <w:topLinePunct w:val="0"/>
              <w:bidi w:val="0"/>
              <w:spacing w:before="228" w:line="231" w:lineRule="auto"/>
              <w:ind w:left="70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岗位</w:t>
            </w:r>
          </w:p>
        </w:tc>
        <w:tc>
          <w:tcPr>
            <w:tcW w:w="1567" w:type="dxa"/>
            <w:vAlign w:val="top"/>
          </w:tcPr>
          <w:p w14:paraId="587B57EE">
            <w:pPr>
              <w:pageBreakBefore w:val="0"/>
              <w:kinsoku/>
              <w:wordWrap w:val="0"/>
              <w:overflowPunct/>
              <w:topLinePunct w:val="0"/>
              <w:bidi w:val="0"/>
              <w:spacing w:before="228" w:line="231" w:lineRule="auto"/>
              <w:ind w:left="52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017" w:type="dxa"/>
            <w:vAlign w:val="top"/>
          </w:tcPr>
          <w:p w14:paraId="77114614">
            <w:pPr>
              <w:pageBreakBefore w:val="0"/>
              <w:kinsoku/>
              <w:wordWrap w:val="0"/>
              <w:overflowPunct/>
              <w:topLinePunct w:val="0"/>
              <w:bidi w:val="0"/>
              <w:spacing w:before="228" w:line="230" w:lineRule="auto"/>
              <w:ind w:left="26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性别</w:t>
            </w:r>
          </w:p>
        </w:tc>
        <w:tc>
          <w:tcPr>
            <w:tcW w:w="1002" w:type="dxa"/>
            <w:vAlign w:val="top"/>
          </w:tcPr>
          <w:p w14:paraId="780575A7">
            <w:pPr>
              <w:pageBreakBefore w:val="0"/>
              <w:kinsoku/>
              <w:wordWrap w:val="0"/>
              <w:overflowPunct/>
              <w:topLinePunct w:val="0"/>
              <w:bidi w:val="0"/>
              <w:spacing w:before="229" w:line="231" w:lineRule="auto"/>
              <w:ind w:left="26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年龄</w:t>
            </w:r>
          </w:p>
        </w:tc>
        <w:tc>
          <w:tcPr>
            <w:tcW w:w="1551" w:type="dxa"/>
            <w:vAlign w:val="top"/>
          </w:tcPr>
          <w:p w14:paraId="53F5271E">
            <w:pPr>
              <w:pageBreakBefore w:val="0"/>
              <w:kinsoku/>
              <w:wordWrap w:val="0"/>
              <w:overflowPunct/>
              <w:topLinePunct w:val="0"/>
              <w:bidi w:val="0"/>
              <w:spacing w:before="228" w:line="230"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职称</w:t>
            </w:r>
          </w:p>
        </w:tc>
        <w:tc>
          <w:tcPr>
            <w:tcW w:w="1926" w:type="dxa"/>
            <w:vAlign w:val="top"/>
          </w:tcPr>
          <w:p w14:paraId="21D55D65">
            <w:pPr>
              <w:pageBreakBefore w:val="0"/>
              <w:kinsoku/>
              <w:wordWrap w:val="0"/>
              <w:overflowPunct/>
              <w:topLinePunct w:val="0"/>
              <w:bidi w:val="0"/>
              <w:spacing w:before="228" w:line="230" w:lineRule="auto"/>
              <w:ind w:left="68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备注</w:t>
            </w:r>
          </w:p>
        </w:tc>
      </w:tr>
      <w:tr w14:paraId="3CBB8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3B6E77B8">
            <w:pPr>
              <w:pageBreakBefore w:val="0"/>
              <w:kinsoku/>
              <w:wordWrap w:val="0"/>
              <w:overflowPunct/>
              <w:topLinePunct w:val="0"/>
              <w:bidi w:val="0"/>
              <w:spacing w:before="185" w:line="195" w:lineRule="auto"/>
              <w:ind w:left="2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39" w:type="dxa"/>
            <w:vAlign w:val="top"/>
          </w:tcPr>
          <w:p w14:paraId="13CFEC27">
            <w:pPr>
              <w:pageBreakBefore w:val="0"/>
              <w:kinsoku/>
              <w:wordWrap w:val="0"/>
              <w:overflowPunct/>
              <w:topLinePunct w:val="0"/>
              <w:bidi w:val="0"/>
              <w:spacing w:before="150" w:line="229"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67" w:type="dxa"/>
            <w:vAlign w:val="top"/>
          </w:tcPr>
          <w:p w14:paraId="6337F935">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017" w:type="dxa"/>
            <w:vAlign w:val="top"/>
          </w:tcPr>
          <w:p w14:paraId="215B5DE9">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002" w:type="dxa"/>
            <w:vAlign w:val="top"/>
          </w:tcPr>
          <w:p w14:paraId="386DD35A">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551" w:type="dxa"/>
            <w:vAlign w:val="top"/>
          </w:tcPr>
          <w:p w14:paraId="4C5E1A1C">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926" w:type="dxa"/>
            <w:vAlign w:val="top"/>
          </w:tcPr>
          <w:p w14:paraId="16BC8A53">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3A605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top"/>
          </w:tcPr>
          <w:p w14:paraId="3820C0AB">
            <w:pPr>
              <w:pageBreakBefore w:val="0"/>
              <w:kinsoku/>
              <w:wordWrap w:val="0"/>
              <w:overflowPunct/>
              <w:topLinePunct w:val="0"/>
              <w:bidi w:val="0"/>
              <w:spacing w:before="187" w:line="195" w:lineRule="auto"/>
              <w:ind w:left="2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39" w:type="dxa"/>
            <w:vAlign w:val="top"/>
          </w:tcPr>
          <w:p w14:paraId="3D7EFEAE">
            <w:pPr>
              <w:pageBreakBefore w:val="0"/>
              <w:kinsoku/>
              <w:wordWrap w:val="0"/>
              <w:overflowPunct/>
              <w:topLinePunct w:val="0"/>
              <w:bidi w:val="0"/>
              <w:spacing w:before="152"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项目技术负责人</w:t>
            </w:r>
          </w:p>
        </w:tc>
        <w:tc>
          <w:tcPr>
            <w:tcW w:w="1567" w:type="dxa"/>
            <w:vAlign w:val="top"/>
          </w:tcPr>
          <w:p w14:paraId="3E2C0AAF">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017" w:type="dxa"/>
            <w:vAlign w:val="top"/>
          </w:tcPr>
          <w:p w14:paraId="1E67812B">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002" w:type="dxa"/>
            <w:vAlign w:val="top"/>
          </w:tcPr>
          <w:p w14:paraId="26A91E61">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551" w:type="dxa"/>
            <w:vAlign w:val="top"/>
          </w:tcPr>
          <w:p w14:paraId="6BEE9151">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926" w:type="dxa"/>
            <w:vAlign w:val="top"/>
          </w:tcPr>
          <w:p w14:paraId="5EE9AF99">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7376C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5F91FDBD">
            <w:pPr>
              <w:pageBreakBefore w:val="0"/>
              <w:kinsoku/>
              <w:wordWrap w:val="0"/>
              <w:overflowPunct/>
              <w:topLinePunct w:val="0"/>
              <w:bidi w:val="0"/>
              <w:spacing w:before="189" w:line="195" w:lineRule="auto"/>
              <w:ind w:left="24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939" w:type="dxa"/>
            <w:vAlign w:val="center"/>
          </w:tcPr>
          <w:p w14:paraId="2D2019FB">
            <w:pPr>
              <w:pageBreakBefore w:val="0"/>
              <w:kinsoku/>
              <w:wordWrap w:val="0"/>
              <w:overflowPunct/>
              <w:topLinePunct w:val="0"/>
              <w:bidi w:val="0"/>
              <w:spacing w:before="153" w:line="229" w:lineRule="auto"/>
              <w:ind w:left="37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专职安全员</w:t>
            </w:r>
          </w:p>
        </w:tc>
        <w:tc>
          <w:tcPr>
            <w:tcW w:w="1567" w:type="dxa"/>
            <w:vAlign w:val="top"/>
          </w:tcPr>
          <w:p w14:paraId="54F777D2">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017" w:type="dxa"/>
            <w:vAlign w:val="top"/>
          </w:tcPr>
          <w:p w14:paraId="1030E0E6">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002" w:type="dxa"/>
            <w:vAlign w:val="top"/>
          </w:tcPr>
          <w:p w14:paraId="3463FE6D">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551" w:type="dxa"/>
            <w:vAlign w:val="top"/>
          </w:tcPr>
          <w:p w14:paraId="521B8CC1">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926" w:type="dxa"/>
            <w:vAlign w:val="top"/>
          </w:tcPr>
          <w:p w14:paraId="2FCE3AF2">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415847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44F56C77">
            <w:pPr>
              <w:pageBreakBefore w:val="0"/>
              <w:kinsoku/>
              <w:wordWrap w:val="0"/>
              <w:overflowPunct/>
              <w:topLinePunct w:val="0"/>
              <w:bidi w:val="0"/>
              <w:spacing w:before="188" w:line="195" w:lineRule="auto"/>
              <w:ind w:left="24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939" w:type="dxa"/>
            <w:vAlign w:val="top"/>
          </w:tcPr>
          <w:p w14:paraId="325320BA">
            <w:pPr>
              <w:pageBreakBefore w:val="0"/>
              <w:kinsoku/>
              <w:wordWrap w:val="0"/>
              <w:overflowPunct/>
              <w:topLinePunct w:val="0"/>
              <w:bidi w:val="0"/>
              <w:spacing w:before="152" w:line="230" w:lineRule="auto"/>
              <w:ind w:left="58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施工员</w:t>
            </w:r>
          </w:p>
        </w:tc>
        <w:tc>
          <w:tcPr>
            <w:tcW w:w="1567" w:type="dxa"/>
            <w:vAlign w:val="top"/>
          </w:tcPr>
          <w:p w14:paraId="5002FEB2">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017" w:type="dxa"/>
            <w:vAlign w:val="top"/>
          </w:tcPr>
          <w:p w14:paraId="4508121F">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002" w:type="dxa"/>
            <w:vAlign w:val="top"/>
          </w:tcPr>
          <w:p w14:paraId="2DC0E2D3">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551" w:type="dxa"/>
            <w:vAlign w:val="top"/>
          </w:tcPr>
          <w:p w14:paraId="2D99A1F3">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926" w:type="dxa"/>
            <w:vAlign w:val="top"/>
          </w:tcPr>
          <w:p w14:paraId="71DCF47A">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0D539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257C7341">
            <w:pPr>
              <w:pageBreakBefore w:val="0"/>
              <w:kinsoku/>
              <w:wordWrap w:val="0"/>
              <w:overflowPunct/>
              <w:topLinePunct w:val="0"/>
              <w:bidi w:val="0"/>
              <w:spacing w:before="193" w:line="192" w:lineRule="auto"/>
              <w:ind w:left="2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39" w:type="dxa"/>
            <w:vAlign w:val="top"/>
          </w:tcPr>
          <w:p w14:paraId="2D145259">
            <w:pPr>
              <w:pageBreakBefore w:val="0"/>
              <w:kinsoku/>
              <w:wordWrap w:val="0"/>
              <w:overflowPunct/>
              <w:topLinePunct w:val="0"/>
              <w:bidi w:val="0"/>
              <w:spacing w:before="154" w:line="229"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质量员</w:t>
            </w:r>
          </w:p>
        </w:tc>
        <w:tc>
          <w:tcPr>
            <w:tcW w:w="1567" w:type="dxa"/>
            <w:vAlign w:val="top"/>
          </w:tcPr>
          <w:p w14:paraId="7C414A00">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017" w:type="dxa"/>
            <w:vAlign w:val="top"/>
          </w:tcPr>
          <w:p w14:paraId="0A047E98">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002" w:type="dxa"/>
            <w:vAlign w:val="top"/>
          </w:tcPr>
          <w:p w14:paraId="01946ADC">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551" w:type="dxa"/>
            <w:vAlign w:val="top"/>
          </w:tcPr>
          <w:p w14:paraId="10FAFF09">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926" w:type="dxa"/>
            <w:vAlign w:val="top"/>
          </w:tcPr>
          <w:p w14:paraId="2CAFD4ED">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0B0E1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0C985D6">
            <w:pPr>
              <w:pageBreakBefore w:val="0"/>
              <w:kinsoku/>
              <w:wordWrap w:val="0"/>
              <w:overflowPunct/>
              <w:topLinePunct w:val="0"/>
              <w:bidi w:val="0"/>
              <w:spacing w:before="191" w:line="195" w:lineRule="auto"/>
              <w:ind w:left="2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39" w:type="dxa"/>
            <w:vAlign w:val="top"/>
          </w:tcPr>
          <w:p w14:paraId="2B0AD8AD">
            <w:pPr>
              <w:pageBreakBefore w:val="0"/>
              <w:kinsoku/>
              <w:wordWrap w:val="0"/>
              <w:overflowPunct/>
              <w:topLinePunct w:val="0"/>
              <w:bidi w:val="0"/>
              <w:spacing w:before="155" w:line="228"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材料员</w:t>
            </w:r>
          </w:p>
        </w:tc>
        <w:tc>
          <w:tcPr>
            <w:tcW w:w="1567" w:type="dxa"/>
            <w:vAlign w:val="top"/>
          </w:tcPr>
          <w:p w14:paraId="30FD5B99">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017" w:type="dxa"/>
            <w:vAlign w:val="top"/>
          </w:tcPr>
          <w:p w14:paraId="24920843">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002" w:type="dxa"/>
            <w:vAlign w:val="top"/>
          </w:tcPr>
          <w:p w14:paraId="596EC4C2">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551" w:type="dxa"/>
            <w:vAlign w:val="top"/>
          </w:tcPr>
          <w:p w14:paraId="14255466">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926" w:type="dxa"/>
            <w:vAlign w:val="top"/>
          </w:tcPr>
          <w:p w14:paraId="39BF5C26">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3AB329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261E16D5">
            <w:pPr>
              <w:pageBreakBefore w:val="0"/>
              <w:kinsoku/>
              <w:wordWrap w:val="0"/>
              <w:overflowPunct/>
              <w:topLinePunct w:val="0"/>
              <w:bidi w:val="0"/>
              <w:spacing w:before="192" w:line="192" w:lineRule="auto"/>
              <w:ind w:left="24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39" w:type="dxa"/>
            <w:vAlign w:val="top"/>
          </w:tcPr>
          <w:p w14:paraId="5ABFE278">
            <w:pPr>
              <w:pageBreakBefore w:val="0"/>
              <w:kinsoku/>
              <w:wordWrap w:val="0"/>
              <w:overflowPunct/>
              <w:topLinePunct w:val="0"/>
              <w:bidi w:val="0"/>
              <w:spacing w:before="154" w:line="229" w:lineRule="auto"/>
              <w:ind w:left="59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资料员</w:t>
            </w:r>
          </w:p>
        </w:tc>
        <w:tc>
          <w:tcPr>
            <w:tcW w:w="1567" w:type="dxa"/>
            <w:vAlign w:val="top"/>
          </w:tcPr>
          <w:p w14:paraId="221D5657">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017" w:type="dxa"/>
            <w:vAlign w:val="top"/>
          </w:tcPr>
          <w:p w14:paraId="731B0BB4">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002" w:type="dxa"/>
            <w:vAlign w:val="top"/>
          </w:tcPr>
          <w:p w14:paraId="1CB4F26F">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551" w:type="dxa"/>
            <w:vAlign w:val="top"/>
          </w:tcPr>
          <w:p w14:paraId="62B9287E">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926" w:type="dxa"/>
            <w:vAlign w:val="top"/>
          </w:tcPr>
          <w:p w14:paraId="22A6499B">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4B6AD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top"/>
          </w:tcPr>
          <w:p w14:paraId="1F9DE00F">
            <w:pPr>
              <w:pageBreakBefore w:val="0"/>
              <w:kinsoku/>
              <w:wordWrap w:val="0"/>
              <w:overflowPunct/>
              <w:topLinePunct w:val="0"/>
              <w:bidi w:val="0"/>
              <w:spacing w:before="154" w:line="325" w:lineRule="exact"/>
              <w:ind w:left="104"/>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939" w:type="dxa"/>
            <w:vAlign w:val="top"/>
          </w:tcPr>
          <w:p w14:paraId="75B37302">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567" w:type="dxa"/>
            <w:vAlign w:val="top"/>
          </w:tcPr>
          <w:p w14:paraId="74287E00">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017" w:type="dxa"/>
            <w:vAlign w:val="top"/>
          </w:tcPr>
          <w:p w14:paraId="5804450C">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002" w:type="dxa"/>
            <w:vAlign w:val="top"/>
          </w:tcPr>
          <w:p w14:paraId="7C125147">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551" w:type="dxa"/>
            <w:vAlign w:val="top"/>
          </w:tcPr>
          <w:p w14:paraId="4F54B0AF">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926" w:type="dxa"/>
            <w:vAlign w:val="top"/>
          </w:tcPr>
          <w:p w14:paraId="4FFC9BC0">
            <w:pPr>
              <w:pStyle w:val="21"/>
              <w:pageBreakBefore w:val="0"/>
              <w:kinsoku/>
              <w:wordWrap w:val="0"/>
              <w:overflowPunct/>
              <w:topLinePunct w:val="0"/>
              <w:bidi w:val="0"/>
              <w:rPr>
                <w:rFonts w:hint="eastAsia" w:ascii="宋体" w:hAnsi="宋体" w:eastAsia="宋体" w:cs="宋体"/>
                <w:color w:val="auto"/>
                <w:sz w:val="24"/>
                <w:szCs w:val="24"/>
                <w:highlight w:val="none"/>
              </w:rPr>
            </w:pPr>
          </w:p>
        </w:tc>
      </w:tr>
    </w:tbl>
    <w:p w14:paraId="7732D9E9">
      <w:pPr>
        <w:pStyle w:val="3"/>
        <w:pageBreakBefore w:val="0"/>
        <w:kinsoku/>
        <w:wordWrap w:val="0"/>
        <w:overflowPunct/>
        <w:topLinePunct w:val="0"/>
        <w:bidi w:val="0"/>
        <w:spacing w:line="395" w:lineRule="auto"/>
        <w:rPr>
          <w:rFonts w:hint="eastAsia" w:ascii="宋体" w:hAnsi="宋体" w:eastAsia="宋体" w:cs="宋体"/>
          <w:color w:val="auto"/>
          <w:sz w:val="24"/>
          <w:szCs w:val="24"/>
          <w:highlight w:val="none"/>
        </w:rPr>
      </w:pPr>
    </w:p>
    <w:p w14:paraId="3B1E59B3">
      <w:pPr>
        <w:pageBreakBefore w:val="0"/>
        <w:kinsoku/>
        <w:wordWrap w:val="0"/>
        <w:overflowPunct/>
        <w:topLinePunct w:val="0"/>
        <w:bidi w:val="0"/>
        <w:spacing w:before="65" w:line="228" w:lineRule="auto"/>
        <w:ind w:left="4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w:t>
      </w:r>
    </w:p>
    <w:p w14:paraId="6564FA57">
      <w:pPr>
        <w:pageBreakBefore w:val="0"/>
        <w:kinsoku/>
        <w:wordWrap w:val="0"/>
        <w:overflowPunct/>
        <w:topLinePunct w:val="0"/>
        <w:bidi w:val="0"/>
        <w:spacing w:before="153" w:line="228" w:lineRule="auto"/>
        <w:ind w:firstLine="496"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．《项目管理机构组成表》后应附表中拟派人</w:t>
      </w:r>
      <w:r>
        <w:rPr>
          <w:rFonts w:hint="eastAsia" w:ascii="宋体" w:hAnsi="宋体" w:eastAsia="宋体" w:cs="宋体"/>
          <w:color w:val="auto"/>
          <w:spacing w:val="3"/>
          <w:sz w:val="24"/>
          <w:szCs w:val="24"/>
          <w:highlight w:val="none"/>
        </w:rPr>
        <w:t>员（项目经理、项目技术负责人除外）以下资料：</w:t>
      </w:r>
    </w:p>
    <w:p w14:paraId="4589A90E">
      <w:pPr>
        <w:pageBreakBefore w:val="0"/>
        <w:kinsoku/>
        <w:wordWrap w:val="0"/>
        <w:overflowPunct/>
        <w:topLinePunct w:val="0"/>
        <w:bidi w:val="0"/>
        <w:spacing w:before="153" w:line="228"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lang w:val="en-US" w:eastAsia="en-US" w:bidi="ar-SA"/>
        </w:rPr>
        <w:t>（1）</w:t>
      </w:r>
      <w:r>
        <w:rPr>
          <w:rFonts w:hint="eastAsia" w:ascii="宋体" w:hAnsi="宋体" w:eastAsia="宋体" w:cs="宋体"/>
          <w:color w:val="auto"/>
          <w:spacing w:val="3"/>
          <w:sz w:val="24"/>
          <w:szCs w:val="24"/>
          <w:highlight w:val="none"/>
        </w:rPr>
        <w:t>身份证彩色扫描件；</w:t>
      </w:r>
    </w:p>
    <w:p w14:paraId="3E349554">
      <w:pPr>
        <w:pageBreakBefore w:val="0"/>
        <w:numPr>
          <w:ilvl w:val="0"/>
          <w:numId w:val="0"/>
        </w:numPr>
        <w:kinsoku/>
        <w:wordWrap w:val="0"/>
        <w:overflowPunct/>
        <w:topLinePunct w:val="0"/>
        <w:bidi w:val="0"/>
        <w:spacing w:before="154" w:line="228" w:lineRule="auto"/>
        <w:ind w:firstLine="500" w:firstLineChars="200"/>
        <w:jc w:val="left"/>
        <w:rPr>
          <w:rFonts w:hint="eastAsia" w:ascii="宋体" w:hAnsi="宋体" w:eastAsia="宋体" w:cs="宋体"/>
          <w:color w:val="auto"/>
          <w:spacing w:val="9"/>
          <w:sz w:val="24"/>
          <w:szCs w:val="24"/>
          <w:highlight w:val="none"/>
        </w:rPr>
      </w:pP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2</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9"/>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140853C5">
      <w:pPr>
        <w:pageBreakBefore w:val="0"/>
        <w:numPr>
          <w:ilvl w:val="0"/>
          <w:numId w:val="0"/>
        </w:numPr>
        <w:kinsoku/>
        <w:wordWrap w:val="0"/>
        <w:overflowPunct/>
        <w:topLinePunct w:val="0"/>
        <w:bidi w:val="0"/>
        <w:spacing w:before="154" w:line="228" w:lineRule="auto"/>
        <w:ind w:firstLine="516" w:firstLineChars="200"/>
        <w:jc w:val="left"/>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在本单位缴纳社保的证明（</w:t>
      </w:r>
      <w:r>
        <w:rPr>
          <w:rFonts w:hint="eastAsia" w:ascii="宋体" w:hAnsi="宋体" w:eastAsia="宋体" w:cs="宋体"/>
          <w:color w:val="auto"/>
          <w:sz w:val="24"/>
          <w:szCs w:val="24"/>
          <w:highlight w:val="none"/>
          <w:lang w:eastAsia="zh-CN"/>
        </w:rPr>
        <w:t>至少</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个月，其中必须有20</w:t>
      </w: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10"/>
          <w:sz w:val="24"/>
          <w:szCs w:val="24"/>
          <w:highlight w:val="none"/>
        </w:rPr>
        <w:t>拟派人</w:t>
      </w:r>
      <w:r>
        <w:rPr>
          <w:rFonts w:hint="eastAsia" w:ascii="宋体" w:hAnsi="宋体" w:eastAsia="宋体" w:cs="宋体"/>
          <w:color w:val="auto"/>
          <w:spacing w:val="10"/>
          <w:sz w:val="24"/>
          <w:szCs w:val="24"/>
          <w:highlight w:val="none"/>
          <w:lang w:val="en-US" w:eastAsia="zh-CN"/>
        </w:rPr>
        <w:t>员</w:t>
      </w:r>
      <w:r>
        <w:rPr>
          <w:rFonts w:hint="eastAsia" w:ascii="宋体" w:hAnsi="宋体" w:eastAsia="宋体" w:cs="宋体"/>
          <w:color w:val="auto"/>
          <w:spacing w:val="10"/>
          <w:sz w:val="24"/>
          <w:szCs w:val="24"/>
          <w:highlight w:val="none"/>
        </w:rPr>
        <w:t>为退休返聘人员无法提供社</w:t>
      </w:r>
      <w:r>
        <w:rPr>
          <w:rFonts w:hint="eastAsia" w:ascii="宋体" w:hAnsi="宋体" w:eastAsia="宋体" w:cs="宋体"/>
          <w:color w:val="auto"/>
          <w:spacing w:val="9"/>
          <w:sz w:val="24"/>
          <w:szCs w:val="24"/>
          <w:highlight w:val="none"/>
        </w:rPr>
        <w:t>保证明的，提供退休证和</w:t>
      </w:r>
      <w:r>
        <w:rPr>
          <w:rFonts w:hint="eastAsia" w:ascii="宋体" w:hAnsi="宋体" w:eastAsia="宋体" w:cs="宋体"/>
          <w:color w:val="auto"/>
          <w:spacing w:val="9"/>
          <w:sz w:val="24"/>
          <w:szCs w:val="24"/>
          <w:highlight w:val="none"/>
          <w:lang w:val="en-US" w:eastAsia="zh-CN"/>
        </w:rPr>
        <w:t>返聘协议</w:t>
      </w:r>
      <w:r>
        <w:rPr>
          <w:rFonts w:hint="eastAsia" w:ascii="宋体" w:hAnsi="宋体" w:eastAsia="宋体" w:cs="宋体"/>
          <w:color w:val="auto"/>
          <w:spacing w:val="9"/>
          <w:sz w:val="24"/>
          <w:szCs w:val="24"/>
          <w:highlight w:val="none"/>
        </w:rPr>
        <w:t>彩色扫描件。</w:t>
      </w:r>
    </w:p>
    <w:p w14:paraId="50403043">
      <w:pPr>
        <w:pageBreakBefore w:val="0"/>
        <w:numPr>
          <w:ilvl w:val="0"/>
          <w:numId w:val="0"/>
        </w:numPr>
        <w:kinsoku/>
        <w:wordWrap w:val="0"/>
        <w:overflowPunct/>
        <w:topLinePunct w:val="0"/>
        <w:bidi w:val="0"/>
        <w:spacing w:before="154" w:line="228" w:lineRule="auto"/>
        <w:ind w:firstLine="512" w:firstLineChars="200"/>
        <w:jc w:val="left"/>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9"/>
          <w:sz w:val="24"/>
          <w:szCs w:val="24"/>
          <w:highlight w:val="none"/>
        </w:rPr>
        <w:t>“进粤企业和人员诚信信息登记平台 ”个人信息情况截图。（适用于省外建筑企业）</w:t>
      </w:r>
    </w:p>
    <w:p w14:paraId="5069CF15">
      <w:pPr>
        <w:pStyle w:val="3"/>
        <w:pageBreakBefore w:val="0"/>
        <w:kinsoku/>
        <w:wordWrap w:val="0"/>
        <w:overflowPunct/>
        <w:topLinePunct w:val="0"/>
        <w:bidi w:val="0"/>
        <w:spacing w:line="248" w:lineRule="auto"/>
        <w:rPr>
          <w:rFonts w:hint="eastAsia" w:ascii="宋体" w:hAnsi="宋体" w:eastAsia="宋体" w:cs="宋体"/>
          <w:color w:val="auto"/>
          <w:sz w:val="24"/>
          <w:szCs w:val="24"/>
          <w:highlight w:val="none"/>
        </w:rPr>
      </w:pPr>
    </w:p>
    <w:p w14:paraId="3AE49CA0">
      <w:pPr>
        <w:pageBreakBefore w:val="0"/>
        <w:kinsoku/>
        <w:wordWrap w:val="0"/>
        <w:overflowPunct/>
        <w:topLinePunct w:val="0"/>
        <w:bidi w:val="0"/>
        <w:rPr>
          <w:rFonts w:hint="eastAsia" w:ascii="宋体" w:hAnsi="宋体" w:eastAsia="宋体" w:cs="宋体"/>
          <w:b/>
          <w:bCs/>
          <w:color w:val="auto"/>
          <w:spacing w:val="-2"/>
          <w:sz w:val="24"/>
          <w:szCs w:val="24"/>
          <w:highlight w:val="none"/>
        </w:rPr>
      </w:pPr>
      <w:r>
        <w:rPr>
          <w:rFonts w:hint="eastAsia" w:ascii="宋体" w:hAnsi="宋体" w:eastAsia="宋体" w:cs="宋体"/>
          <w:b/>
          <w:bCs/>
          <w:color w:val="auto"/>
          <w:spacing w:val="-2"/>
          <w:sz w:val="24"/>
          <w:szCs w:val="24"/>
          <w:highlight w:val="none"/>
        </w:rPr>
        <w:br w:type="page"/>
      </w:r>
    </w:p>
    <w:p w14:paraId="5120CE2D">
      <w:pPr>
        <w:pageBreakBefore w:val="0"/>
        <w:kinsoku/>
        <w:wordWrap w:val="0"/>
        <w:overflowPunct/>
        <w:topLinePunct w:val="0"/>
        <w:bidi w:val="0"/>
        <w:spacing w:before="79" w:line="220" w:lineRule="auto"/>
        <w:rPr>
          <w:rFonts w:hint="eastAsia" w:ascii="宋体" w:hAnsi="宋体" w:eastAsia="宋体" w:cs="宋体"/>
          <w:b/>
          <w:bCs/>
          <w:color w:val="auto"/>
          <w:spacing w:val="-2"/>
          <w:sz w:val="24"/>
          <w:szCs w:val="24"/>
          <w:highlight w:val="none"/>
        </w:rPr>
      </w:pPr>
    </w:p>
    <w:p w14:paraId="64B5E5D2">
      <w:pPr>
        <w:pageBreakBefore w:val="0"/>
        <w:kinsoku/>
        <w:wordWrap w:val="0"/>
        <w:overflowPunct/>
        <w:topLinePunct w:val="0"/>
        <w:bidi w:val="0"/>
        <w:spacing w:before="78" w:line="220" w:lineRule="auto"/>
        <w:outlineLvl w:val="2"/>
        <w:rPr>
          <w:rFonts w:hint="eastAsia" w:ascii="宋体" w:hAnsi="宋体" w:eastAsia="宋体" w:cs="宋体"/>
          <w:b/>
          <w:bCs/>
          <w:color w:val="auto"/>
          <w:spacing w:val="-4"/>
          <w:sz w:val="24"/>
          <w:szCs w:val="24"/>
          <w:highlight w:val="none"/>
        </w:rPr>
      </w:pPr>
      <w:bookmarkStart w:id="267" w:name="_Toc11536"/>
      <w:r>
        <w:rPr>
          <w:rFonts w:hint="eastAsia" w:ascii="宋体" w:hAnsi="宋体" w:eastAsia="宋体" w:cs="宋体"/>
          <w:b/>
          <w:bCs/>
          <w:color w:val="auto"/>
          <w:spacing w:val="-4"/>
          <w:sz w:val="24"/>
          <w:szCs w:val="24"/>
          <w:highlight w:val="none"/>
        </w:rPr>
        <w:t>格式十二 建造师查询页（有效期+建造师签字）</w:t>
      </w:r>
      <w:bookmarkEnd w:id="267"/>
    </w:p>
    <w:p w14:paraId="450E46D9">
      <w:pPr>
        <w:pageBreakBefore w:val="0"/>
        <w:kinsoku/>
        <w:wordWrap w:val="0"/>
        <w:overflowPunct/>
        <w:topLinePunct w:val="0"/>
        <w:bidi w:val="0"/>
        <w:outlineLvl w:val="9"/>
        <w:rPr>
          <w:rFonts w:hint="eastAsia" w:ascii="宋体" w:hAnsi="宋体" w:eastAsia="宋体" w:cs="宋体"/>
          <w:color w:val="auto"/>
          <w:highlight w:val="none"/>
        </w:rPr>
      </w:pPr>
      <w:r>
        <w:rPr>
          <w:rFonts w:hint="eastAsia" w:ascii="宋体" w:hAnsi="宋体" w:eastAsia="宋体" w:cs="宋体"/>
          <w:color w:val="auto"/>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3"/>
                    <a:stretch>
                      <a:fillRect/>
                    </a:stretch>
                  </pic:blipFill>
                  <pic:spPr>
                    <a:xfrm>
                      <a:off x="0" y="0"/>
                      <a:ext cx="6239510" cy="8013700"/>
                    </a:xfrm>
                    <a:prstGeom prst="rect">
                      <a:avLst/>
                    </a:prstGeom>
                    <a:noFill/>
                    <a:ln>
                      <a:noFill/>
                    </a:ln>
                  </pic:spPr>
                </pic:pic>
              </a:graphicData>
            </a:graphic>
          </wp:inline>
        </w:drawing>
      </w:r>
    </w:p>
    <w:p w14:paraId="1386CCA3">
      <w:pPr>
        <w:pageBreakBefore w:val="0"/>
        <w:kinsoku/>
        <w:wordWrap w:val="0"/>
        <w:overflowPunct/>
        <w:topLinePunct w:val="0"/>
        <w:bidi w:val="0"/>
        <w:spacing w:line="220" w:lineRule="auto"/>
        <w:rPr>
          <w:rFonts w:hint="eastAsia" w:ascii="宋体" w:hAnsi="宋体" w:eastAsia="宋体" w:cs="宋体"/>
          <w:color w:val="auto"/>
          <w:sz w:val="24"/>
          <w:szCs w:val="24"/>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813AADB">
      <w:pPr>
        <w:pageBreakBefore w:val="0"/>
        <w:kinsoku/>
        <w:wordWrap w:val="0"/>
        <w:overflowPunct/>
        <w:topLinePunct w:val="0"/>
        <w:bidi w:val="0"/>
        <w:spacing w:line="10744" w:lineRule="exact"/>
        <w:rPr>
          <w:rFonts w:hint="eastAsia" w:ascii="宋体" w:hAnsi="宋体" w:eastAsia="宋体" w:cs="宋体"/>
          <w:color w:val="auto"/>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4"/>
                    <a:stretch>
                      <a:fillRect/>
                    </a:stretch>
                  </pic:blipFill>
                  <pic:spPr>
                    <a:xfrm>
                      <a:off x="0" y="0"/>
                      <a:ext cx="6285865" cy="6925310"/>
                    </a:xfrm>
                    <a:prstGeom prst="rect">
                      <a:avLst/>
                    </a:prstGeom>
                    <a:noFill/>
                    <a:ln>
                      <a:noFill/>
                    </a:ln>
                  </pic:spPr>
                </pic:pic>
              </a:graphicData>
            </a:graphic>
          </wp:inline>
        </w:drawing>
      </w:r>
    </w:p>
    <w:p w14:paraId="168C9B33">
      <w:pPr>
        <w:pageBreakBefore w:val="0"/>
        <w:kinsoku/>
        <w:wordWrap w:val="0"/>
        <w:overflowPunct/>
        <w:topLinePunct w:val="0"/>
        <w:bidi w:val="0"/>
        <w:spacing w:before="78" w:line="220" w:lineRule="auto"/>
        <w:outlineLvl w:val="2"/>
        <w:rPr>
          <w:rFonts w:hint="eastAsia" w:ascii="宋体" w:hAnsi="宋体" w:eastAsia="宋体" w:cs="宋体"/>
          <w:b/>
          <w:bCs/>
          <w:color w:val="auto"/>
          <w:spacing w:val="-4"/>
          <w:sz w:val="24"/>
          <w:szCs w:val="24"/>
          <w:highlight w:val="none"/>
        </w:rPr>
      </w:pPr>
      <w:bookmarkStart w:id="268" w:name="_Toc21232"/>
      <w:r>
        <w:rPr>
          <w:rFonts w:hint="eastAsia" w:ascii="宋体" w:hAnsi="宋体" w:eastAsia="宋体" w:cs="宋体"/>
          <w:b/>
          <w:bCs/>
          <w:color w:val="auto"/>
          <w:spacing w:val="-4"/>
          <w:sz w:val="24"/>
          <w:szCs w:val="24"/>
          <w:highlight w:val="none"/>
        </w:rPr>
        <w:t>格式十</w:t>
      </w:r>
      <w:r>
        <w:rPr>
          <w:rFonts w:hint="eastAsia" w:ascii="宋体" w:hAnsi="宋体" w:eastAsia="宋体" w:cs="宋体"/>
          <w:b/>
          <w:bCs/>
          <w:color w:val="auto"/>
          <w:spacing w:val="-4"/>
          <w:sz w:val="24"/>
          <w:szCs w:val="24"/>
          <w:highlight w:val="none"/>
          <w:lang w:val="en-US" w:eastAsia="zh-CN"/>
        </w:rPr>
        <w:t>三</w:t>
      </w:r>
      <w:r>
        <w:rPr>
          <w:rFonts w:hint="eastAsia" w:ascii="宋体" w:hAnsi="宋体" w:eastAsia="宋体" w:cs="宋体"/>
          <w:b/>
          <w:bCs/>
          <w:color w:val="auto"/>
          <w:spacing w:val="-4"/>
          <w:sz w:val="24"/>
          <w:szCs w:val="24"/>
          <w:highlight w:val="none"/>
        </w:rPr>
        <w:t xml:space="preserve">  原件一览表</w:t>
      </w:r>
      <w:bookmarkEnd w:id="268"/>
    </w:p>
    <w:tbl>
      <w:tblPr>
        <w:tblStyle w:val="14"/>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096EF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1C6E7B85">
            <w:pPr>
              <w:pageBreakBefore w:val="0"/>
              <w:kinsoku/>
              <w:wordWrap w:val="0"/>
              <w:overflowPunct/>
              <w:topLinePunct w:val="0"/>
              <w:bidi w:val="0"/>
              <w:spacing w:before="132" w:line="220" w:lineRule="auto"/>
              <w:ind w:left="3965"/>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原件一览表</w:t>
            </w:r>
          </w:p>
        </w:tc>
      </w:tr>
      <w:tr w14:paraId="59C97A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top"/>
          </w:tcPr>
          <w:p w14:paraId="295EBC76">
            <w:pPr>
              <w:pStyle w:val="21"/>
              <w:pageBreakBefore w:val="0"/>
              <w:kinsoku/>
              <w:wordWrap w:val="0"/>
              <w:overflowPunct/>
              <w:topLinePunct w:val="0"/>
              <w:bidi w:val="0"/>
              <w:spacing w:line="253" w:lineRule="auto"/>
              <w:rPr>
                <w:rFonts w:hint="eastAsia" w:ascii="宋体" w:hAnsi="宋体" w:eastAsia="宋体" w:cs="宋体"/>
                <w:color w:val="auto"/>
                <w:sz w:val="24"/>
                <w:szCs w:val="24"/>
                <w:highlight w:val="none"/>
              </w:rPr>
            </w:pPr>
          </w:p>
          <w:p w14:paraId="47396859">
            <w:pPr>
              <w:pageBreakBefore w:val="0"/>
              <w:kinsoku/>
              <w:wordWrap w:val="0"/>
              <w:overflowPunct/>
              <w:topLinePunct w:val="0"/>
              <w:bidi w:val="0"/>
              <w:spacing w:before="62"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工程名称</w:t>
            </w:r>
          </w:p>
        </w:tc>
        <w:tc>
          <w:tcPr>
            <w:tcW w:w="6816" w:type="dxa"/>
            <w:gridSpan w:val="6"/>
            <w:vAlign w:val="top"/>
          </w:tcPr>
          <w:p w14:paraId="7B225A4B">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7AE460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4265B267">
            <w:pPr>
              <w:pageBreakBefore w:val="0"/>
              <w:kinsoku/>
              <w:wordWrap w:val="0"/>
              <w:overflowPunct/>
              <w:topLinePunct w:val="0"/>
              <w:bidi w:val="0"/>
              <w:spacing w:before="150"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r>
              <w:rPr>
                <w:rFonts w:hint="eastAsia" w:ascii="宋体" w:hAnsi="宋体" w:eastAsia="宋体" w:cs="宋体"/>
                <w:color w:val="auto"/>
                <w:spacing w:val="5"/>
                <w:sz w:val="24"/>
                <w:szCs w:val="24"/>
                <w:highlight w:val="none"/>
              </w:rPr>
              <w:t>(请务必填写单位全称)</w:t>
            </w:r>
          </w:p>
        </w:tc>
        <w:tc>
          <w:tcPr>
            <w:tcW w:w="6816" w:type="dxa"/>
            <w:gridSpan w:val="6"/>
            <w:vAlign w:val="top"/>
          </w:tcPr>
          <w:p w14:paraId="461DE122">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36A18C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75E2154B">
            <w:pPr>
              <w:pageBreakBefore w:val="0"/>
              <w:kinsoku/>
              <w:wordWrap w:val="0"/>
              <w:overflowPunct/>
              <w:topLinePunct w:val="0"/>
              <w:bidi w:val="0"/>
              <w:spacing w:before="151"/>
              <w:ind w:right="1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投标人法定代表人或其委托代理人签名</w:t>
            </w:r>
          </w:p>
        </w:tc>
        <w:tc>
          <w:tcPr>
            <w:tcW w:w="2689" w:type="dxa"/>
            <w:gridSpan w:val="2"/>
            <w:vAlign w:val="top"/>
          </w:tcPr>
          <w:p w14:paraId="578C1669">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499" w:type="dxa"/>
            <w:gridSpan w:val="2"/>
            <w:vAlign w:val="top"/>
          </w:tcPr>
          <w:p w14:paraId="01659EE4">
            <w:pPr>
              <w:pageBreakBefore w:val="0"/>
              <w:kinsoku/>
              <w:wordWrap w:val="0"/>
              <w:overflowPunct/>
              <w:topLinePunct w:val="0"/>
              <w:bidi w:val="0"/>
              <w:spacing w:before="151" w:line="312" w:lineRule="auto"/>
              <w:ind w:right="17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手机</w:t>
            </w:r>
            <w:r>
              <w:rPr>
                <w:rFonts w:hint="eastAsia" w:ascii="宋体" w:hAnsi="宋体" w:eastAsia="宋体" w:cs="宋体"/>
                <w:color w:val="auto"/>
                <w:spacing w:val="2"/>
                <w:sz w:val="24"/>
                <w:szCs w:val="24"/>
                <w:highlight w:val="none"/>
              </w:rPr>
              <w:t>号码</w:t>
            </w:r>
          </w:p>
        </w:tc>
        <w:tc>
          <w:tcPr>
            <w:tcW w:w="2628" w:type="dxa"/>
            <w:gridSpan w:val="2"/>
            <w:vAlign w:val="top"/>
          </w:tcPr>
          <w:p w14:paraId="128A2057">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651110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166D45BA">
            <w:pPr>
              <w:pageBreakBefore w:val="0"/>
              <w:kinsoku/>
              <w:wordWrap w:val="0"/>
              <w:overflowPunct/>
              <w:topLinePunct w:val="0"/>
              <w:bidi w:val="0"/>
              <w:spacing w:before="62" w:line="228" w:lineRule="auto"/>
              <w:ind w:left="336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递交的证明材料原件如下：</w:t>
            </w:r>
          </w:p>
        </w:tc>
      </w:tr>
      <w:tr w14:paraId="6A6F2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07314B8A">
            <w:pPr>
              <w:pStyle w:val="21"/>
              <w:pageBreakBefore w:val="0"/>
              <w:kinsoku/>
              <w:wordWrap w:val="0"/>
              <w:overflowPunct/>
              <w:topLinePunct w:val="0"/>
              <w:bidi w:val="0"/>
              <w:spacing w:line="257" w:lineRule="auto"/>
              <w:rPr>
                <w:rFonts w:hint="eastAsia" w:ascii="宋体" w:hAnsi="宋体" w:eastAsia="宋体" w:cs="宋体"/>
                <w:color w:val="auto"/>
                <w:sz w:val="24"/>
                <w:szCs w:val="24"/>
                <w:highlight w:val="none"/>
              </w:rPr>
            </w:pPr>
          </w:p>
          <w:p w14:paraId="5581F312">
            <w:pPr>
              <w:pageBreakBefore w:val="0"/>
              <w:kinsoku/>
              <w:wordWrap w:val="0"/>
              <w:overflowPunct/>
              <w:topLinePunct w:val="0"/>
              <w:bidi w:val="0"/>
              <w:spacing w:before="62" w:line="230" w:lineRule="auto"/>
              <w:ind w:left="15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5304" w:type="dxa"/>
            <w:gridSpan w:val="4"/>
            <w:vAlign w:val="top"/>
          </w:tcPr>
          <w:p w14:paraId="6E8FCB44">
            <w:pPr>
              <w:pStyle w:val="21"/>
              <w:pageBreakBefore w:val="0"/>
              <w:kinsoku/>
              <w:wordWrap w:val="0"/>
              <w:overflowPunct/>
              <w:topLinePunct w:val="0"/>
              <w:bidi w:val="0"/>
              <w:spacing w:line="257" w:lineRule="auto"/>
              <w:rPr>
                <w:rFonts w:hint="eastAsia" w:ascii="宋体" w:hAnsi="宋体" w:eastAsia="宋体" w:cs="宋体"/>
                <w:color w:val="auto"/>
                <w:sz w:val="24"/>
                <w:szCs w:val="24"/>
                <w:highlight w:val="none"/>
              </w:rPr>
            </w:pPr>
          </w:p>
          <w:p w14:paraId="5B666611">
            <w:pPr>
              <w:pageBreakBefore w:val="0"/>
              <w:kinsoku/>
              <w:wordWrap w:val="0"/>
              <w:overflowPunct/>
              <w:topLinePunct w:val="0"/>
              <w:bidi w:val="0"/>
              <w:spacing w:before="61" w:line="228" w:lineRule="auto"/>
              <w:ind w:left="176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证明材料原件名称</w:t>
            </w:r>
          </w:p>
        </w:tc>
        <w:tc>
          <w:tcPr>
            <w:tcW w:w="1771" w:type="dxa"/>
            <w:gridSpan w:val="2"/>
            <w:vAlign w:val="top"/>
          </w:tcPr>
          <w:p w14:paraId="7C34E44A">
            <w:pPr>
              <w:pStyle w:val="21"/>
              <w:pageBreakBefore w:val="0"/>
              <w:kinsoku/>
              <w:wordWrap w:val="0"/>
              <w:overflowPunct/>
              <w:topLinePunct w:val="0"/>
              <w:bidi w:val="0"/>
              <w:spacing w:line="256" w:lineRule="auto"/>
              <w:rPr>
                <w:rFonts w:hint="eastAsia" w:ascii="宋体" w:hAnsi="宋体" w:eastAsia="宋体" w:cs="宋体"/>
                <w:color w:val="auto"/>
                <w:sz w:val="24"/>
                <w:szCs w:val="24"/>
                <w:highlight w:val="none"/>
              </w:rPr>
            </w:pPr>
          </w:p>
          <w:p w14:paraId="7FF59202">
            <w:pPr>
              <w:pageBreakBefore w:val="0"/>
              <w:kinsoku/>
              <w:wordWrap w:val="0"/>
              <w:overflowPunct/>
              <w:topLinePunct w:val="0"/>
              <w:bidi w:val="0"/>
              <w:spacing w:before="62" w:line="230" w:lineRule="auto"/>
              <w:ind w:left="66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单位</w:t>
            </w:r>
          </w:p>
        </w:tc>
        <w:tc>
          <w:tcPr>
            <w:tcW w:w="1637" w:type="dxa"/>
            <w:vAlign w:val="top"/>
          </w:tcPr>
          <w:p w14:paraId="73A683D8">
            <w:pPr>
              <w:pStyle w:val="21"/>
              <w:pageBreakBefore w:val="0"/>
              <w:kinsoku/>
              <w:wordWrap w:val="0"/>
              <w:overflowPunct/>
              <w:topLinePunct w:val="0"/>
              <w:bidi w:val="0"/>
              <w:spacing w:line="256" w:lineRule="auto"/>
              <w:rPr>
                <w:rFonts w:hint="eastAsia" w:ascii="宋体" w:hAnsi="宋体" w:eastAsia="宋体" w:cs="宋体"/>
                <w:color w:val="auto"/>
                <w:sz w:val="24"/>
                <w:szCs w:val="24"/>
                <w:highlight w:val="none"/>
              </w:rPr>
            </w:pPr>
          </w:p>
          <w:p w14:paraId="66B6886C">
            <w:pPr>
              <w:pageBreakBefore w:val="0"/>
              <w:kinsoku/>
              <w:wordWrap w:val="0"/>
              <w:overflowPunct/>
              <w:topLinePunct w:val="0"/>
              <w:bidi w:val="0"/>
              <w:spacing w:before="62" w:line="229" w:lineRule="auto"/>
              <w:ind w:left="59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数量</w:t>
            </w:r>
          </w:p>
        </w:tc>
      </w:tr>
      <w:tr w14:paraId="45F8F8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7911FA08">
            <w:pPr>
              <w:pageBreakBefore w:val="0"/>
              <w:kinsoku/>
              <w:wordWrap w:val="0"/>
              <w:overflowPunct/>
              <w:topLinePunct w:val="0"/>
              <w:bidi w:val="0"/>
              <w:spacing w:before="287" w:line="184" w:lineRule="auto"/>
              <w:ind w:left="3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304" w:type="dxa"/>
            <w:gridSpan w:val="4"/>
            <w:vAlign w:val="top"/>
          </w:tcPr>
          <w:p w14:paraId="39E65176">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771" w:type="dxa"/>
            <w:gridSpan w:val="2"/>
            <w:vAlign w:val="top"/>
          </w:tcPr>
          <w:p w14:paraId="7168FCC1">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637" w:type="dxa"/>
            <w:vAlign w:val="top"/>
          </w:tcPr>
          <w:p w14:paraId="0A86B06F">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5A16A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0BE3C710">
            <w:pPr>
              <w:pageBreakBefore w:val="0"/>
              <w:kinsoku/>
              <w:wordWrap w:val="0"/>
              <w:overflowPunct/>
              <w:topLinePunct w:val="0"/>
              <w:bidi w:val="0"/>
              <w:spacing w:before="288" w:line="183" w:lineRule="auto"/>
              <w:ind w:left="3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304" w:type="dxa"/>
            <w:gridSpan w:val="4"/>
            <w:vAlign w:val="top"/>
          </w:tcPr>
          <w:p w14:paraId="04A8B72A">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771" w:type="dxa"/>
            <w:gridSpan w:val="2"/>
            <w:vAlign w:val="top"/>
          </w:tcPr>
          <w:p w14:paraId="7BD1D335">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637" w:type="dxa"/>
            <w:vAlign w:val="top"/>
          </w:tcPr>
          <w:p w14:paraId="74734796">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621D6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6F346157">
            <w:pPr>
              <w:pageBreakBefore w:val="0"/>
              <w:kinsoku/>
              <w:wordWrap w:val="0"/>
              <w:overflowPunct/>
              <w:topLinePunct w:val="0"/>
              <w:bidi w:val="0"/>
              <w:spacing w:before="287" w:line="183" w:lineRule="auto"/>
              <w:ind w:left="30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304" w:type="dxa"/>
            <w:gridSpan w:val="4"/>
            <w:vAlign w:val="top"/>
          </w:tcPr>
          <w:p w14:paraId="6D49235F">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771" w:type="dxa"/>
            <w:gridSpan w:val="2"/>
            <w:vAlign w:val="top"/>
          </w:tcPr>
          <w:p w14:paraId="02FF66A5">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637" w:type="dxa"/>
            <w:vAlign w:val="top"/>
          </w:tcPr>
          <w:p w14:paraId="177B8CBE">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793ECC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5B061D3A">
            <w:pPr>
              <w:pStyle w:val="21"/>
              <w:pageBreakBefore w:val="0"/>
              <w:kinsoku/>
              <w:wordWrap w:val="0"/>
              <w:overflowPunct/>
              <w:topLinePunct w:val="0"/>
              <w:bidi w:val="0"/>
              <w:spacing w:line="348" w:lineRule="auto"/>
              <w:rPr>
                <w:rFonts w:hint="eastAsia" w:ascii="宋体" w:hAnsi="宋体" w:eastAsia="宋体" w:cs="宋体"/>
                <w:color w:val="auto"/>
                <w:sz w:val="24"/>
                <w:szCs w:val="24"/>
                <w:highlight w:val="none"/>
              </w:rPr>
            </w:pPr>
          </w:p>
          <w:p w14:paraId="02E200D6">
            <w:pPr>
              <w:pageBreakBefore w:val="0"/>
              <w:kinsoku/>
              <w:wordWrap w:val="0"/>
              <w:overflowPunct/>
              <w:topLinePunct w:val="0"/>
              <w:bidi w:val="0"/>
              <w:spacing w:before="78" w:line="99" w:lineRule="exact"/>
              <w:ind w:left="186"/>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5304" w:type="dxa"/>
            <w:gridSpan w:val="4"/>
            <w:vAlign w:val="top"/>
          </w:tcPr>
          <w:p w14:paraId="536D7121">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771" w:type="dxa"/>
            <w:gridSpan w:val="2"/>
            <w:vAlign w:val="top"/>
          </w:tcPr>
          <w:p w14:paraId="0DCF009C">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637" w:type="dxa"/>
            <w:vAlign w:val="top"/>
          </w:tcPr>
          <w:p w14:paraId="685D7DF6">
            <w:pPr>
              <w:pStyle w:val="21"/>
              <w:pageBreakBefore w:val="0"/>
              <w:kinsoku/>
              <w:wordWrap w:val="0"/>
              <w:overflowPunct/>
              <w:topLinePunct w:val="0"/>
              <w:bidi w:val="0"/>
              <w:rPr>
                <w:rFonts w:hint="eastAsia" w:ascii="宋体" w:hAnsi="宋体" w:eastAsia="宋体" w:cs="宋体"/>
                <w:color w:val="auto"/>
                <w:sz w:val="24"/>
                <w:szCs w:val="24"/>
                <w:highlight w:val="none"/>
              </w:rPr>
            </w:pPr>
          </w:p>
        </w:tc>
      </w:tr>
      <w:tr w14:paraId="324E4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04F8D1F1">
            <w:pPr>
              <w:pStyle w:val="21"/>
              <w:pageBreakBefore w:val="0"/>
              <w:kinsoku/>
              <w:wordWrap w:val="0"/>
              <w:overflowPunct/>
              <w:topLinePunct w:val="0"/>
              <w:bidi w:val="0"/>
              <w:spacing w:line="274" w:lineRule="auto"/>
              <w:rPr>
                <w:rFonts w:hint="eastAsia" w:ascii="宋体" w:hAnsi="宋体" w:eastAsia="宋体" w:cs="宋体"/>
                <w:color w:val="auto"/>
                <w:sz w:val="24"/>
                <w:szCs w:val="24"/>
                <w:highlight w:val="none"/>
              </w:rPr>
            </w:pPr>
          </w:p>
          <w:p w14:paraId="7C7AA007">
            <w:pPr>
              <w:pStyle w:val="21"/>
              <w:pageBreakBefore w:val="0"/>
              <w:kinsoku/>
              <w:wordWrap w:val="0"/>
              <w:overflowPunct/>
              <w:topLinePunct w:val="0"/>
              <w:bidi w:val="0"/>
              <w:spacing w:line="275" w:lineRule="auto"/>
              <w:rPr>
                <w:rFonts w:hint="eastAsia" w:ascii="宋体" w:hAnsi="宋体" w:eastAsia="宋体" w:cs="宋体"/>
                <w:color w:val="auto"/>
                <w:sz w:val="24"/>
                <w:szCs w:val="24"/>
                <w:highlight w:val="none"/>
              </w:rPr>
            </w:pPr>
          </w:p>
          <w:p w14:paraId="25B22B5E">
            <w:pPr>
              <w:pStyle w:val="21"/>
              <w:pageBreakBefore w:val="0"/>
              <w:kinsoku/>
              <w:wordWrap w:val="0"/>
              <w:overflowPunct/>
              <w:topLinePunct w:val="0"/>
              <w:bidi w:val="0"/>
              <w:spacing w:line="275" w:lineRule="auto"/>
              <w:rPr>
                <w:rFonts w:hint="eastAsia" w:ascii="宋体" w:hAnsi="宋体" w:eastAsia="宋体" w:cs="宋体"/>
                <w:color w:val="auto"/>
                <w:sz w:val="24"/>
                <w:szCs w:val="24"/>
                <w:highlight w:val="none"/>
              </w:rPr>
            </w:pPr>
          </w:p>
          <w:p w14:paraId="78D89547">
            <w:pPr>
              <w:pageBreakBefore w:val="0"/>
              <w:kinsoku/>
              <w:wordWrap w:val="0"/>
              <w:overflowPunct/>
              <w:topLinePunct w:val="0"/>
              <w:bidi w:val="0"/>
              <w:spacing w:before="62" w:line="233" w:lineRule="auto"/>
              <w:ind w:left="2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注意：</w:t>
            </w:r>
          </w:p>
        </w:tc>
        <w:tc>
          <w:tcPr>
            <w:tcW w:w="8712" w:type="dxa"/>
            <w:gridSpan w:val="7"/>
            <w:vAlign w:val="top"/>
          </w:tcPr>
          <w:p w14:paraId="18C3922D">
            <w:pPr>
              <w:pageBreakBefore w:val="0"/>
              <w:kinsoku/>
              <w:wordWrap w:val="0"/>
              <w:overflowPunct/>
              <w:topLinePunct w:val="0"/>
              <w:bidi w:val="0"/>
              <w:spacing w:before="148"/>
              <w:ind w:left="111" w:right="107"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该表一式两份，两份表格投标人均需如实填写各项内容，两份表格的填写内容应一致。一</w:t>
            </w:r>
            <w:r>
              <w:rPr>
                <w:rFonts w:hint="eastAsia" w:ascii="宋体" w:hAnsi="宋体" w:eastAsia="宋体" w:cs="宋体"/>
                <w:color w:val="auto"/>
                <w:spacing w:val="9"/>
                <w:sz w:val="24"/>
                <w:szCs w:val="24"/>
                <w:highlight w:val="none"/>
              </w:rPr>
              <w:t>份贴于装纳原件的文件袋（箱</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9"/>
                <w:sz w:val="24"/>
                <w:szCs w:val="24"/>
                <w:highlight w:val="none"/>
              </w:rPr>
              <w:t>一份在递交文件袋（箱）时由招标代理机构、投标人签字后交招标代理机构。招标代理机构仅代签收装纳原件的文件袋（箱</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9"/>
                <w:sz w:val="24"/>
                <w:szCs w:val="24"/>
                <w:highlight w:val="none"/>
              </w:rPr>
              <w:t>而不对文件袋（箱）中资</w:t>
            </w:r>
            <w:r>
              <w:rPr>
                <w:rFonts w:hint="eastAsia" w:ascii="宋体" w:hAnsi="宋体" w:eastAsia="宋体" w:cs="宋体"/>
                <w:color w:val="auto"/>
                <w:spacing w:val="5"/>
                <w:sz w:val="24"/>
                <w:szCs w:val="24"/>
                <w:highlight w:val="none"/>
              </w:rPr>
              <w:t>料的数量、</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内容及真实性负责。</w:t>
            </w:r>
          </w:p>
        </w:tc>
      </w:tr>
      <w:tr w14:paraId="5BABE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1D2BB987">
            <w:pPr>
              <w:pStyle w:val="21"/>
              <w:pageBreakBefore w:val="0"/>
              <w:kinsoku/>
              <w:wordWrap w:val="0"/>
              <w:overflowPunct/>
              <w:topLinePunct w:val="0"/>
              <w:bidi w:val="0"/>
              <w:spacing w:line="240" w:lineRule="auto"/>
              <w:rPr>
                <w:rFonts w:hint="eastAsia" w:ascii="宋体" w:hAnsi="宋体" w:eastAsia="宋体" w:cs="宋体"/>
                <w:color w:val="auto"/>
                <w:sz w:val="24"/>
                <w:szCs w:val="24"/>
                <w:highlight w:val="none"/>
              </w:rPr>
            </w:pPr>
          </w:p>
          <w:p w14:paraId="14A5F96A">
            <w:pPr>
              <w:pageBreakBefore w:val="0"/>
              <w:kinsoku/>
              <w:wordWrap w:val="0"/>
              <w:overflowPunct/>
              <w:topLinePunct w:val="0"/>
              <w:bidi w:val="0"/>
              <w:spacing w:before="61" w:line="240" w:lineRule="auto"/>
              <w:ind w:left="760" w:right="153" w:hanging="600"/>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接收原件经办人</w:t>
            </w:r>
          </w:p>
          <w:p w14:paraId="4E9EC2D8">
            <w:pPr>
              <w:pageBreakBefore w:val="0"/>
              <w:kinsoku/>
              <w:wordWrap w:val="0"/>
              <w:overflowPunct/>
              <w:topLinePunct w:val="0"/>
              <w:bidi w:val="0"/>
              <w:spacing w:before="61" w:line="240" w:lineRule="auto"/>
              <w:ind w:left="760" w:right="153" w:hanging="6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(招标</w:t>
            </w:r>
            <w:r>
              <w:rPr>
                <w:rFonts w:hint="eastAsia" w:ascii="宋体" w:hAnsi="宋体" w:eastAsia="宋体" w:cs="宋体"/>
                <w:color w:val="auto"/>
                <w:spacing w:val="3"/>
                <w:sz w:val="24"/>
                <w:szCs w:val="24"/>
                <w:highlight w:val="none"/>
              </w:rPr>
              <w:t>代理)：</w:t>
            </w:r>
          </w:p>
        </w:tc>
        <w:tc>
          <w:tcPr>
            <w:tcW w:w="1725" w:type="dxa"/>
            <w:vAlign w:val="top"/>
          </w:tcPr>
          <w:p w14:paraId="30D94A7C">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683" w:type="dxa"/>
            <w:gridSpan w:val="2"/>
            <w:vAlign w:val="top"/>
          </w:tcPr>
          <w:p w14:paraId="76A44D1C">
            <w:pPr>
              <w:pStyle w:val="21"/>
              <w:pageBreakBefore w:val="0"/>
              <w:kinsoku/>
              <w:wordWrap w:val="0"/>
              <w:overflowPunct/>
              <w:topLinePunct w:val="0"/>
              <w:bidi w:val="0"/>
              <w:spacing w:line="288" w:lineRule="auto"/>
              <w:rPr>
                <w:rFonts w:hint="eastAsia" w:ascii="宋体" w:hAnsi="宋体" w:eastAsia="宋体" w:cs="宋体"/>
                <w:color w:val="auto"/>
                <w:sz w:val="24"/>
                <w:szCs w:val="24"/>
                <w:highlight w:val="none"/>
              </w:rPr>
            </w:pPr>
          </w:p>
          <w:p w14:paraId="5BD3A69A">
            <w:pPr>
              <w:pStyle w:val="21"/>
              <w:pageBreakBefore w:val="0"/>
              <w:kinsoku/>
              <w:wordWrap w:val="0"/>
              <w:overflowPunct/>
              <w:topLinePunct w:val="0"/>
              <w:bidi w:val="0"/>
              <w:spacing w:line="289" w:lineRule="auto"/>
              <w:rPr>
                <w:rFonts w:hint="eastAsia" w:ascii="宋体" w:hAnsi="宋体" w:eastAsia="宋体" w:cs="宋体"/>
                <w:color w:val="auto"/>
                <w:sz w:val="24"/>
                <w:szCs w:val="24"/>
                <w:highlight w:val="none"/>
              </w:rPr>
            </w:pPr>
          </w:p>
          <w:p w14:paraId="42A3A6F8">
            <w:pPr>
              <w:pageBreakBefore w:val="0"/>
              <w:kinsoku/>
              <w:wordWrap w:val="0"/>
              <w:overflowPunct/>
              <w:topLinePunct w:val="0"/>
              <w:bidi w:val="0"/>
              <w:spacing w:before="62" w:line="229" w:lineRule="auto"/>
              <w:ind w:left="315"/>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接收时间：</w:t>
            </w:r>
          </w:p>
        </w:tc>
        <w:tc>
          <w:tcPr>
            <w:tcW w:w="3408" w:type="dxa"/>
            <w:gridSpan w:val="3"/>
            <w:vAlign w:val="top"/>
          </w:tcPr>
          <w:p w14:paraId="0C366FD6">
            <w:pPr>
              <w:pStyle w:val="21"/>
              <w:pageBreakBefore w:val="0"/>
              <w:kinsoku/>
              <w:wordWrap w:val="0"/>
              <w:overflowPunct/>
              <w:topLinePunct w:val="0"/>
              <w:bidi w:val="0"/>
              <w:spacing w:line="288" w:lineRule="auto"/>
              <w:rPr>
                <w:rFonts w:hint="eastAsia" w:ascii="宋体" w:hAnsi="宋体" w:eastAsia="宋体" w:cs="宋体"/>
                <w:color w:val="auto"/>
                <w:sz w:val="24"/>
                <w:szCs w:val="24"/>
                <w:highlight w:val="none"/>
              </w:rPr>
            </w:pPr>
          </w:p>
          <w:p w14:paraId="7E762E7A">
            <w:pPr>
              <w:pStyle w:val="21"/>
              <w:pageBreakBefore w:val="0"/>
              <w:kinsoku/>
              <w:wordWrap w:val="0"/>
              <w:overflowPunct/>
              <w:topLinePunct w:val="0"/>
              <w:bidi w:val="0"/>
              <w:spacing w:line="289" w:lineRule="auto"/>
              <w:rPr>
                <w:rFonts w:hint="eastAsia" w:ascii="宋体" w:hAnsi="宋体" w:eastAsia="宋体" w:cs="宋体"/>
                <w:color w:val="auto"/>
                <w:sz w:val="24"/>
                <w:szCs w:val="24"/>
                <w:highlight w:val="none"/>
              </w:rPr>
            </w:pPr>
          </w:p>
          <w:p w14:paraId="77DFBA6D">
            <w:pPr>
              <w:pageBreakBefore w:val="0"/>
              <w:kinsoku/>
              <w:wordWrap w:val="0"/>
              <w:overflowPunct/>
              <w:topLinePunct w:val="0"/>
              <w:bidi w:val="0"/>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分</w:t>
            </w:r>
          </w:p>
        </w:tc>
      </w:tr>
      <w:tr w14:paraId="05C4BD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75D870FC">
            <w:pPr>
              <w:pageBreakBefore w:val="0"/>
              <w:kinsoku/>
              <w:wordWrap w:val="0"/>
              <w:overflowPunct/>
              <w:topLinePunct w:val="0"/>
              <w:bidi w:val="0"/>
              <w:spacing w:before="155" w:line="240" w:lineRule="auto"/>
              <w:ind w:left="861" w:right="153" w:hanging="699"/>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退还原件接收人</w:t>
            </w:r>
          </w:p>
          <w:p w14:paraId="19E3EA06">
            <w:pPr>
              <w:pageBreakBefore w:val="0"/>
              <w:kinsoku/>
              <w:wordWrap w:val="0"/>
              <w:overflowPunct/>
              <w:topLinePunct w:val="0"/>
              <w:bidi w:val="0"/>
              <w:spacing w:before="155" w:line="240" w:lineRule="auto"/>
              <w:ind w:left="861" w:right="153" w:hanging="69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w:t>
            </w:r>
            <w:r>
              <w:rPr>
                <w:rFonts w:hint="eastAsia" w:ascii="宋体" w:hAnsi="宋体" w:eastAsia="宋体" w:cs="宋体"/>
                <w:color w:val="auto"/>
                <w:spacing w:val="2"/>
                <w:sz w:val="24"/>
                <w:szCs w:val="24"/>
                <w:highlight w:val="none"/>
              </w:rPr>
              <w:t>人)：</w:t>
            </w:r>
          </w:p>
        </w:tc>
        <w:tc>
          <w:tcPr>
            <w:tcW w:w="1725" w:type="dxa"/>
            <w:vAlign w:val="top"/>
          </w:tcPr>
          <w:p w14:paraId="2FBC4ECD">
            <w:pPr>
              <w:pStyle w:val="21"/>
              <w:pageBreakBefore w:val="0"/>
              <w:kinsoku/>
              <w:wordWrap w:val="0"/>
              <w:overflowPunct/>
              <w:topLinePunct w:val="0"/>
              <w:bidi w:val="0"/>
              <w:rPr>
                <w:rFonts w:hint="eastAsia" w:ascii="宋体" w:hAnsi="宋体" w:eastAsia="宋体" w:cs="宋体"/>
                <w:color w:val="auto"/>
                <w:sz w:val="24"/>
                <w:szCs w:val="24"/>
                <w:highlight w:val="none"/>
              </w:rPr>
            </w:pPr>
          </w:p>
        </w:tc>
        <w:tc>
          <w:tcPr>
            <w:tcW w:w="1683" w:type="dxa"/>
            <w:gridSpan w:val="2"/>
            <w:vAlign w:val="top"/>
          </w:tcPr>
          <w:p w14:paraId="0B4C8580">
            <w:pPr>
              <w:pStyle w:val="21"/>
              <w:pageBreakBefore w:val="0"/>
              <w:kinsoku/>
              <w:wordWrap w:val="0"/>
              <w:overflowPunct/>
              <w:topLinePunct w:val="0"/>
              <w:bidi w:val="0"/>
              <w:spacing w:line="336" w:lineRule="auto"/>
              <w:rPr>
                <w:rFonts w:hint="eastAsia" w:ascii="宋体" w:hAnsi="宋体" w:eastAsia="宋体" w:cs="宋体"/>
                <w:color w:val="auto"/>
                <w:sz w:val="24"/>
                <w:szCs w:val="24"/>
                <w:highlight w:val="none"/>
              </w:rPr>
            </w:pPr>
          </w:p>
          <w:p w14:paraId="3906D1A1">
            <w:pPr>
              <w:pageBreakBefore w:val="0"/>
              <w:kinsoku/>
              <w:wordWrap w:val="0"/>
              <w:overflowPunct/>
              <w:topLinePunct w:val="0"/>
              <w:bidi w:val="0"/>
              <w:spacing w:before="61" w:line="231" w:lineRule="auto"/>
              <w:ind w:left="31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退还时间：</w:t>
            </w:r>
          </w:p>
        </w:tc>
        <w:tc>
          <w:tcPr>
            <w:tcW w:w="3408" w:type="dxa"/>
            <w:gridSpan w:val="3"/>
            <w:vAlign w:val="top"/>
          </w:tcPr>
          <w:p w14:paraId="36714926">
            <w:pPr>
              <w:pStyle w:val="21"/>
              <w:pageBreakBefore w:val="0"/>
              <w:kinsoku/>
              <w:wordWrap w:val="0"/>
              <w:overflowPunct/>
              <w:topLinePunct w:val="0"/>
              <w:bidi w:val="0"/>
              <w:spacing w:line="335" w:lineRule="auto"/>
              <w:rPr>
                <w:rFonts w:hint="eastAsia" w:ascii="宋体" w:hAnsi="宋体" w:eastAsia="宋体" w:cs="宋体"/>
                <w:color w:val="auto"/>
                <w:sz w:val="24"/>
                <w:szCs w:val="24"/>
                <w:highlight w:val="none"/>
              </w:rPr>
            </w:pPr>
          </w:p>
          <w:p w14:paraId="2538A7C2">
            <w:pPr>
              <w:pageBreakBefore w:val="0"/>
              <w:kinsoku/>
              <w:wordWrap w:val="0"/>
              <w:overflowPunct/>
              <w:topLinePunct w:val="0"/>
              <w:bidi w:val="0"/>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分</w:t>
            </w:r>
          </w:p>
        </w:tc>
      </w:tr>
    </w:tbl>
    <w:p w14:paraId="7C4C967F">
      <w:pPr>
        <w:pageBreakBefore w:val="0"/>
        <w:kinsoku/>
        <w:wordWrap w:val="0"/>
        <w:overflowPunct/>
        <w:topLinePunct w:val="0"/>
        <w:bidi w:val="0"/>
        <w:rPr>
          <w:rFonts w:hint="eastAsia" w:ascii="宋体" w:hAnsi="宋体" w:eastAsia="宋体" w:cs="宋体"/>
          <w:b/>
          <w:bCs/>
          <w:color w:val="auto"/>
          <w:spacing w:val="-3"/>
          <w:sz w:val="24"/>
          <w:szCs w:val="24"/>
          <w:highlight w:val="none"/>
        </w:rPr>
      </w:pPr>
      <w:bookmarkStart w:id="269" w:name="bookmark107"/>
      <w:bookmarkEnd w:id="269"/>
      <w:r>
        <w:rPr>
          <w:rFonts w:hint="eastAsia" w:ascii="宋体" w:hAnsi="宋体" w:eastAsia="宋体" w:cs="宋体"/>
          <w:b/>
          <w:bCs/>
          <w:color w:val="auto"/>
          <w:spacing w:val="-3"/>
          <w:sz w:val="24"/>
          <w:szCs w:val="24"/>
          <w:highlight w:val="none"/>
        </w:rPr>
        <w:br w:type="page"/>
      </w:r>
    </w:p>
    <w:p w14:paraId="24545604">
      <w:pPr>
        <w:keepNext w:val="0"/>
        <w:keepLines w:val="0"/>
        <w:pageBreakBefore w:val="0"/>
        <w:widowControl w:val="0"/>
        <w:kinsoku/>
        <w:wordWrap w:val="0"/>
        <w:overflowPunct/>
        <w:topLinePunct w:val="0"/>
        <w:autoSpaceDE/>
        <w:autoSpaceDN/>
        <w:bidi w:val="0"/>
        <w:adjustRightInd/>
        <w:snapToGrid/>
        <w:spacing w:line="380" w:lineRule="exact"/>
        <w:jc w:val="left"/>
        <w:textAlignment w:val="auto"/>
        <w:outlineLvl w:val="1"/>
        <w:rPr>
          <w:rFonts w:hint="eastAsia" w:ascii="宋体" w:hAnsi="宋体" w:eastAsia="宋体" w:cs="宋体"/>
          <w:b/>
          <w:bCs w:val="0"/>
          <w:color w:val="auto"/>
          <w:highlight w:val="none"/>
          <w:lang w:val="en-US" w:eastAsia="zh-CN"/>
        </w:rPr>
      </w:pPr>
      <w:bookmarkStart w:id="270" w:name="_Toc5994"/>
      <w:bookmarkStart w:id="271" w:name="_Toc3970"/>
      <w:r>
        <w:rPr>
          <w:rStyle w:val="20"/>
          <w:rFonts w:hint="eastAsia" w:ascii="Times New Roman" w:hAnsi="宋体" w:eastAsia="宋体" w:cs="Times New Roman"/>
          <w:b/>
          <w:bCs/>
          <w:color w:val="auto"/>
          <w:kern w:val="0"/>
          <w:sz w:val="21"/>
          <w:szCs w:val="21"/>
          <w:highlight w:val="none"/>
          <w:lang w:val="en-US" w:eastAsia="zh-CN" w:bidi="ar-SA"/>
        </w:rPr>
        <w:t>格式十四 助力项目承诺书</w:t>
      </w:r>
      <w:bookmarkEnd w:id="270"/>
      <w:bookmarkEnd w:id="271"/>
    </w:p>
    <w:p w14:paraId="422F43FF">
      <w:pPr>
        <w:keepNext w:val="0"/>
        <w:keepLines w:val="0"/>
        <w:pageBreakBefore w:val="0"/>
        <w:widowControl w:val="0"/>
        <w:kinsoku/>
        <w:wordWrap w:val="0"/>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助力项目承诺书</w:t>
      </w:r>
    </w:p>
    <w:p w14:paraId="32DCA120">
      <w:pPr>
        <w:keepNext w:val="0"/>
        <w:keepLines w:val="0"/>
        <w:pageBreakBefore w:val="0"/>
        <w:widowControl w:val="0"/>
        <w:kinsoku/>
        <w:wordWrap w:val="0"/>
        <w:overflowPunct/>
        <w:topLinePunct w:val="0"/>
        <w:autoSpaceDE/>
        <w:autoSpaceDN/>
        <w:bidi w:val="0"/>
        <w:adjustRightInd/>
        <w:snapToGrid/>
        <w:spacing w:line="380" w:lineRule="exact"/>
        <w:textAlignment w:val="auto"/>
        <w:rPr>
          <w:rFonts w:hint="eastAsia" w:ascii="宋体" w:hAnsi="宋体" w:eastAsia="宋体" w:cs="宋体"/>
          <w:color w:val="auto"/>
          <w:sz w:val="24"/>
          <w:szCs w:val="24"/>
          <w:highlight w:val="none"/>
        </w:rPr>
      </w:pPr>
    </w:p>
    <w:p w14:paraId="2C5C2EE5">
      <w:pPr>
        <w:keepNext w:val="0"/>
        <w:keepLines w:val="0"/>
        <w:pageBreakBefore w:val="0"/>
        <w:widowControl w:val="0"/>
        <w:kinsoku/>
        <w:wordWrap w:val="0"/>
        <w:overflowPunct/>
        <w:topLinePunct w:val="0"/>
        <w:autoSpaceDE/>
        <w:autoSpaceDN/>
        <w:bidi w:val="0"/>
        <w:adjustRightInd/>
        <w:snapToGrid/>
        <w:spacing w:line="4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致招标人：</w:t>
      </w:r>
      <w:r>
        <w:rPr>
          <w:rFonts w:hint="eastAsia" w:ascii="宋体" w:hAnsi="宋体" w:eastAsia="宋体" w:cs="宋体"/>
          <w:color w:val="auto"/>
          <w:sz w:val="21"/>
          <w:szCs w:val="21"/>
          <w:highlight w:val="none"/>
          <w:u w:val="single"/>
        </w:rPr>
        <w:t xml:space="preserve">                      </w:t>
      </w:r>
    </w:p>
    <w:p w14:paraId="29988C49">
      <w:pPr>
        <w:keepNext w:val="0"/>
        <w:keepLines w:val="0"/>
        <w:pageBreakBefore w:val="0"/>
        <w:widowControl w:val="0"/>
        <w:kinsoku/>
        <w:wordWrap w:val="0"/>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kern w:val="2"/>
          <w:sz w:val="21"/>
          <w:szCs w:val="21"/>
          <w:highlight w:val="none"/>
          <w:vertAlign w:val="baseline"/>
          <w:lang w:val="en-US" w:eastAsia="zh-CN" w:bidi="ar-SA"/>
        </w:rPr>
        <w:t>为落实省委、省政府关于实施“百县千镇万村高质量发展工程”（以下简称“百千</w:t>
      </w:r>
      <w:r>
        <w:rPr>
          <w:rFonts w:hint="eastAsia" w:ascii="宋体" w:hAnsi="宋体" w:eastAsia="宋体" w:cs="宋体"/>
          <w:color w:val="auto"/>
          <w:sz w:val="21"/>
          <w:szCs w:val="21"/>
          <w:highlight w:val="none"/>
          <w:u w:val="none"/>
          <w:lang w:val="en-US" w:eastAsia="zh-CN"/>
        </w:rPr>
        <w:t>万工程”）工作部署以及</w:t>
      </w:r>
      <w:r>
        <w:rPr>
          <w:rFonts w:hint="eastAsia" w:ascii="宋体" w:hAnsi="宋体" w:eastAsia="宋体" w:cs="宋体"/>
          <w:b w:val="0"/>
          <w:bCs w:val="0"/>
          <w:i w:val="0"/>
          <w:iCs w:val="0"/>
          <w:color w:val="auto"/>
          <w:kern w:val="2"/>
          <w:sz w:val="21"/>
          <w:szCs w:val="21"/>
          <w:highlight w:val="none"/>
          <w:vertAlign w:val="baseline"/>
          <w:lang w:val="en-US" w:eastAsia="zh-CN" w:bidi="ar-SA"/>
        </w:rPr>
        <w:t>省“百千万工程”指挥部关于建筑业企业“微利＋公益”参与“百千万工程”建设方式和《广东省“百县千镇万村高质量发展工程”指挥部城镇建设专班办公室印发关于推动建筑业央企助力“百千万工程”工作指引的通知》（粤城镇建设</w:t>
      </w:r>
      <w:r>
        <w:rPr>
          <w:rFonts w:hint="eastAsia" w:ascii="宋体" w:hAnsi="宋体" w:eastAsia="宋体" w:cs="宋体"/>
          <w:b w:val="0"/>
          <w:bCs w:val="0"/>
          <w:i w:val="0"/>
          <w:iCs w:val="0"/>
          <w:color w:val="auto"/>
          <w:kern w:val="0"/>
          <w:sz w:val="21"/>
          <w:szCs w:val="21"/>
          <w:highlight w:val="none"/>
          <w:vertAlign w:val="baseline"/>
          <w:lang w:val="en-US" w:eastAsia="zh-CN" w:bidi="ar-SA"/>
        </w:rPr>
        <w:t>〔2024〕11号</w:t>
      </w:r>
      <w:r>
        <w:rPr>
          <w:rFonts w:hint="eastAsia" w:ascii="宋体" w:hAnsi="宋体" w:eastAsia="宋体" w:cs="宋体"/>
          <w:b w:val="0"/>
          <w:bCs w:val="0"/>
          <w:i w:val="0"/>
          <w:iCs w:val="0"/>
          <w:color w:val="auto"/>
          <w:kern w:val="2"/>
          <w:sz w:val="21"/>
          <w:szCs w:val="21"/>
          <w:highlight w:val="none"/>
          <w:vertAlign w:val="baseline"/>
          <w:lang w:val="en-US" w:eastAsia="zh-CN" w:bidi="ar-SA"/>
        </w:rPr>
        <w:t>）等工作要求，我公司将按要求完成中标项目的同时，自愿利用</w:t>
      </w:r>
      <w:r>
        <w:rPr>
          <w:rFonts w:hint="eastAsia" w:ascii="宋体" w:hAnsi="宋体" w:eastAsia="宋体" w:cs="宋体"/>
          <w:color w:val="auto"/>
          <w:sz w:val="21"/>
          <w:szCs w:val="21"/>
          <w:highlight w:val="none"/>
          <w:lang w:val="en-US" w:eastAsia="zh-CN"/>
        </w:rPr>
        <w:t>本企业的合理利润，积极做好</w:t>
      </w:r>
      <w:r>
        <w:rPr>
          <w:rFonts w:hint="eastAsia" w:ascii="宋体" w:hAnsi="宋体" w:eastAsia="宋体" w:cs="宋体"/>
          <w:color w:val="auto"/>
          <w:sz w:val="21"/>
          <w:szCs w:val="21"/>
          <w:highlight w:val="none"/>
          <w:u w:val="none"/>
          <w:lang w:val="en-US" w:eastAsia="zh-CN"/>
        </w:rPr>
        <w:t>助力项目建设，就此</w:t>
      </w:r>
      <w:r>
        <w:rPr>
          <w:rFonts w:hint="eastAsia" w:ascii="宋体" w:hAnsi="宋体" w:eastAsia="宋体" w:cs="宋体"/>
          <w:color w:val="auto"/>
          <w:sz w:val="21"/>
          <w:szCs w:val="21"/>
          <w:highlight w:val="none"/>
        </w:rPr>
        <w:t>我方承诺如下：</w:t>
      </w:r>
    </w:p>
    <w:p w14:paraId="6F781B61">
      <w:pPr>
        <w:keepNext w:val="0"/>
        <w:keepLines w:val="0"/>
        <w:pageBreakBefore w:val="0"/>
        <w:widowControl w:val="0"/>
        <w:kinsoku/>
        <w:wordWrap w:val="0"/>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color w:val="auto"/>
          <w:sz w:val="21"/>
          <w:szCs w:val="21"/>
          <w:highlight w:val="none"/>
        </w:rPr>
        <w:t>我方</w:t>
      </w:r>
      <w:r>
        <w:rPr>
          <w:rFonts w:hint="eastAsia" w:ascii="宋体" w:hAnsi="宋体" w:eastAsia="宋体" w:cs="宋体"/>
          <w:color w:val="auto"/>
          <w:sz w:val="21"/>
          <w:szCs w:val="21"/>
          <w:highlight w:val="none"/>
          <w:lang w:val="en-US" w:eastAsia="zh-CN"/>
        </w:rPr>
        <w:t>自</w:t>
      </w:r>
      <w:r>
        <w:rPr>
          <w:rFonts w:hint="eastAsia" w:ascii="宋体" w:hAnsi="宋体" w:eastAsia="宋体" w:cs="宋体"/>
          <w:color w:val="auto"/>
          <w:sz w:val="21"/>
          <w:szCs w:val="21"/>
          <w:highlight w:val="none"/>
        </w:rPr>
        <w:t>愿</w:t>
      </w:r>
      <w:r>
        <w:rPr>
          <w:rFonts w:hint="eastAsia" w:ascii="宋体" w:hAnsi="宋体" w:eastAsia="宋体" w:cs="宋体"/>
          <w:color w:val="auto"/>
          <w:sz w:val="21"/>
          <w:szCs w:val="21"/>
          <w:highlight w:val="none"/>
          <w:u w:val="none"/>
          <w:lang w:val="en-US" w:eastAsia="zh-CN"/>
        </w:rPr>
        <w:t>助力“百千万工程”中的公益性项目建设。</w:t>
      </w:r>
    </w:p>
    <w:p w14:paraId="2AB03F81">
      <w:pPr>
        <w:keepNext w:val="0"/>
        <w:keepLines w:val="0"/>
        <w:pageBreakBefore w:val="0"/>
        <w:widowControl w:val="0"/>
        <w:kinsoku/>
        <w:wordWrap w:val="0"/>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2、如我方中标，承诺完成助力项目建设所用的资金是本企业的自有资金，不使用中标项目内的资金作为助力项目建设资金。</w:t>
      </w:r>
    </w:p>
    <w:p w14:paraId="1E3D8CA7">
      <w:pPr>
        <w:keepNext w:val="0"/>
        <w:keepLines w:val="0"/>
        <w:pageBreakBefore w:val="0"/>
        <w:widowControl w:val="0"/>
        <w:kinsoku/>
        <w:wordWrap w:val="0"/>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如我方中标，在中标项目发出中标通知书之日起至签订中标项目承包合同前，我方将按要求与助力项目业主单位按招标文件要求签订助力协议书，确定具体助力项目、投资额度、工期进度和质量标准等内容（含折算助力项目投资金额中的预扣减或扣减额处理办法）。</w:t>
      </w:r>
    </w:p>
    <w:p w14:paraId="1396C848">
      <w:pPr>
        <w:keepNext w:val="0"/>
        <w:keepLines w:val="0"/>
        <w:pageBreakBefore w:val="0"/>
        <w:widowControl w:val="0"/>
        <w:kinsoku/>
        <w:wordWrap w:val="0"/>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如我方中标，我方将按照协议书要求做好助力项目建设工作，按时保质保量完成“百千万工程”助力任务并移交整个工程，确保助力项目质量达到合格标准，并承诺本工程的保修期按有关规定及双方签署的协议要求执行。同时，按规定做好助力项目结算工作。</w:t>
      </w:r>
    </w:p>
    <w:p w14:paraId="24202CA7">
      <w:pPr>
        <w:keepNext w:val="0"/>
        <w:keepLines w:val="0"/>
        <w:pageBreakBefore w:val="0"/>
        <w:widowControl w:val="0"/>
        <w:kinsoku/>
        <w:wordWrap w:val="0"/>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如我方中标，将严格履行助力协议。招标人或助力项目业主单位发现我方有未按协议书履行投标助力承诺行为的，愿接受有关部门对我方进行诚信扣分及将有关失信行为上传信用广东和信用中国等诚信平台；对于有严重违反投标承诺，影响助力项目建设质量、进度或损害公共利益的，我方将接受依法依规作出的处理。</w:t>
      </w:r>
    </w:p>
    <w:p w14:paraId="6AF3896D">
      <w:pPr>
        <w:pStyle w:val="3"/>
        <w:keepNext w:val="0"/>
        <w:keepLines w:val="0"/>
        <w:pageBreakBefore w:val="0"/>
        <w:widowControl w:val="0"/>
        <w:kinsoku/>
        <w:wordWrap w:val="0"/>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color w:val="auto"/>
          <w:sz w:val="21"/>
          <w:szCs w:val="21"/>
          <w:highlight w:val="none"/>
        </w:rPr>
        <w:t>我方同意在投标人须知规定的投标有效期内严格遵守本企业投标文件的各项承诺，如有违约，愿承担相应违约责任。</w:t>
      </w:r>
    </w:p>
    <w:p w14:paraId="27BD62B1">
      <w:pPr>
        <w:pStyle w:val="3"/>
        <w:keepNext w:val="0"/>
        <w:keepLines w:val="0"/>
        <w:pageBreakBefore w:val="0"/>
        <w:widowControl w:val="0"/>
        <w:kinsoku/>
        <w:wordWrap w:val="0"/>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14:paraId="41B8BC38">
      <w:pPr>
        <w:pStyle w:val="3"/>
        <w:keepNext w:val="0"/>
        <w:keepLines w:val="0"/>
        <w:pageBreakBefore w:val="0"/>
        <w:widowControl w:val="0"/>
        <w:kinsoku/>
        <w:wordWrap w:val="0"/>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14:paraId="08473587">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(盖电子印章）</w:t>
      </w:r>
    </w:p>
    <w:p w14:paraId="7560B21D">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278CBCF4">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（电子签名</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盖电子印章）</w:t>
      </w:r>
    </w:p>
    <w:p w14:paraId="300EE904">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661AB817">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69813039">
      <w:pPr>
        <w:keepNext w:val="0"/>
        <w:keepLines w:val="0"/>
        <w:pageBreakBefore w:val="0"/>
        <w:widowControl w:val="0"/>
        <w:kinsoku/>
        <w:wordWrap w:val="0"/>
        <w:overflowPunct/>
        <w:topLinePunct w:val="0"/>
        <w:autoSpaceDE/>
        <w:autoSpaceDN/>
        <w:bidi w:val="0"/>
        <w:adjustRightInd/>
        <w:snapToGrid/>
        <w:spacing w:line="300" w:lineRule="exact"/>
        <w:textAlignment w:val="auto"/>
        <w:outlineLvl w:val="9"/>
        <w:rPr>
          <w:rFonts w:hint="eastAsia" w:ascii="宋体" w:hAnsi="宋体" w:eastAsia="宋体" w:cs="宋体"/>
          <w:color w:val="auto"/>
          <w:sz w:val="21"/>
          <w:szCs w:val="21"/>
          <w:highlight w:val="none"/>
          <w:lang w:eastAsia="zh-CN"/>
        </w:rPr>
      </w:pPr>
    </w:p>
    <w:p w14:paraId="3853E81B">
      <w:pPr>
        <w:keepNext w:val="0"/>
        <w:keepLines w:val="0"/>
        <w:pageBreakBefore w:val="0"/>
        <w:widowControl w:val="0"/>
        <w:kinsoku/>
        <w:wordWrap w:val="0"/>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注：上述承诺书中的</w:t>
      </w:r>
      <w:r>
        <w:rPr>
          <w:rFonts w:hint="eastAsia" w:ascii="宋体" w:hAnsi="宋体" w:eastAsia="宋体" w:cs="宋体"/>
          <w:b w:val="0"/>
          <w:bCs w:val="0"/>
          <w:i w:val="0"/>
          <w:iCs w:val="0"/>
          <w:color w:val="auto"/>
          <w:kern w:val="2"/>
          <w:sz w:val="21"/>
          <w:szCs w:val="21"/>
          <w:highlight w:val="none"/>
          <w:u w:val="none" w:color="auto"/>
          <w:vertAlign w:val="baseline"/>
          <w:lang w:val="en-US" w:eastAsia="zh-CN" w:bidi="ar-SA"/>
        </w:rPr>
        <w:t>企业社会贡献最高投标限价百分比要使用阿拉伯数字填报，不得填报负值，企业社会贡献没有填报任何数字或填报负值的按无企业社会贡献处理，但不作无效投标处理。</w:t>
      </w:r>
    </w:p>
    <w:p w14:paraId="639E852E">
      <w:pPr>
        <w:pStyle w:val="39"/>
        <w:pageBreakBefore w:val="0"/>
        <w:kinsoku/>
        <w:wordWrap w:val="0"/>
        <w:overflowPunct/>
        <w:topLinePunct w:val="0"/>
        <w:bidi w:val="0"/>
        <w:ind w:left="0" w:leftChars="0" w:firstLine="0" w:firstLineChars="0"/>
        <w:rPr>
          <w:rStyle w:val="43"/>
          <w:rFonts w:hint="eastAsia" w:ascii="宋体" w:hAnsi="宋体" w:eastAsia="宋体" w:cs="宋体"/>
          <w:bCs/>
          <w:color w:val="auto"/>
          <w:kern w:val="2"/>
          <w:sz w:val="21"/>
          <w:szCs w:val="21"/>
          <w:highlight w:val="none"/>
        </w:rPr>
      </w:pPr>
    </w:p>
    <w:p w14:paraId="7680BC03">
      <w:pPr>
        <w:pStyle w:val="45"/>
        <w:pageBreakBefore w:val="0"/>
        <w:kinsoku/>
        <w:wordWrap w:val="0"/>
        <w:overflowPunct/>
        <w:topLinePunct w:val="0"/>
        <w:bidi w:val="0"/>
        <w:snapToGrid w:val="0"/>
        <w:spacing w:line="440" w:lineRule="exact"/>
        <w:outlineLvl w:val="1"/>
        <w:rPr>
          <w:rStyle w:val="20"/>
          <w:rFonts w:hint="eastAsia" w:ascii="Times New Roman" w:hAnsi="宋体" w:eastAsia="宋体" w:cs="Times New Roman"/>
          <w:b/>
          <w:bCs/>
          <w:color w:val="auto"/>
          <w:sz w:val="21"/>
          <w:szCs w:val="21"/>
          <w:highlight w:val="none"/>
          <w:lang w:val="en-US" w:eastAsia="zh-CN"/>
        </w:rPr>
      </w:pPr>
      <w:r>
        <w:rPr>
          <w:rStyle w:val="43"/>
          <w:rFonts w:hint="eastAsia" w:ascii="宋体" w:hAnsi="宋体" w:eastAsia="宋体" w:cs="宋体"/>
          <w:bCs/>
          <w:color w:val="auto"/>
          <w:kern w:val="2"/>
          <w:sz w:val="21"/>
          <w:szCs w:val="21"/>
          <w:highlight w:val="none"/>
        </w:rPr>
        <w:br w:type="page"/>
      </w:r>
      <w:bookmarkStart w:id="272" w:name="_Toc26911"/>
      <w:bookmarkStart w:id="273" w:name="_Toc21404"/>
      <w:r>
        <w:rPr>
          <w:rStyle w:val="20"/>
          <w:rFonts w:hint="eastAsia" w:ascii="Times New Roman" w:hAnsi="宋体" w:eastAsia="宋体" w:cs="Times New Roman"/>
          <w:b/>
          <w:bCs/>
          <w:color w:val="auto"/>
          <w:sz w:val="21"/>
          <w:szCs w:val="21"/>
          <w:highlight w:val="none"/>
          <w:lang w:eastAsia="zh-CN"/>
        </w:rPr>
        <w:t>格式十</w:t>
      </w:r>
      <w:r>
        <w:rPr>
          <w:rStyle w:val="20"/>
          <w:rFonts w:hint="eastAsia" w:ascii="Times New Roman" w:hAnsi="宋体" w:cs="Times New Roman"/>
          <w:b/>
          <w:bCs/>
          <w:color w:val="auto"/>
          <w:sz w:val="21"/>
          <w:szCs w:val="21"/>
          <w:highlight w:val="none"/>
          <w:lang w:val="en-US" w:eastAsia="zh-CN"/>
        </w:rPr>
        <w:t xml:space="preserve">五  </w:t>
      </w:r>
      <w:r>
        <w:rPr>
          <w:rStyle w:val="20"/>
          <w:rFonts w:hint="eastAsia" w:ascii="Times New Roman" w:hAnsi="宋体" w:eastAsia="宋体" w:cs="Times New Roman"/>
          <w:b/>
          <w:bCs/>
          <w:color w:val="auto"/>
          <w:sz w:val="21"/>
          <w:szCs w:val="21"/>
          <w:highlight w:val="none"/>
          <w:lang w:val="en-US" w:eastAsia="zh-CN"/>
        </w:rPr>
        <w:t>定标因素评审资料</w:t>
      </w:r>
      <w:bookmarkEnd w:id="272"/>
      <w:bookmarkEnd w:id="273"/>
    </w:p>
    <w:p w14:paraId="2D4CC842">
      <w:pPr>
        <w:pageBreakBefore w:val="0"/>
        <w:kinsoku/>
        <w:wordWrap w:val="0"/>
        <w:overflowPunct/>
        <w:topLinePunct w:val="0"/>
        <w:bidi w:val="0"/>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24"/>
          <w:szCs w:val="24"/>
          <w:highlight w:val="none"/>
          <w:lang w:eastAsia="zh-CN"/>
        </w:rPr>
        <w:t>定标因素评审资料</w:t>
      </w:r>
    </w:p>
    <w:p w14:paraId="7F172C61">
      <w:pPr>
        <w:pageBreakBefore w:val="0"/>
        <w:kinsoku/>
        <w:wordWrap w:val="0"/>
        <w:overflowPunct/>
        <w:topLinePunct w:val="0"/>
        <w:bidi w:val="0"/>
        <w:jc w:val="left"/>
        <w:rPr>
          <w:rFonts w:hint="eastAsia" w:ascii="宋体" w:hAnsi="宋体" w:eastAsia="宋体" w:cs="宋体"/>
          <w:color w:val="auto"/>
          <w:sz w:val="24"/>
          <w:highlight w:val="none"/>
          <w:lang w:eastAsia="zh-CN"/>
        </w:rPr>
      </w:pPr>
    </w:p>
    <w:p w14:paraId="726A3E52">
      <w:pPr>
        <w:pStyle w:val="39"/>
        <w:pageBreakBefore w:val="0"/>
        <w:kinsoku/>
        <w:wordWrap w:val="0"/>
        <w:overflowPunct/>
        <w:topLinePunct w:val="0"/>
        <w:bidi w:val="0"/>
        <w:ind w:left="0" w:leftChars="0" w:firstLine="0" w:firstLineChars="0"/>
        <w:rPr>
          <w:rStyle w:val="43"/>
          <w:rFonts w:hint="eastAsia" w:ascii="宋体" w:hAnsi="宋体" w:eastAsia="宋体" w:cs="宋体"/>
          <w:b/>
          <w:bCs/>
          <w:color w:val="auto"/>
          <w:kern w:val="2"/>
          <w:sz w:val="24"/>
          <w:szCs w:val="24"/>
          <w:highlight w:val="none"/>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章 第</w:t>
      </w: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节 定标</w:t>
      </w:r>
      <w:r>
        <w:rPr>
          <w:rFonts w:hint="eastAsia" w:ascii="宋体" w:hAnsi="宋体" w:eastAsia="宋体" w:cs="宋体"/>
          <w:b/>
          <w:bCs/>
          <w:color w:val="auto"/>
          <w:sz w:val="24"/>
          <w:szCs w:val="24"/>
          <w:highlight w:val="none"/>
          <w:lang w:eastAsia="zh-CN"/>
        </w:rPr>
        <w:t>规定</w:t>
      </w:r>
      <w:r>
        <w:rPr>
          <w:rFonts w:hint="eastAsia" w:ascii="宋体" w:hAnsi="宋体" w:eastAsia="宋体" w:cs="宋体"/>
          <w:b/>
          <w:bCs/>
          <w:color w:val="auto"/>
          <w:sz w:val="24"/>
          <w:szCs w:val="24"/>
          <w:highlight w:val="none"/>
          <w:lang w:val="en-US" w:eastAsia="zh-CN"/>
        </w:rPr>
        <w:t>及细则”载明的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p>
    <w:p w14:paraId="388AC736">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5D94E8E4">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25987E99">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1386DFE3">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3CF95731">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7C26BAA4">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6031DE05">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64CD36A6">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574E0CC1">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06A23923">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50F27CC9">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205EA7EB">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7C6D4CC9">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30193241">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20D40A6B">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2C3333F2">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6D622BC9">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45D785F6">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1A798D0E">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7253BFBB">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1BA659E5">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44FDDF06">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6A814535">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2C84FF1B">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2B712078">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2C719281">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1A6F67AB">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7B9B4278">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6F09FB96">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3C47F80F">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272AC14D">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054924C2">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3A4ECF1E">
      <w:pPr>
        <w:pageBreakBefore w:val="0"/>
        <w:kinsoku/>
        <w:wordWrap w:val="0"/>
        <w:overflowPunct/>
        <w:topLinePunct w:val="0"/>
        <w:bidi w:val="0"/>
        <w:spacing w:before="78" w:line="219" w:lineRule="auto"/>
        <w:jc w:val="center"/>
        <w:outlineLvl w:val="1"/>
        <w:rPr>
          <w:rFonts w:hint="eastAsia" w:ascii="宋体" w:hAnsi="宋体" w:eastAsia="宋体" w:cs="宋体"/>
          <w:b/>
          <w:bCs/>
          <w:color w:val="auto"/>
          <w:spacing w:val="-3"/>
          <w:sz w:val="24"/>
          <w:szCs w:val="24"/>
          <w:highlight w:val="none"/>
        </w:rPr>
      </w:pPr>
    </w:p>
    <w:p w14:paraId="40F38C4C">
      <w:pPr>
        <w:pageBreakBefore w:val="0"/>
        <w:kinsoku/>
        <w:wordWrap w:val="0"/>
        <w:overflowPunct/>
        <w:topLinePunct w:val="0"/>
        <w:bidi w:val="0"/>
        <w:spacing w:before="78" w:line="219" w:lineRule="auto"/>
        <w:jc w:val="center"/>
        <w:outlineLvl w:val="1"/>
        <w:rPr>
          <w:rFonts w:hint="eastAsia" w:ascii="宋体" w:hAnsi="宋体" w:eastAsia="宋体" w:cs="宋体"/>
          <w:color w:val="auto"/>
          <w:highlight w:val="none"/>
        </w:rPr>
      </w:pPr>
      <w:bookmarkStart w:id="274" w:name="_Toc15955"/>
      <w:r>
        <w:rPr>
          <w:rFonts w:hint="eastAsia" w:ascii="宋体" w:hAnsi="宋体" w:eastAsia="宋体" w:cs="宋体"/>
          <w:b/>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建设工程施工合同</w:t>
      </w:r>
      <w:bookmarkEnd w:id="274"/>
    </w:p>
    <w:p w14:paraId="4F8929F7">
      <w:pPr>
        <w:pStyle w:val="3"/>
        <w:pageBreakBefore w:val="0"/>
        <w:kinsoku/>
        <w:wordWrap w:val="0"/>
        <w:overflowPunct/>
        <w:topLinePunct w:val="0"/>
        <w:bidi w:val="0"/>
        <w:spacing w:line="257" w:lineRule="auto"/>
        <w:rPr>
          <w:rFonts w:hint="eastAsia" w:ascii="宋体" w:hAnsi="宋体" w:eastAsia="宋体" w:cs="宋体"/>
          <w:color w:val="auto"/>
          <w:highlight w:val="none"/>
        </w:rPr>
      </w:pPr>
    </w:p>
    <w:p w14:paraId="131B8557">
      <w:pPr>
        <w:pageBreakBefore w:val="0"/>
        <w:kinsoku/>
        <w:wordWrap w:val="0"/>
        <w:overflowPunct/>
        <w:topLinePunct w:val="0"/>
        <w:bidi w:val="0"/>
        <w:spacing w:before="78"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（略</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3"/>
          <w:sz w:val="24"/>
          <w:szCs w:val="24"/>
          <w:highlight w:val="none"/>
        </w:rPr>
        <w:t>按《广东省建设工程标准施工合同》（2009 年版）或《建设工程施工合同</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（示范文本）》（GF—2017—0201）执行。</w:t>
      </w:r>
    </w:p>
    <w:p w14:paraId="4D381F1B">
      <w:pPr>
        <w:pageBreakBefore w:val="0"/>
        <w:kinsoku/>
        <w:wordWrap w:val="0"/>
        <w:overflowPunct/>
        <w:topLinePunct w:val="0"/>
        <w:bidi w:val="0"/>
        <w:rPr>
          <w:rFonts w:hint="eastAsia" w:ascii="宋体" w:hAnsi="宋体" w:eastAsia="宋体" w:cs="宋体"/>
          <w:color w:val="auto"/>
          <w:highlight w:val="none"/>
        </w:rPr>
      </w:pPr>
    </w:p>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auto"/>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90F74">
    <w:pPr>
      <w:pStyle w:val="10"/>
    </w:pPr>
    <w:r>
      <w:rPr>
        <w:sz w:val="18"/>
      </w:rPr>
      <mc:AlternateContent>
        <mc:Choice Requires="wps">
          <w:drawing>
            <wp:anchor distT="0" distB="0" distL="114300" distR="114300" simplePos="0" relativeHeight="251679744"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wps:spPr>
                    <wps:txbx>
                      <w:txbxContent>
                        <w:p w14:paraId="7AA0AA63">
                          <w:pPr>
                            <w:pStyle w:val="10"/>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38.15pt;margin-top:-46.4pt;height:26.75pt;width:10.5pt;mso-position-horizontal-relative:margin;z-index:251679744;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we/Q19kAAAALAQAADwAAAAAAAAABACAAAAAiAAAAZHJzL2Rvd25yZXYueG1sUEsB&#10;AhQAFAAAAAgAh07iQPACNNW7AQAAcwMAAA4AAAAAAAAAAQAgAAAAKAEAAGRycy9lMm9Eb2MueG1s&#10;UEsFBgAAAAAGAAYAWQEAAFUFAAAAAA==&#10;">
              <v:fill on="f" focussize="0,0"/>
              <v:stroke on="f"/>
              <v:imagedata o:title=""/>
              <o:lock v:ext="edit" aspectratio="f"/>
              <v:textbox inset="0mm,0mm,0mm,0mm">
                <w:txbxContent>
                  <w:p w14:paraId="7AA0AA63">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A3D31">
    <w:pPr>
      <w:pStyle w:val="10"/>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069A84">
                          <w:pPr>
                            <w:pStyle w:val="10"/>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66069A84">
                    <w:pPr>
                      <w:pStyle w:val="10"/>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59BBD">
    <w:pPr>
      <w:pStyle w:val="10"/>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E5FDE4">
                          <w:pPr>
                            <w:pStyle w:val="10"/>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27E5FDE4">
                    <w:pPr>
                      <w:pStyle w:val="10"/>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254D5">
    <w:pPr>
      <w:pStyle w:val="10"/>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328BA0">
                          <w:pPr>
                            <w:pStyle w:val="10"/>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32328BA0">
                    <w:pPr>
                      <w:pStyle w:val="10"/>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F7A28">
    <w:pPr>
      <w:pStyle w:val="10"/>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548F88">
                          <w:pPr>
                            <w:pStyle w:val="10"/>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4F548F88">
                    <w:pPr>
                      <w:pStyle w:val="10"/>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972CD">
    <w:pPr>
      <w:pStyle w:val="10"/>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204562">
                          <w:pPr>
                            <w:pStyle w:val="10"/>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E204562">
                    <w:pPr>
                      <w:pStyle w:val="10"/>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94C7B">
    <w:pPr>
      <w:pStyle w:val="10"/>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20FD3A">
                          <w:pPr>
                            <w:pStyle w:val="10"/>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1F20FD3A">
                    <w:pPr>
                      <w:pStyle w:val="10"/>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855E9">
    <w:pPr>
      <w:pStyle w:val="10"/>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BC4325">
                          <w:pPr>
                            <w:pStyle w:val="10"/>
                          </w:pPr>
                          <w:r>
                            <w:fldChar w:fldCharType="begin"/>
                          </w:r>
                          <w:r>
                            <w:instrText xml:space="preserve"> PAGE  \* MERGEFORMAT </w:instrText>
                          </w:r>
                          <w:r>
                            <w:fldChar w:fldCharType="separate"/>
                          </w:r>
                          <w:r>
                            <w:t>91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07BC4325">
                    <w:pPr>
                      <w:pStyle w:val="10"/>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4A1DD">
    <w:pPr>
      <w:pStyle w:val="10"/>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72AC83">
                          <w:pPr>
                            <w:pStyle w:val="10"/>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5772AC83">
                    <w:pPr>
                      <w:pStyle w:val="10"/>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A54D5">
    <w:pPr>
      <w:pStyle w:val="10"/>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04257B">
                          <w:pPr>
                            <w:pStyle w:val="10"/>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D04257B">
                    <w:pPr>
                      <w:pStyle w:val="10"/>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E2A57">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ACD18E">
                          <w:pPr>
                            <w:pStyle w:val="10"/>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5FACD18E">
                    <w:pPr>
                      <w:pStyle w:val="10"/>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C0874">
    <w:pPr>
      <w:pStyle w:val="1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F4D2CA">
                          <w:pPr>
                            <w:pStyle w:val="10"/>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14:paraId="08F4D2CA">
                    <w:pPr>
                      <w:pStyle w:val="1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7202E">
    <w:pPr>
      <w:pStyle w:val="1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A26CFE">
                          <w:pPr>
                            <w:pStyle w:val="10"/>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0EA26CFE">
                    <w:pPr>
                      <w:pStyle w:val="10"/>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C97F4">
    <w:pPr>
      <w:pStyle w:val="1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975851">
                          <w:pPr>
                            <w:pStyle w:val="10"/>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27975851">
                    <w:pPr>
                      <w:pStyle w:val="10"/>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8B9A4">
    <w:pPr>
      <w:pStyle w:val="1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7BA269">
                          <w:pPr>
                            <w:pStyle w:val="10"/>
                          </w:pPr>
                          <w:r>
                            <w:fldChar w:fldCharType="begin"/>
                          </w:r>
                          <w:r>
                            <w:instrText xml:space="preserve"> PAGE  \* MERGEFORMAT </w:instrText>
                          </w:r>
                          <w:r>
                            <w:fldChar w:fldCharType="separate"/>
                          </w:r>
                          <w:r>
                            <w:t>78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717BA269">
                    <w:pPr>
                      <w:pStyle w:val="10"/>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7F7C8">
    <w:pPr>
      <w:pStyle w:val="10"/>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300860">
                          <w:pPr>
                            <w:pStyle w:val="10"/>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51300860">
                    <w:pPr>
                      <w:pStyle w:val="10"/>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30E49">
    <w:pPr>
      <w:pStyle w:val="10"/>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550D8BE">
                          <w:pPr>
                            <w:pStyle w:val="10"/>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6550D8BE">
                    <w:pPr>
                      <w:pStyle w:val="10"/>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53E50">
    <w:pPr>
      <w:pStyle w:val="10"/>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EBCA68">
                          <w:pPr>
                            <w:pStyle w:val="10"/>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49EBCA68">
                    <w:pPr>
                      <w:pStyle w:val="10"/>
                    </w:pPr>
                    <w:r>
                      <w:fldChar w:fldCharType="begin"/>
                    </w:r>
                    <w:r>
                      <w:instrText xml:space="preserve"> PAGE  \* MERGEFORMAT </w:instrText>
                    </w:r>
                    <w:r>
                      <w:fldChar w:fldCharType="separate"/>
                    </w:r>
                    <w:r>
                      <w:t>81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20278">
    <w:pPr>
      <w:pStyle w:val="3"/>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EAB8B">
    <w:pPr>
      <w:pStyle w:val="3"/>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BFFF4">
    <w:pPr>
      <w:pStyle w:val="3"/>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1BF32">
    <w:pPr>
      <w:pStyle w:val="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abstractNum w:abstractNumId="1">
    <w:nsid w:val="00000003"/>
    <w:multiLevelType w:val="singleLevel"/>
    <w:tmpl w:val="00000003"/>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mYWJjODQxYTJmZGUwYjQ3M2QwYzM4MWUxMzIyZTMifQ=="/>
  </w:docVars>
  <w:rsids>
    <w:rsidRoot w:val="4F582EF7"/>
    <w:rsid w:val="00072C34"/>
    <w:rsid w:val="000B7407"/>
    <w:rsid w:val="00473031"/>
    <w:rsid w:val="007A3406"/>
    <w:rsid w:val="00824069"/>
    <w:rsid w:val="00D61DC8"/>
    <w:rsid w:val="01276505"/>
    <w:rsid w:val="013F232E"/>
    <w:rsid w:val="014C6B51"/>
    <w:rsid w:val="018B7D8A"/>
    <w:rsid w:val="01B6213A"/>
    <w:rsid w:val="01BE1198"/>
    <w:rsid w:val="01E25ABE"/>
    <w:rsid w:val="01EE7C08"/>
    <w:rsid w:val="01FD63CC"/>
    <w:rsid w:val="02337D11"/>
    <w:rsid w:val="023B3D55"/>
    <w:rsid w:val="024F6BF1"/>
    <w:rsid w:val="02BE101A"/>
    <w:rsid w:val="02BF0C55"/>
    <w:rsid w:val="02F13018"/>
    <w:rsid w:val="031418F0"/>
    <w:rsid w:val="0358304C"/>
    <w:rsid w:val="03661A20"/>
    <w:rsid w:val="039E06FB"/>
    <w:rsid w:val="04021749"/>
    <w:rsid w:val="042835ED"/>
    <w:rsid w:val="04B67F25"/>
    <w:rsid w:val="04BF763A"/>
    <w:rsid w:val="04E2157A"/>
    <w:rsid w:val="04EF43C3"/>
    <w:rsid w:val="055E6E53"/>
    <w:rsid w:val="056C5F91"/>
    <w:rsid w:val="059A3EA8"/>
    <w:rsid w:val="05D4768F"/>
    <w:rsid w:val="05E67124"/>
    <w:rsid w:val="05E732EC"/>
    <w:rsid w:val="05EC614B"/>
    <w:rsid w:val="062235DD"/>
    <w:rsid w:val="063C112F"/>
    <w:rsid w:val="067B1C86"/>
    <w:rsid w:val="06856661"/>
    <w:rsid w:val="069B537E"/>
    <w:rsid w:val="06C70A28"/>
    <w:rsid w:val="06C929F2"/>
    <w:rsid w:val="06CA23DC"/>
    <w:rsid w:val="06D05B2E"/>
    <w:rsid w:val="06DD024B"/>
    <w:rsid w:val="07001B9F"/>
    <w:rsid w:val="07133987"/>
    <w:rsid w:val="07520C39"/>
    <w:rsid w:val="07A1396F"/>
    <w:rsid w:val="07A71DAB"/>
    <w:rsid w:val="07DE24CD"/>
    <w:rsid w:val="086230FE"/>
    <w:rsid w:val="088C763C"/>
    <w:rsid w:val="08CD7283"/>
    <w:rsid w:val="08E41D65"/>
    <w:rsid w:val="08EB6C4F"/>
    <w:rsid w:val="092D5890"/>
    <w:rsid w:val="0963211F"/>
    <w:rsid w:val="09C807D3"/>
    <w:rsid w:val="09F06AB0"/>
    <w:rsid w:val="09FA34EB"/>
    <w:rsid w:val="09FF4A68"/>
    <w:rsid w:val="0A3C3AB5"/>
    <w:rsid w:val="0A62467A"/>
    <w:rsid w:val="0A7D4664"/>
    <w:rsid w:val="0A8235E3"/>
    <w:rsid w:val="0A87732E"/>
    <w:rsid w:val="0AD33307"/>
    <w:rsid w:val="0AE05E8C"/>
    <w:rsid w:val="0AF3628F"/>
    <w:rsid w:val="0B3866B7"/>
    <w:rsid w:val="0B41524D"/>
    <w:rsid w:val="0B9E41C6"/>
    <w:rsid w:val="0BC6217A"/>
    <w:rsid w:val="0BD240F7"/>
    <w:rsid w:val="0BF41F06"/>
    <w:rsid w:val="0C120997"/>
    <w:rsid w:val="0C2A7A8F"/>
    <w:rsid w:val="0C2B1A59"/>
    <w:rsid w:val="0C4153D2"/>
    <w:rsid w:val="0C49746F"/>
    <w:rsid w:val="0C597D15"/>
    <w:rsid w:val="0CA07D76"/>
    <w:rsid w:val="0CA27F6D"/>
    <w:rsid w:val="0CF14A50"/>
    <w:rsid w:val="0D03679A"/>
    <w:rsid w:val="0D3B3F1D"/>
    <w:rsid w:val="0DCB0DFD"/>
    <w:rsid w:val="0DCE22AF"/>
    <w:rsid w:val="0DF525DE"/>
    <w:rsid w:val="0DF61CE0"/>
    <w:rsid w:val="0DF86616"/>
    <w:rsid w:val="0E1E1875"/>
    <w:rsid w:val="0E460DCC"/>
    <w:rsid w:val="0E684952"/>
    <w:rsid w:val="0E86353F"/>
    <w:rsid w:val="0E8E37ED"/>
    <w:rsid w:val="0EAF2E14"/>
    <w:rsid w:val="0EDB59B8"/>
    <w:rsid w:val="0F1C2D99"/>
    <w:rsid w:val="0F4C1B7B"/>
    <w:rsid w:val="0F6F04DC"/>
    <w:rsid w:val="0FAB0EE6"/>
    <w:rsid w:val="105858FC"/>
    <w:rsid w:val="106C3AC2"/>
    <w:rsid w:val="108403E2"/>
    <w:rsid w:val="109275A9"/>
    <w:rsid w:val="10C15734"/>
    <w:rsid w:val="10C44237"/>
    <w:rsid w:val="11164A85"/>
    <w:rsid w:val="1122342A"/>
    <w:rsid w:val="11533574"/>
    <w:rsid w:val="11785740"/>
    <w:rsid w:val="117A3266"/>
    <w:rsid w:val="11862732"/>
    <w:rsid w:val="118F278E"/>
    <w:rsid w:val="119D4F21"/>
    <w:rsid w:val="11A47985"/>
    <w:rsid w:val="11C67A56"/>
    <w:rsid w:val="11D80D88"/>
    <w:rsid w:val="12474DCB"/>
    <w:rsid w:val="12527641"/>
    <w:rsid w:val="126805E3"/>
    <w:rsid w:val="12E7492B"/>
    <w:rsid w:val="12E74FC1"/>
    <w:rsid w:val="12F27F6E"/>
    <w:rsid w:val="14141B79"/>
    <w:rsid w:val="1457788F"/>
    <w:rsid w:val="14760C96"/>
    <w:rsid w:val="14882C02"/>
    <w:rsid w:val="14CB3DD9"/>
    <w:rsid w:val="14D013EF"/>
    <w:rsid w:val="150A2744"/>
    <w:rsid w:val="150D2643"/>
    <w:rsid w:val="15115C90"/>
    <w:rsid w:val="15763D45"/>
    <w:rsid w:val="15853F88"/>
    <w:rsid w:val="15A45AE5"/>
    <w:rsid w:val="15D97B34"/>
    <w:rsid w:val="15DC13FE"/>
    <w:rsid w:val="15E038B4"/>
    <w:rsid w:val="16005D04"/>
    <w:rsid w:val="160E0085"/>
    <w:rsid w:val="162E6E4D"/>
    <w:rsid w:val="16443E43"/>
    <w:rsid w:val="165D1EF2"/>
    <w:rsid w:val="16737FC1"/>
    <w:rsid w:val="16C17241"/>
    <w:rsid w:val="16CB4A2F"/>
    <w:rsid w:val="17051824"/>
    <w:rsid w:val="1722468F"/>
    <w:rsid w:val="173C4B1A"/>
    <w:rsid w:val="17726DD2"/>
    <w:rsid w:val="17C50FB3"/>
    <w:rsid w:val="17DD454F"/>
    <w:rsid w:val="17E86441"/>
    <w:rsid w:val="18226406"/>
    <w:rsid w:val="182A472E"/>
    <w:rsid w:val="18602A8A"/>
    <w:rsid w:val="190B3062"/>
    <w:rsid w:val="1963464B"/>
    <w:rsid w:val="197764F6"/>
    <w:rsid w:val="19BC1F42"/>
    <w:rsid w:val="1A3A6836"/>
    <w:rsid w:val="1A584D7E"/>
    <w:rsid w:val="1A5B5BFF"/>
    <w:rsid w:val="1A5D1977"/>
    <w:rsid w:val="1AC50DC4"/>
    <w:rsid w:val="1AE57555"/>
    <w:rsid w:val="1B0A266C"/>
    <w:rsid w:val="1B656D35"/>
    <w:rsid w:val="1B6A170F"/>
    <w:rsid w:val="1B745FC1"/>
    <w:rsid w:val="1BEC4D61"/>
    <w:rsid w:val="1C2A3ADB"/>
    <w:rsid w:val="1C2D7127"/>
    <w:rsid w:val="1C324211"/>
    <w:rsid w:val="1C396CE8"/>
    <w:rsid w:val="1C512E14"/>
    <w:rsid w:val="1C7F3E27"/>
    <w:rsid w:val="1D880AB9"/>
    <w:rsid w:val="1DA27862"/>
    <w:rsid w:val="1DE11B57"/>
    <w:rsid w:val="1E206F43"/>
    <w:rsid w:val="1E3B5B2B"/>
    <w:rsid w:val="1E491296"/>
    <w:rsid w:val="1E4F7829"/>
    <w:rsid w:val="1E5D49E3"/>
    <w:rsid w:val="1E994221"/>
    <w:rsid w:val="1EDA5344"/>
    <w:rsid w:val="1EE13915"/>
    <w:rsid w:val="1EE461C3"/>
    <w:rsid w:val="1F487665"/>
    <w:rsid w:val="1F683A66"/>
    <w:rsid w:val="1F6C401A"/>
    <w:rsid w:val="1F875754"/>
    <w:rsid w:val="1FA95F4C"/>
    <w:rsid w:val="1FFE32B4"/>
    <w:rsid w:val="2020237A"/>
    <w:rsid w:val="20515ADA"/>
    <w:rsid w:val="20801F1B"/>
    <w:rsid w:val="208A4B48"/>
    <w:rsid w:val="208C08C0"/>
    <w:rsid w:val="209669C5"/>
    <w:rsid w:val="20B16579"/>
    <w:rsid w:val="20C37337"/>
    <w:rsid w:val="20CB1F07"/>
    <w:rsid w:val="20F6072B"/>
    <w:rsid w:val="21090925"/>
    <w:rsid w:val="21244F9D"/>
    <w:rsid w:val="213D3171"/>
    <w:rsid w:val="216B0B49"/>
    <w:rsid w:val="222C2B90"/>
    <w:rsid w:val="22457E73"/>
    <w:rsid w:val="22596EC8"/>
    <w:rsid w:val="22837AA1"/>
    <w:rsid w:val="22884FD6"/>
    <w:rsid w:val="22F866E1"/>
    <w:rsid w:val="23213C5D"/>
    <w:rsid w:val="232C2DD6"/>
    <w:rsid w:val="2331574F"/>
    <w:rsid w:val="233953DA"/>
    <w:rsid w:val="235B72E4"/>
    <w:rsid w:val="23931F66"/>
    <w:rsid w:val="23C465C3"/>
    <w:rsid w:val="23D25D19"/>
    <w:rsid w:val="24262DDA"/>
    <w:rsid w:val="2446643F"/>
    <w:rsid w:val="246102B6"/>
    <w:rsid w:val="24782AD4"/>
    <w:rsid w:val="24793672"/>
    <w:rsid w:val="248726E0"/>
    <w:rsid w:val="249C3951"/>
    <w:rsid w:val="24DB3BC4"/>
    <w:rsid w:val="24E8279E"/>
    <w:rsid w:val="24FA6740"/>
    <w:rsid w:val="25004979"/>
    <w:rsid w:val="25243F0A"/>
    <w:rsid w:val="253A7C36"/>
    <w:rsid w:val="254C2D14"/>
    <w:rsid w:val="256D06AE"/>
    <w:rsid w:val="2582242A"/>
    <w:rsid w:val="259D2ECD"/>
    <w:rsid w:val="25A55F80"/>
    <w:rsid w:val="25B20381"/>
    <w:rsid w:val="25E62821"/>
    <w:rsid w:val="25F25669"/>
    <w:rsid w:val="260B04D9"/>
    <w:rsid w:val="264763B7"/>
    <w:rsid w:val="264B3488"/>
    <w:rsid w:val="2672726E"/>
    <w:rsid w:val="26734FA1"/>
    <w:rsid w:val="26881A92"/>
    <w:rsid w:val="268B2A3A"/>
    <w:rsid w:val="268B3DAD"/>
    <w:rsid w:val="26962499"/>
    <w:rsid w:val="26A61FB0"/>
    <w:rsid w:val="27035E88"/>
    <w:rsid w:val="272A2EE3"/>
    <w:rsid w:val="27415C62"/>
    <w:rsid w:val="27B65EBB"/>
    <w:rsid w:val="27BD1CA7"/>
    <w:rsid w:val="27CA47C6"/>
    <w:rsid w:val="282B4E63"/>
    <w:rsid w:val="28884FF7"/>
    <w:rsid w:val="289A5B44"/>
    <w:rsid w:val="289F315B"/>
    <w:rsid w:val="28AC626B"/>
    <w:rsid w:val="28D472A8"/>
    <w:rsid w:val="29017971"/>
    <w:rsid w:val="290F389D"/>
    <w:rsid w:val="29600B3C"/>
    <w:rsid w:val="2962542C"/>
    <w:rsid w:val="2968406B"/>
    <w:rsid w:val="299E36C0"/>
    <w:rsid w:val="29B33362"/>
    <w:rsid w:val="2B367172"/>
    <w:rsid w:val="2B7314CC"/>
    <w:rsid w:val="2B784A6E"/>
    <w:rsid w:val="2B9A7B07"/>
    <w:rsid w:val="2BA07916"/>
    <w:rsid w:val="2BAE2033"/>
    <w:rsid w:val="2BB37649"/>
    <w:rsid w:val="2BC9037C"/>
    <w:rsid w:val="2BFD3113"/>
    <w:rsid w:val="2C0003B4"/>
    <w:rsid w:val="2C1005F7"/>
    <w:rsid w:val="2C15160E"/>
    <w:rsid w:val="2C2632ED"/>
    <w:rsid w:val="2C44430E"/>
    <w:rsid w:val="2C4F172C"/>
    <w:rsid w:val="2C9C00DD"/>
    <w:rsid w:val="2CA156F3"/>
    <w:rsid w:val="2D03015C"/>
    <w:rsid w:val="2D906B09"/>
    <w:rsid w:val="2D9C13E5"/>
    <w:rsid w:val="2D9C5EBB"/>
    <w:rsid w:val="2DD973AC"/>
    <w:rsid w:val="2DFB1659"/>
    <w:rsid w:val="2E0221C2"/>
    <w:rsid w:val="2E611B70"/>
    <w:rsid w:val="2E9A689E"/>
    <w:rsid w:val="2EBD258D"/>
    <w:rsid w:val="2ECB6A58"/>
    <w:rsid w:val="2EDD4BB1"/>
    <w:rsid w:val="2EE47BF2"/>
    <w:rsid w:val="2F01185F"/>
    <w:rsid w:val="2F2729AC"/>
    <w:rsid w:val="2F3C0F4C"/>
    <w:rsid w:val="2FA94990"/>
    <w:rsid w:val="2FB82F9F"/>
    <w:rsid w:val="2FC33BD3"/>
    <w:rsid w:val="2FE418AC"/>
    <w:rsid w:val="2FE5383E"/>
    <w:rsid w:val="2FEA4C7F"/>
    <w:rsid w:val="30330D58"/>
    <w:rsid w:val="3037089D"/>
    <w:rsid w:val="30E674B1"/>
    <w:rsid w:val="30EA3353"/>
    <w:rsid w:val="31013C49"/>
    <w:rsid w:val="312319EF"/>
    <w:rsid w:val="313C778B"/>
    <w:rsid w:val="318F6462"/>
    <w:rsid w:val="31C559E0"/>
    <w:rsid w:val="31D07537"/>
    <w:rsid w:val="321A2D0F"/>
    <w:rsid w:val="32382656"/>
    <w:rsid w:val="324D664C"/>
    <w:rsid w:val="3267118D"/>
    <w:rsid w:val="32870EE7"/>
    <w:rsid w:val="32BE6EB2"/>
    <w:rsid w:val="32C7154E"/>
    <w:rsid w:val="32D70154"/>
    <w:rsid w:val="33156D5E"/>
    <w:rsid w:val="3317207A"/>
    <w:rsid w:val="331A6B7B"/>
    <w:rsid w:val="331F2052"/>
    <w:rsid w:val="333554DB"/>
    <w:rsid w:val="33396D39"/>
    <w:rsid w:val="334E5EA9"/>
    <w:rsid w:val="33643EF5"/>
    <w:rsid w:val="33BF2DC2"/>
    <w:rsid w:val="33D80BF4"/>
    <w:rsid w:val="33F77F81"/>
    <w:rsid w:val="34254482"/>
    <w:rsid w:val="346F257B"/>
    <w:rsid w:val="348C4EDB"/>
    <w:rsid w:val="348F605A"/>
    <w:rsid w:val="34E716B6"/>
    <w:rsid w:val="34EE16F2"/>
    <w:rsid w:val="3505113E"/>
    <w:rsid w:val="350B22A4"/>
    <w:rsid w:val="35233259"/>
    <w:rsid w:val="35357321"/>
    <w:rsid w:val="355115AF"/>
    <w:rsid w:val="359F2BE0"/>
    <w:rsid w:val="35AE6CC5"/>
    <w:rsid w:val="35FC399A"/>
    <w:rsid w:val="362A675A"/>
    <w:rsid w:val="36B60605"/>
    <w:rsid w:val="36DB3EF8"/>
    <w:rsid w:val="36DB7A54"/>
    <w:rsid w:val="36EC39E0"/>
    <w:rsid w:val="37647A49"/>
    <w:rsid w:val="37704A11"/>
    <w:rsid w:val="37C45ACE"/>
    <w:rsid w:val="37DF2D89"/>
    <w:rsid w:val="37E335F2"/>
    <w:rsid w:val="3835053A"/>
    <w:rsid w:val="386B727B"/>
    <w:rsid w:val="38BE1535"/>
    <w:rsid w:val="39194863"/>
    <w:rsid w:val="391D7376"/>
    <w:rsid w:val="39403E21"/>
    <w:rsid w:val="397A7B42"/>
    <w:rsid w:val="399A1E48"/>
    <w:rsid w:val="39B4157B"/>
    <w:rsid w:val="39D55A01"/>
    <w:rsid w:val="39DF5AAD"/>
    <w:rsid w:val="3A104D75"/>
    <w:rsid w:val="3A4C2C68"/>
    <w:rsid w:val="3A4D1A2B"/>
    <w:rsid w:val="3A5E69D2"/>
    <w:rsid w:val="3B2C2F74"/>
    <w:rsid w:val="3B3415C4"/>
    <w:rsid w:val="3B345984"/>
    <w:rsid w:val="3B351E28"/>
    <w:rsid w:val="3B4F53C1"/>
    <w:rsid w:val="3B605CFC"/>
    <w:rsid w:val="3B626996"/>
    <w:rsid w:val="3B6C6BA3"/>
    <w:rsid w:val="3B78218B"/>
    <w:rsid w:val="3BAE3989"/>
    <w:rsid w:val="3BB15227"/>
    <w:rsid w:val="3BB56AC5"/>
    <w:rsid w:val="3BF02721"/>
    <w:rsid w:val="3BFA0A8A"/>
    <w:rsid w:val="3C242530"/>
    <w:rsid w:val="3C4165AB"/>
    <w:rsid w:val="3CCA02B2"/>
    <w:rsid w:val="3CD613E9"/>
    <w:rsid w:val="3CE62383"/>
    <w:rsid w:val="3CEC7A2A"/>
    <w:rsid w:val="3CFE68F9"/>
    <w:rsid w:val="3D0433A8"/>
    <w:rsid w:val="3D0F69B6"/>
    <w:rsid w:val="3D2959BD"/>
    <w:rsid w:val="3D3219D3"/>
    <w:rsid w:val="3D3474F8"/>
    <w:rsid w:val="3D4E1AB9"/>
    <w:rsid w:val="3D874292"/>
    <w:rsid w:val="3DCE35B6"/>
    <w:rsid w:val="3DD136B5"/>
    <w:rsid w:val="3DD5344F"/>
    <w:rsid w:val="3E0F3EB7"/>
    <w:rsid w:val="3E2609B2"/>
    <w:rsid w:val="3E76426F"/>
    <w:rsid w:val="3E7F6463"/>
    <w:rsid w:val="3E962D65"/>
    <w:rsid w:val="3ECB4852"/>
    <w:rsid w:val="3EEB0292"/>
    <w:rsid w:val="3F281B00"/>
    <w:rsid w:val="3F6A7BC7"/>
    <w:rsid w:val="3F930BE9"/>
    <w:rsid w:val="3F952DC8"/>
    <w:rsid w:val="3FE15005"/>
    <w:rsid w:val="3FE77469"/>
    <w:rsid w:val="3FF04570"/>
    <w:rsid w:val="400E2C48"/>
    <w:rsid w:val="40ED6D01"/>
    <w:rsid w:val="41216845"/>
    <w:rsid w:val="413A36FE"/>
    <w:rsid w:val="4213220D"/>
    <w:rsid w:val="4235270E"/>
    <w:rsid w:val="423F17DF"/>
    <w:rsid w:val="42461BF0"/>
    <w:rsid w:val="424C7A58"/>
    <w:rsid w:val="427179B7"/>
    <w:rsid w:val="428D039F"/>
    <w:rsid w:val="429E2362"/>
    <w:rsid w:val="42C65C3F"/>
    <w:rsid w:val="42FC0E58"/>
    <w:rsid w:val="43077F25"/>
    <w:rsid w:val="4310792B"/>
    <w:rsid w:val="43621354"/>
    <w:rsid w:val="436D5ED7"/>
    <w:rsid w:val="437454B8"/>
    <w:rsid w:val="43947908"/>
    <w:rsid w:val="43962512"/>
    <w:rsid w:val="43AA0EDA"/>
    <w:rsid w:val="43D25E53"/>
    <w:rsid w:val="43E25FC1"/>
    <w:rsid w:val="440138A0"/>
    <w:rsid w:val="44246EDE"/>
    <w:rsid w:val="44692B43"/>
    <w:rsid w:val="447C65C0"/>
    <w:rsid w:val="448742A8"/>
    <w:rsid w:val="44983428"/>
    <w:rsid w:val="44C47D79"/>
    <w:rsid w:val="44DA4136"/>
    <w:rsid w:val="451A208F"/>
    <w:rsid w:val="45433394"/>
    <w:rsid w:val="45877724"/>
    <w:rsid w:val="458A0FC3"/>
    <w:rsid w:val="458D2861"/>
    <w:rsid w:val="45BB3260"/>
    <w:rsid w:val="46092999"/>
    <w:rsid w:val="4612476D"/>
    <w:rsid w:val="468F5CB4"/>
    <w:rsid w:val="46957C1F"/>
    <w:rsid w:val="46B53E1D"/>
    <w:rsid w:val="46BA4B21"/>
    <w:rsid w:val="46C027C2"/>
    <w:rsid w:val="4743767B"/>
    <w:rsid w:val="474820C5"/>
    <w:rsid w:val="475B13E7"/>
    <w:rsid w:val="47777325"/>
    <w:rsid w:val="47DD7AD0"/>
    <w:rsid w:val="47E70FBB"/>
    <w:rsid w:val="47F02414"/>
    <w:rsid w:val="481D611E"/>
    <w:rsid w:val="48221986"/>
    <w:rsid w:val="48B545A9"/>
    <w:rsid w:val="48D34790"/>
    <w:rsid w:val="48ED18F0"/>
    <w:rsid w:val="48F826E7"/>
    <w:rsid w:val="4929464F"/>
    <w:rsid w:val="494C6C0E"/>
    <w:rsid w:val="4955379A"/>
    <w:rsid w:val="498C348F"/>
    <w:rsid w:val="49C34AA3"/>
    <w:rsid w:val="49DA3B9B"/>
    <w:rsid w:val="49DA528B"/>
    <w:rsid w:val="49FA4012"/>
    <w:rsid w:val="49FA5FEB"/>
    <w:rsid w:val="4A4F4589"/>
    <w:rsid w:val="4A5573E4"/>
    <w:rsid w:val="4A62606A"/>
    <w:rsid w:val="4A712751"/>
    <w:rsid w:val="4AF87271"/>
    <w:rsid w:val="4B380D6F"/>
    <w:rsid w:val="4B3A1029"/>
    <w:rsid w:val="4B555BCF"/>
    <w:rsid w:val="4B6E0A3F"/>
    <w:rsid w:val="4B771FE9"/>
    <w:rsid w:val="4BBC29D4"/>
    <w:rsid w:val="4C443C2D"/>
    <w:rsid w:val="4C560DCF"/>
    <w:rsid w:val="4C723258"/>
    <w:rsid w:val="4CB608EF"/>
    <w:rsid w:val="4D0E072B"/>
    <w:rsid w:val="4D0F1621"/>
    <w:rsid w:val="4D1F6318"/>
    <w:rsid w:val="4D24354A"/>
    <w:rsid w:val="4D4E6D7A"/>
    <w:rsid w:val="4D9A1FBF"/>
    <w:rsid w:val="4DCE1F8B"/>
    <w:rsid w:val="4DF94F37"/>
    <w:rsid w:val="4E0C5681"/>
    <w:rsid w:val="4E0D2791"/>
    <w:rsid w:val="4E2A6045"/>
    <w:rsid w:val="4E437F61"/>
    <w:rsid w:val="4E4E19C6"/>
    <w:rsid w:val="4E6F6FA8"/>
    <w:rsid w:val="4EB40E5E"/>
    <w:rsid w:val="4F1A33B7"/>
    <w:rsid w:val="4F411EB6"/>
    <w:rsid w:val="4F582EF7"/>
    <w:rsid w:val="4FBA24A4"/>
    <w:rsid w:val="4FBB7FCB"/>
    <w:rsid w:val="50100316"/>
    <w:rsid w:val="502A41CA"/>
    <w:rsid w:val="50983373"/>
    <w:rsid w:val="50AB5953"/>
    <w:rsid w:val="50D60C20"/>
    <w:rsid w:val="51183927"/>
    <w:rsid w:val="5135755A"/>
    <w:rsid w:val="51574F11"/>
    <w:rsid w:val="517B73AD"/>
    <w:rsid w:val="518A5306"/>
    <w:rsid w:val="51983548"/>
    <w:rsid w:val="51AB3D3B"/>
    <w:rsid w:val="51BD3D23"/>
    <w:rsid w:val="51D04201"/>
    <w:rsid w:val="51DA0BDC"/>
    <w:rsid w:val="51DC4954"/>
    <w:rsid w:val="521A27DD"/>
    <w:rsid w:val="52534816"/>
    <w:rsid w:val="52634928"/>
    <w:rsid w:val="52A0414F"/>
    <w:rsid w:val="53277999"/>
    <w:rsid w:val="5328255F"/>
    <w:rsid w:val="53987EBC"/>
    <w:rsid w:val="53A35FB7"/>
    <w:rsid w:val="53E24E44"/>
    <w:rsid w:val="53F94527"/>
    <w:rsid w:val="54014B46"/>
    <w:rsid w:val="54297BF9"/>
    <w:rsid w:val="5472334E"/>
    <w:rsid w:val="54DB5397"/>
    <w:rsid w:val="550348EE"/>
    <w:rsid w:val="55142657"/>
    <w:rsid w:val="555D5DAC"/>
    <w:rsid w:val="5563097D"/>
    <w:rsid w:val="556F4EE2"/>
    <w:rsid w:val="55D21BD3"/>
    <w:rsid w:val="55E9246E"/>
    <w:rsid w:val="56312D95"/>
    <w:rsid w:val="564725B8"/>
    <w:rsid w:val="56652099"/>
    <w:rsid w:val="56680EAC"/>
    <w:rsid w:val="56843C9F"/>
    <w:rsid w:val="569B3338"/>
    <w:rsid w:val="56A40209"/>
    <w:rsid w:val="56BF6006"/>
    <w:rsid w:val="56F5281F"/>
    <w:rsid w:val="573E766F"/>
    <w:rsid w:val="5765355C"/>
    <w:rsid w:val="57690BD0"/>
    <w:rsid w:val="576F0018"/>
    <w:rsid w:val="57C15E41"/>
    <w:rsid w:val="57CA1153"/>
    <w:rsid w:val="57E44562"/>
    <w:rsid w:val="57E46E53"/>
    <w:rsid w:val="580118E9"/>
    <w:rsid w:val="580E253F"/>
    <w:rsid w:val="58254B7B"/>
    <w:rsid w:val="584A495B"/>
    <w:rsid w:val="5892758E"/>
    <w:rsid w:val="58947716"/>
    <w:rsid w:val="58A65CBC"/>
    <w:rsid w:val="58B66C06"/>
    <w:rsid w:val="58C779E0"/>
    <w:rsid w:val="5909228A"/>
    <w:rsid w:val="59154BEF"/>
    <w:rsid w:val="59CA7788"/>
    <w:rsid w:val="5A1B6236"/>
    <w:rsid w:val="5A2E712E"/>
    <w:rsid w:val="5A2F2D66"/>
    <w:rsid w:val="5A6C562B"/>
    <w:rsid w:val="5A6D6164"/>
    <w:rsid w:val="5A86004F"/>
    <w:rsid w:val="5A8938AD"/>
    <w:rsid w:val="5AAE69DB"/>
    <w:rsid w:val="5AF0582F"/>
    <w:rsid w:val="5AF947C9"/>
    <w:rsid w:val="5B1B6AA6"/>
    <w:rsid w:val="5B224E28"/>
    <w:rsid w:val="5B7D7A78"/>
    <w:rsid w:val="5BAF7B56"/>
    <w:rsid w:val="5BD91F04"/>
    <w:rsid w:val="5BDB5C7C"/>
    <w:rsid w:val="5BE2525D"/>
    <w:rsid w:val="5BF611E3"/>
    <w:rsid w:val="5C0E6052"/>
    <w:rsid w:val="5C313AEE"/>
    <w:rsid w:val="5C86208C"/>
    <w:rsid w:val="5CAC7619"/>
    <w:rsid w:val="5CDB111B"/>
    <w:rsid w:val="5D131446"/>
    <w:rsid w:val="5D6D6DA8"/>
    <w:rsid w:val="5D7C18C6"/>
    <w:rsid w:val="5DA14CA4"/>
    <w:rsid w:val="5DA779D9"/>
    <w:rsid w:val="5DC84953"/>
    <w:rsid w:val="5DDC3F2E"/>
    <w:rsid w:val="5E0C01F1"/>
    <w:rsid w:val="5E9D051F"/>
    <w:rsid w:val="5EAC56AE"/>
    <w:rsid w:val="5EDA0A8B"/>
    <w:rsid w:val="5EF17643"/>
    <w:rsid w:val="5F0537AA"/>
    <w:rsid w:val="5F06097C"/>
    <w:rsid w:val="5F162912"/>
    <w:rsid w:val="5F20072A"/>
    <w:rsid w:val="5F2117F1"/>
    <w:rsid w:val="5F27754A"/>
    <w:rsid w:val="5F2B3E04"/>
    <w:rsid w:val="5F760F40"/>
    <w:rsid w:val="5FF3691B"/>
    <w:rsid w:val="5FFF5CB2"/>
    <w:rsid w:val="60161979"/>
    <w:rsid w:val="60673F83"/>
    <w:rsid w:val="606E1F64"/>
    <w:rsid w:val="607B7A2E"/>
    <w:rsid w:val="609E5FA7"/>
    <w:rsid w:val="60C253E7"/>
    <w:rsid w:val="60CE0B25"/>
    <w:rsid w:val="61555832"/>
    <w:rsid w:val="61A30FEA"/>
    <w:rsid w:val="61D5316E"/>
    <w:rsid w:val="61D67CE4"/>
    <w:rsid w:val="61D768EF"/>
    <w:rsid w:val="61DB6D9C"/>
    <w:rsid w:val="61EF4230"/>
    <w:rsid w:val="6200643D"/>
    <w:rsid w:val="623C3CCB"/>
    <w:rsid w:val="6277131B"/>
    <w:rsid w:val="62894736"/>
    <w:rsid w:val="62EC69C1"/>
    <w:rsid w:val="634D7FB6"/>
    <w:rsid w:val="63520F1A"/>
    <w:rsid w:val="636E0BBA"/>
    <w:rsid w:val="63964B41"/>
    <w:rsid w:val="63994A58"/>
    <w:rsid w:val="640026DC"/>
    <w:rsid w:val="640C1F5B"/>
    <w:rsid w:val="646C600B"/>
    <w:rsid w:val="647C3D75"/>
    <w:rsid w:val="64B27796"/>
    <w:rsid w:val="64B86C5F"/>
    <w:rsid w:val="64CC5E52"/>
    <w:rsid w:val="64DA0DFC"/>
    <w:rsid w:val="64FD5E87"/>
    <w:rsid w:val="65785BCE"/>
    <w:rsid w:val="658C3A08"/>
    <w:rsid w:val="658D4138"/>
    <w:rsid w:val="65B768E4"/>
    <w:rsid w:val="66043DF1"/>
    <w:rsid w:val="661D46CA"/>
    <w:rsid w:val="66887A48"/>
    <w:rsid w:val="66B94E0C"/>
    <w:rsid w:val="66BB1AFB"/>
    <w:rsid w:val="66CF7EED"/>
    <w:rsid w:val="66E83943"/>
    <w:rsid w:val="670F317A"/>
    <w:rsid w:val="673D6A15"/>
    <w:rsid w:val="67960780"/>
    <w:rsid w:val="682E5386"/>
    <w:rsid w:val="683726A5"/>
    <w:rsid w:val="684B23DC"/>
    <w:rsid w:val="68576EF7"/>
    <w:rsid w:val="6874548F"/>
    <w:rsid w:val="68817FE2"/>
    <w:rsid w:val="688D47A2"/>
    <w:rsid w:val="68CD623B"/>
    <w:rsid w:val="68DB72BC"/>
    <w:rsid w:val="68FD36D6"/>
    <w:rsid w:val="690164B5"/>
    <w:rsid w:val="69562DE6"/>
    <w:rsid w:val="695E105C"/>
    <w:rsid w:val="696012B6"/>
    <w:rsid w:val="69642093"/>
    <w:rsid w:val="69B239D8"/>
    <w:rsid w:val="69C02956"/>
    <w:rsid w:val="69CA6B08"/>
    <w:rsid w:val="6A042666"/>
    <w:rsid w:val="6A38073E"/>
    <w:rsid w:val="6A9736F0"/>
    <w:rsid w:val="6AF830B1"/>
    <w:rsid w:val="6B1715B7"/>
    <w:rsid w:val="6B2C2051"/>
    <w:rsid w:val="6B3233DF"/>
    <w:rsid w:val="6B680BAF"/>
    <w:rsid w:val="6B6C68F1"/>
    <w:rsid w:val="6BA17D14"/>
    <w:rsid w:val="6BAA7419"/>
    <w:rsid w:val="6BB42FE3"/>
    <w:rsid w:val="6BBB33D4"/>
    <w:rsid w:val="6BCC55E2"/>
    <w:rsid w:val="6BEA8026"/>
    <w:rsid w:val="6C0C5BDB"/>
    <w:rsid w:val="6C6770B8"/>
    <w:rsid w:val="6C845EBC"/>
    <w:rsid w:val="6CA41CC8"/>
    <w:rsid w:val="6CC20E82"/>
    <w:rsid w:val="6CD26C28"/>
    <w:rsid w:val="6CDC6DA1"/>
    <w:rsid w:val="6CF3436B"/>
    <w:rsid w:val="6D04612D"/>
    <w:rsid w:val="6D056FFD"/>
    <w:rsid w:val="6D3F3B91"/>
    <w:rsid w:val="6D443964"/>
    <w:rsid w:val="6D5B6316"/>
    <w:rsid w:val="6D7C6B93"/>
    <w:rsid w:val="6D9143ED"/>
    <w:rsid w:val="6DC74A88"/>
    <w:rsid w:val="6DD724DA"/>
    <w:rsid w:val="6DDC0B81"/>
    <w:rsid w:val="6DEA2117"/>
    <w:rsid w:val="6DF13E21"/>
    <w:rsid w:val="6E041063"/>
    <w:rsid w:val="6E0C6BA8"/>
    <w:rsid w:val="6E4C538F"/>
    <w:rsid w:val="6E8C1058"/>
    <w:rsid w:val="6EBF142E"/>
    <w:rsid w:val="6ED722D3"/>
    <w:rsid w:val="6EE175F6"/>
    <w:rsid w:val="6F5778B8"/>
    <w:rsid w:val="6F7C2E7B"/>
    <w:rsid w:val="6FC36D9E"/>
    <w:rsid w:val="6FE70C3C"/>
    <w:rsid w:val="70076BE8"/>
    <w:rsid w:val="70852D97"/>
    <w:rsid w:val="70A47AAD"/>
    <w:rsid w:val="70AE40C7"/>
    <w:rsid w:val="70C25205"/>
    <w:rsid w:val="70DA254F"/>
    <w:rsid w:val="70E51DA8"/>
    <w:rsid w:val="70F20FE3"/>
    <w:rsid w:val="71174B27"/>
    <w:rsid w:val="71946BA2"/>
    <w:rsid w:val="71A843FB"/>
    <w:rsid w:val="71C97895"/>
    <w:rsid w:val="721E450C"/>
    <w:rsid w:val="7256750B"/>
    <w:rsid w:val="7262278F"/>
    <w:rsid w:val="72D73D3D"/>
    <w:rsid w:val="733633B7"/>
    <w:rsid w:val="73394BB6"/>
    <w:rsid w:val="73397A01"/>
    <w:rsid w:val="736A253A"/>
    <w:rsid w:val="73A429A0"/>
    <w:rsid w:val="73AC2D59"/>
    <w:rsid w:val="73BE1CB4"/>
    <w:rsid w:val="73EC5B91"/>
    <w:rsid w:val="73FC458A"/>
    <w:rsid w:val="742E7E7F"/>
    <w:rsid w:val="747B5DF7"/>
    <w:rsid w:val="74C002E8"/>
    <w:rsid w:val="74CF1255"/>
    <w:rsid w:val="74E7523A"/>
    <w:rsid w:val="74FB54A4"/>
    <w:rsid w:val="751A7B05"/>
    <w:rsid w:val="75220020"/>
    <w:rsid w:val="755522F8"/>
    <w:rsid w:val="755E2DEF"/>
    <w:rsid w:val="75611CC1"/>
    <w:rsid w:val="75A03D67"/>
    <w:rsid w:val="75DD731F"/>
    <w:rsid w:val="7621652A"/>
    <w:rsid w:val="76265AC6"/>
    <w:rsid w:val="763A2EF5"/>
    <w:rsid w:val="76642085"/>
    <w:rsid w:val="768014A2"/>
    <w:rsid w:val="7682438C"/>
    <w:rsid w:val="768857E3"/>
    <w:rsid w:val="768D4B1F"/>
    <w:rsid w:val="769D2054"/>
    <w:rsid w:val="76C31EDD"/>
    <w:rsid w:val="76EC2FDC"/>
    <w:rsid w:val="77060EB2"/>
    <w:rsid w:val="77120FDD"/>
    <w:rsid w:val="775C2950"/>
    <w:rsid w:val="77610F13"/>
    <w:rsid w:val="778C37F8"/>
    <w:rsid w:val="779C230C"/>
    <w:rsid w:val="779D7E32"/>
    <w:rsid w:val="77B12E34"/>
    <w:rsid w:val="77CC3EE6"/>
    <w:rsid w:val="77D46CD2"/>
    <w:rsid w:val="77D83D50"/>
    <w:rsid w:val="781D0CC1"/>
    <w:rsid w:val="7823193A"/>
    <w:rsid w:val="782E61C7"/>
    <w:rsid w:val="783B33E4"/>
    <w:rsid w:val="7844130F"/>
    <w:rsid w:val="78534B66"/>
    <w:rsid w:val="785B3F75"/>
    <w:rsid w:val="787B0197"/>
    <w:rsid w:val="787E1A12"/>
    <w:rsid w:val="78BE10F6"/>
    <w:rsid w:val="78CA4C57"/>
    <w:rsid w:val="78D43D28"/>
    <w:rsid w:val="78DD2BDC"/>
    <w:rsid w:val="79435553"/>
    <w:rsid w:val="794672BF"/>
    <w:rsid w:val="79CB512B"/>
    <w:rsid w:val="79E263BE"/>
    <w:rsid w:val="7A064282"/>
    <w:rsid w:val="7A3C1D44"/>
    <w:rsid w:val="7A7B2AA4"/>
    <w:rsid w:val="7A9E283F"/>
    <w:rsid w:val="7ACB4CB6"/>
    <w:rsid w:val="7ADD5362"/>
    <w:rsid w:val="7B036E36"/>
    <w:rsid w:val="7B0E3521"/>
    <w:rsid w:val="7B1A0118"/>
    <w:rsid w:val="7B31160A"/>
    <w:rsid w:val="7B4E023F"/>
    <w:rsid w:val="7B62386D"/>
    <w:rsid w:val="7B6E2211"/>
    <w:rsid w:val="7BAB4A6E"/>
    <w:rsid w:val="7BAD0A4E"/>
    <w:rsid w:val="7BB00E61"/>
    <w:rsid w:val="7BD227A0"/>
    <w:rsid w:val="7C1822AA"/>
    <w:rsid w:val="7C85264B"/>
    <w:rsid w:val="7CA06753"/>
    <w:rsid w:val="7CB43242"/>
    <w:rsid w:val="7CB61824"/>
    <w:rsid w:val="7CBD69D7"/>
    <w:rsid w:val="7CC76395"/>
    <w:rsid w:val="7CEF2EDE"/>
    <w:rsid w:val="7D065423"/>
    <w:rsid w:val="7D1961AD"/>
    <w:rsid w:val="7D4F7E21"/>
    <w:rsid w:val="7D7A30EF"/>
    <w:rsid w:val="7D9D293A"/>
    <w:rsid w:val="7DA51A4B"/>
    <w:rsid w:val="7E0B01EB"/>
    <w:rsid w:val="7E1E7F1F"/>
    <w:rsid w:val="7E321E60"/>
    <w:rsid w:val="7E390B0F"/>
    <w:rsid w:val="7E493D4F"/>
    <w:rsid w:val="7E5356EF"/>
    <w:rsid w:val="7E812998"/>
    <w:rsid w:val="7E881DA7"/>
    <w:rsid w:val="7E894498"/>
    <w:rsid w:val="7E9B65C0"/>
    <w:rsid w:val="7F060C17"/>
    <w:rsid w:val="7F0C421B"/>
    <w:rsid w:val="7F2F766E"/>
    <w:rsid w:val="7F3D58B7"/>
    <w:rsid w:val="7F560E79"/>
    <w:rsid w:val="7F6B3277"/>
    <w:rsid w:val="7F7C3A97"/>
    <w:rsid w:val="7F9051D5"/>
    <w:rsid w:val="7F9C372F"/>
    <w:rsid w:val="7FE01204"/>
    <w:rsid w:val="7FFA67D9"/>
    <w:rsid w:val="7FFB9374"/>
    <w:rsid w:val="7FFC4290"/>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5">
    <w:name w:val="heading 2"/>
    <w:basedOn w:val="1"/>
    <w:next w:val="1"/>
    <w:link w:val="43"/>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6">
    <w:name w:val="heading 4"/>
    <w:basedOn w:val="1"/>
    <w:next w:val="1"/>
    <w:qFormat/>
    <w:uiPriority w:val="0"/>
    <w:pPr>
      <w:keepNext/>
      <w:keepLines/>
      <w:spacing w:line="374" w:lineRule="auto"/>
      <w:outlineLvl w:val="3"/>
    </w:pPr>
    <w:rPr>
      <w:rFonts w:ascii="Arial" w:hAnsi="Arial"/>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99"/>
    <w:pPr>
      <w:spacing w:line="240" w:lineRule="auto"/>
      <w:ind w:firstLine="420" w:firstLineChars="100"/>
    </w:pPr>
    <w:rPr>
      <w:rFonts w:ascii="Times New Roman" w:cs="Times New Roman"/>
      <w:sz w:val="20"/>
      <w:szCs w:val="20"/>
    </w:rPr>
  </w:style>
  <w:style w:type="paragraph" w:styleId="3">
    <w:name w:val="Body Text"/>
    <w:basedOn w:val="1"/>
    <w:next w:val="4"/>
    <w:semiHidden/>
    <w:qFormat/>
    <w:uiPriority w:val="0"/>
    <w:rPr>
      <w:rFonts w:ascii="Arial" w:hAnsi="Arial" w:eastAsia="Arial" w:cs="Arial"/>
      <w:sz w:val="21"/>
      <w:szCs w:val="21"/>
      <w:lang w:val="en-US" w:eastAsia="en-US" w:bidi="ar-SA"/>
    </w:rPr>
  </w:style>
  <w:style w:type="paragraph" w:styleId="4">
    <w:name w:val="Body Text 2"/>
    <w:basedOn w:val="1"/>
    <w:next w:val="3"/>
    <w:qFormat/>
    <w:uiPriority w:val="0"/>
    <w:pPr>
      <w:spacing w:line="500" w:lineRule="exact"/>
    </w:pPr>
    <w:rPr>
      <w:rFonts w:ascii="宋体" w:hAnsi="Times New Roman" w:eastAsia="宋体" w:cs="Times New Roman"/>
      <w:sz w:val="24"/>
    </w:rPr>
  </w:style>
  <w:style w:type="paragraph" w:styleId="7">
    <w:name w:val="annotation text"/>
    <w:basedOn w:val="1"/>
    <w:next w:val="1"/>
    <w:qFormat/>
    <w:uiPriority w:val="0"/>
    <w:pPr>
      <w:adjustRightInd w:val="0"/>
      <w:spacing w:line="360" w:lineRule="atLeast"/>
      <w:jc w:val="left"/>
      <w:textAlignment w:val="baseline"/>
    </w:pPr>
    <w:rPr>
      <w:kern w:val="0"/>
    </w:rPr>
  </w:style>
  <w:style w:type="paragraph" w:styleId="8">
    <w:name w:val="toc 3"/>
    <w:basedOn w:val="1"/>
    <w:next w:val="1"/>
    <w:qFormat/>
    <w:uiPriority w:val="0"/>
    <w:pPr>
      <w:ind w:left="840" w:leftChars="400"/>
    </w:pPr>
  </w:style>
  <w:style w:type="paragraph" w:styleId="9">
    <w:name w:val="Plain Text"/>
    <w:basedOn w:val="1"/>
    <w:qFormat/>
    <w:uiPriority w:val="0"/>
    <w:rPr>
      <w:rFonts w:ascii="宋体" w:hAnsi="Courier New"/>
      <w:szCs w:val="20"/>
    </w:rPr>
  </w:style>
  <w:style w:type="paragraph" w:styleId="10">
    <w:name w:val="footer"/>
    <w:basedOn w:val="1"/>
    <w:qFormat/>
    <w:uiPriority w:val="0"/>
    <w:pPr>
      <w:tabs>
        <w:tab w:val="center" w:pos="4153"/>
        <w:tab w:val="right" w:pos="8306"/>
      </w:tabs>
      <w:snapToGrid w:val="0"/>
      <w:jc w:val="left"/>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Normal (Web)"/>
    <w:basedOn w:val="1"/>
    <w:qFormat/>
    <w:uiPriority w:val="0"/>
    <w:pPr>
      <w:spacing w:beforeAutospacing="1" w:afterAutospacing="1"/>
      <w:jc w:val="left"/>
    </w:pPr>
    <w:rPr>
      <w:rFonts w:cs="Times New Roman"/>
      <w:kern w:val="0"/>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Emphasis"/>
    <w:basedOn w:val="16"/>
    <w:qFormat/>
    <w:uiPriority w:val="0"/>
    <w:rPr>
      <w:i/>
    </w:rPr>
  </w:style>
  <w:style w:type="paragraph" w:customStyle="1" w:styleId="18">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customStyle="1" w:styleId="19">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0">
    <w:name w:val="NormalCharacter"/>
    <w:qFormat/>
    <w:uiPriority w:val="99"/>
  </w:style>
  <w:style w:type="paragraph" w:customStyle="1" w:styleId="21">
    <w:name w:val="Table Text"/>
    <w:basedOn w:val="1"/>
    <w:semiHidden/>
    <w:qFormat/>
    <w:uiPriority w:val="0"/>
    <w:rPr>
      <w:rFonts w:ascii="Arial" w:hAnsi="Arial" w:eastAsia="Arial" w:cs="Arial"/>
      <w:sz w:val="21"/>
      <w:szCs w:val="21"/>
      <w:lang w:val="en-US" w:eastAsia="en-US" w:bidi="ar-SA"/>
    </w:rPr>
  </w:style>
  <w:style w:type="paragraph" w:customStyle="1" w:styleId="22">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正文缩进1"/>
    <w:basedOn w:val="1"/>
    <w:qFormat/>
    <w:uiPriority w:val="0"/>
    <w:pPr>
      <w:widowControl/>
      <w:ind w:firstLine="420"/>
      <w:jc w:val="left"/>
    </w:pPr>
    <w:rPr>
      <w:kern w:val="0"/>
    </w:rPr>
  </w:style>
  <w:style w:type="paragraph" w:customStyle="1" w:styleId="24">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5">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6">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8">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Heading2"/>
    <w:basedOn w:val="1"/>
    <w:next w:val="1"/>
    <w:qFormat/>
    <w:uiPriority w:val="99"/>
    <w:pPr>
      <w:jc w:val="left"/>
    </w:pPr>
    <w:rPr>
      <w:kern w:val="0"/>
    </w:rPr>
  </w:style>
  <w:style w:type="paragraph" w:customStyle="1" w:styleId="30">
    <w:name w:val="AnnotationText"/>
    <w:basedOn w:val="1"/>
    <w:qFormat/>
    <w:uiPriority w:val="99"/>
    <w:pPr>
      <w:spacing w:line="360" w:lineRule="atLeast"/>
      <w:jc w:val="left"/>
    </w:pPr>
    <w:rPr>
      <w:kern w:val="0"/>
    </w:rPr>
  </w:style>
  <w:style w:type="paragraph" w:customStyle="1" w:styleId="31">
    <w:name w:val="UserStyle_44"/>
    <w:basedOn w:val="32"/>
    <w:qFormat/>
    <w:uiPriority w:val="99"/>
    <w:rPr>
      <w:sz w:val="24"/>
      <w:szCs w:val="24"/>
    </w:rPr>
  </w:style>
  <w:style w:type="paragraph" w:customStyle="1" w:styleId="32">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3">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4">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5">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6">
    <w:name w:val="BodyText"/>
    <w:basedOn w:val="1"/>
    <w:next w:val="37"/>
    <w:qFormat/>
    <w:uiPriority w:val="99"/>
    <w:pPr>
      <w:spacing w:after="120"/>
    </w:pPr>
  </w:style>
  <w:style w:type="paragraph" w:customStyle="1" w:styleId="37">
    <w:name w:val="BodyText2"/>
    <w:basedOn w:val="1"/>
    <w:qFormat/>
    <w:uiPriority w:val="99"/>
    <w:pPr>
      <w:spacing w:line="500" w:lineRule="exact"/>
    </w:pPr>
  </w:style>
  <w:style w:type="paragraph" w:customStyle="1" w:styleId="38">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9">
    <w:name w:val="正文缩进 New"/>
    <w:basedOn w:val="40"/>
    <w:qFormat/>
    <w:uiPriority w:val="0"/>
    <w:pPr>
      <w:widowControl/>
      <w:ind w:firstLine="420"/>
      <w:jc w:val="left"/>
    </w:pPr>
    <w:rPr>
      <w:kern w:val="0"/>
      <w:sz w:val="20"/>
    </w:rPr>
  </w:style>
  <w:style w:type="paragraph" w:customStyle="1" w:styleId="40">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1">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2">
    <w:name w:val="正文文本 (2) + 间距 0 pt3"/>
    <w:basedOn w:val="16"/>
    <w:qFormat/>
    <w:uiPriority w:val="0"/>
    <w:rPr>
      <w:rFonts w:ascii="MingLiU" w:hAnsi="Times New Roman" w:eastAsia="MingLiU" w:cs="MingLiU"/>
      <w:spacing w:val="0"/>
      <w:sz w:val="22"/>
      <w:szCs w:val="22"/>
      <w:u w:val="none"/>
    </w:rPr>
  </w:style>
  <w:style w:type="character" w:customStyle="1" w:styleId="43">
    <w:name w:val="标题 2 字符"/>
    <w:link w:val="5"/>
    <w:qFormat/>
    <w:uiPriority w:val="0"/>
    <w:rPr>
      <w:rFonts w:hint="eastAsia" w:ascii="宋体" w:hAnsi="宋体" w:eastAsia="宋体" w:cs="宋体"/>
      <w:b/>
      <w:bCs/>
      <w:kern w:val="0"/>
      <w:sz w:val="36"/>
      <w:szCs w:val="36"/>
      <w:lang w:val="en-US" w:eastAsia="zh-CN" w:bidi="ar"/>
    </w:rPr>
  </w:style>
  <w:style w:type="paragraph" w:customStyle="1" w:styleId="44">
    <w:name w:val="标题 3 New New"/>
    <w:basedOn w:val="39"/>
    <w:next w:val="39"/>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45">
    <w:name w:val="UserStyle_76"/>
    <w:basedOn w:val="46"/>
    <w:qFormat/>
    <w:uiPriority w:val="99"/>
    <w:pPr>
      <w:ind w:firstLine="420"/>
      <w:jc w:val="left"/>
    </w:pPr>
    <w:rPr>
      <w:kern w:val="0"/>
      <w:sz w:val="20"/>
      <w:szCs w:val="20"/>
    </w:rPr>
  </w:style>
  <w:style w:type="paragraph" w:customStyle="1" w:styleId="46">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7">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8">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9">
    <w:name w:val="正文1"/>
    <w:basedOn w:val="1"/>
    <w:qFormat/>
    <w:uiPriority w:val="0"/>
    <w:pPr>
      <w:widowControl/>
      <w:textAlignment w:val="baseline"/>
    </w:pPr>
    <w:rPr>
      <w:szCs w:val="24"/>
    </w:rPr>
  </w:style>
  <w:style w:type="paragraph" w:customStyle="1" w:styleId="50">
    <w:name w:val="样式 宋体 行距: 1.5 倍行距"/>
    <w:basedOn w:val="51"/>
    <w:next w:val="1"/>
    <w:qFormat/>
    <w:uiPriority w:val="99"/>
    <w:pPr>
      <w:jc w:val="center"/>
    </w:pPr>
    <w:rPr>
      <w:b/>
    </w:rPr>
  </w:style>
  <w:style w:type="paragraph" w:customStyle="1" w:styleId="5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50"/>
    <w:qFormat/>
    <w:uiPriority w:val="0"/>
    <w:pPr>
      <w:widowControl w:val="0"/>
      <w:jc w:val="both"/>
    </w:pPr>
    <w:rPr>
      <w:rFonts w:ascii="Calibri" w:hAnsi="Calibri" w:eastAsia="宋体" w:cs="黑体"/>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7" Type="http://schemas.openxmlformats.org/officeDocument/2006/relationships/fontTable" Target="fontTable.xml"/><Relationship Id="rId56" Type="http://schemas.openxmlformats.org/officeDocument/2006/relationships/numbering" Target="numbering.xml"/><Relationship Id="rId55" Type="http://schemas.openxmlformats.org/officeDocument/2006/relationships/customXml" Target="../customXml/item1.xml"/><Relationship Id="rId54" Type="http://schemas.openxmlformats.org/officeDocument/2006/relationships/image" Target="media/image17.png"/><Relationship Id="rId53" Type="http://schemas.openxmlformats.org/officeDocument/2006/relationships/image" Target="media/image16.jpeg"/><Relationship Id="rId52" Type="http://schemas.openxmlformats.org/officeDocument/2006/relationships/image" Target="media/image15.png"/><Relationship Id="rId51" Type="http://schemas.openxmlformats.org/officeDocument/2006/relationships/image" Target="media/image14.png"/><Relationship Id="rId50" Type="http://schemas.openxmlformats.org/officeDocument/2006/relationships/image" Target="media/image13.wmf"/><Relationship Id="rId5" Type="http://schemas.openxmlformats.org/officeDocument/2006/relationships/footer" Target="footer1.xml"/><Relationship Id="rId49" Type="http://schemas.openxmlformats.org/officeDocument/2006/relationships/oleObject" Target="embeddings/oleObject12.bin"/><Relationship Id="rId48" Type="http://schemas.openxmlformats.org/officeDocument/2006/relationships/image" Target="media/image12.wmf"/><Relationship Id="rId47" Type="http://schemas.openxmlformats.org/officeDocument/2006/relationships/oleObject" Target="embeddings/oleObject11.bin"/><Relationship Id="rId46" Type="http://schemas.openxmlformats.org/officeDocument/2006/relationships/image" Target="media/image11.wmf"/><Relationship Id="rId45" Type="http://schemas.openxmlformats.org/officeDocument/2006/relationships/oleObject" Target="embeddings/oleObject10.bin"/><Relationship Id="rId44" Type="http://schemas.openxmlformats.org/officeDocument/2006/relationships/image" Target="media/image10.wmf"/><Relationship Id="rId43" Type="http://schemas.openxmlformats.org/officeDocument/2006/relationships/oleObject" Target="embeddings/oleObject9.bin"/><Relationship Id="rId42" Type="http://schemas.openxmlformats.org/officeDocument/2006/relationships/image" Target="media/image9.wmf"/><Relationship Id="rId41" Type="http://schemas.openxmlformats.org/officeDocument/2006/relationships/oleObject" Target="embeddings/oleObject8.bin"/><Relationship Id="rId40" Type="http://schemas.openxmlformats.org/officeDocument/2006/relationships/image" Target="media/image8.wmf"/><Relationship Id="rId4" Type="http://schemas.openxmlformats.org/officeDocument/2006/relationships/header" Target="header2.xml"/><Relationship Id="rId39" Type="http://schemas.openxmlformats.org/officeDocument/2006/relationships/oleObject" Target="embeddings/oleObject7.bin"/><Relationship Id="rId38" Type="http://schemas.openxmlformats.org/officeDocument/2006/relationships/image" Target="media/image7.wmf"/><Relationship Id="rId37" Type="http://schemas.openxmlformats.org/officeDocument/2006/relationships/oleObject" Target="embeddings/oleObject6.bin"/><Relationship Id="rId36" Type="http://schemas.openxmlformats.org/officeDocument/2006/relationships/image" Target="media/image6.wmf"/><Relationship Id="rId35" Type="http://schemas.openxmlformats.org/officeDocument/2006/relationships/oleObject" Target="embeddings/oleObject5.bin"/><Relationship Id="rId34" Type="http://schemas.openxmlformats.org/officeDocument/2006/relationships/image" Target="media/image5.wmf"/><Relationship Id="rId33" Type="http://schemas.openxmlformats.org/officeDocument/2006/relationships/oleObject" Target="embeddings/oleObject4.bin"/><Relationship Id="rId32" Type="http://schemas.openxmlformats.org/officeDocument/2006/relationships/image" Target="media/image4.wmf"/><Relationship Id="rId31" Type="http://schemas.openxmlformats.org/officeDocument/2006/relationships/oleObject" Target="embeddings/oleObject3.bin"/><Relationship Id="rId30" Type="http://schemas.openxmlformats.org/officeDocument/2006/relationships/image" Target="media/image3.wmf"/><Relationship Id="rId3" Type="http://schemas.openxmlformats.org/officeDocument/2006/relationships/header" Target="header1.xml"/><Relationship Id="rId29" Type="http://schemas.openxmlformats.org/officeDocument/2006/relationships/oleObject" Target="embeddings/oleObject2.bin"/><Relationship Id="rId28" Type="http://schemas.openxmlformats.org/officeDocument/2006/relationships/image" Target="media/image2.wmf"/><Relationship Id="rId27" Type="http://schemas.openxmlformats.org/officeDocument/2006/relationships/oleObject" Target="embeddings/oleObject1.bin"/><Relationship Id="rId26" Type="http://schemas.openxmlformats.org/officeDocument/2006/relationships/image" Target="media/image1.png"/><Relationship Id="rId25" Type="http://schemas.openxmlformats.org/officeDocument/2006/relationships/theme" Target="theme/theme1.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83</Pages>
  <Words>6072</Words>
  <Characters>6595</Characters>
  <Lines>0</Lines>
  <Paragraphs>0</Paragraphs>
  <TotalTime>17</TotalTime>
  <ScaleCrop>false</ScaleCrop>
  <LinksUpToDate>false</LinksUpToDate>
  <CharactersWithSpaces>6972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2024-09-28T20:36:00Z</dcterms:created>
  <dc:creator>Administrator</dc:creator>
  <cp:lastModifiedBy>纹</cp:lastModifiedBy>
  <cp:lastPrinted>2026-03-23T01:54:00Z</cp:lastPrinted>
  <dcterms:modified xsi:type="dcterms:W3CDTF">2026-05-08T01:57:36Z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73031B3F5E884AEC8B3891083D984F38_13</vt:lpwstr>
  </property>
  <property fmtid="{D5CDD505-2E9C-101B-9397-08002B2CF9AE}" pid="4" name="KSOTemplateDocerSaveRecord">
    <vt:lpwstr>eyJoZGlkIjoiMDU4OTQ2YzliZWY2MTM5OTI2NmNiZjUzZDA5NDIxNGIiLCJ1c2VySWQiOiI0NTYwODYyNjcifQ==</vt:lpwstr>
  </property>
</Properties>
</file>