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75376">
      <w:pPr>
        <w:spacing w:line="240" w:lineRule="auto"/>
        <w:jc w:val="center"/>
        <w:rPr>
          <w:rFonts w:hint="eastAsia" w:ascii="宋体" w:hAnsi="宋体" w:eastAsia="宋体" w:cs="宋体"/>
          <w:b/>
          <w:color w:val="auto"/>
          <w:sz w:val="32"/>
          <w:szCs w:val="32"/>
          <w:highlight w:val="none"/>
          <w:lang w:eastAsia="zh-CN"/>
        </w:rPr>
      </w:pPr>
      <w:bookmarkStart w:id="0" w:name="_Toc348945722"/>
      <w:bookmarkStart w:id="387" w:name="_GoBack"/>
      <w:r>
        <w:rPr>
          <w:rFonts w:hint="eastAsia" w:ascii="宋体" w:hAnsi="宋体" w:eastAsia="宋体" w:cs="宋体"/>
          <w:b/>
          <w:color w:val="auto"/>
          <w:sz w:val="32"/>
          <w:szCs w:val="32"/>
          <w:highlight w:val="none"/>
          <w:lang w:eastAsia="zh-CN"/>
        </w:rPr>
        <w:drawing>
          <wp:inline distT="0" distB="0" distL="114300" distR="114300">
            <wp:extent cx="6104890" cy="8641080"/>
            <wp:effectExtent l="0" t="0" r="10160" b="7620"/>
            <wp:docPr id="5" name="图片 5"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招标文件封面_01"/>
                    <pic:cNvPicPr>
                      <a:picLocks noChangeAspect="1"/>
                    </pic:cNvPicPr>
                  </pic:nvPicPr>
                  <pic:blipFill>
                    <a:blip r:embed="rId8"/>
                    <a:stretch>
                      <a:fillRect/>
                    </a:stretch>
                  </pic:blipFill>
                  <pic:spPr>
                    <a:xfrm>
                      <a:off x="0" y="0"/>
                      <a:ext cx="6104890" cy="8641080"/>
                    </a:xfrm>
                    <a:prstGeom prst="rect">
                      <a:avLst/>
                    </a:prstGeom>
                  </pic:spPr>
                </pic:pic>
              </a:graphicData>
            </a:graphic>
          </wp:inline>
        </w:drawing>
      </w:r>
      <w:bookmarkEnd w:id="387"/>
    </w:p>
    <w:p w14:paraId="1A263553">
      <w:pPr>
        <w:spacing w:line="240" w:lineRule="auto"/>
        <w:jc w:val="center"/>
        <w:rPr>
          <w:rFonts w:hint="eastAsia" w:ascii="宋体" w:hAnsi="宋体" w:eastAsia="宋体" w:cs="宋体"/>
          <w:b/>
          <w:color w:val="auto"/>
          <w:sz w:val="32"/>
          <w:szCs w:val="32"/>
          <w:highlight w:val="none"/>
        </w:rPr>
        <w:sectPr>
          <w:headerReference r:id="rId3" w:type="default"/>
          <w:footerReference r:id="rId4" w:type="default"/>
          <w:pgSz w:w="11906" w:h="16838"/>
          <w:pgMar w:top="1418" w:right="1134" w:bottom="1418" w:left="1134" w:header="851" w:footer="992" w:gutter="0"/>
          <w:pgBorders w:offsetFrom="page">
            <w:top w:val="none" w:sz="0" w:space="0"/>
            <w:left w:val="none" w:sz="0" w:space="0"/>
            <w:bottom w:val="none" w:sz="0" w:space="0"/>
            <w:right w:val="none" w:sz="0" w:space="0"/>
          </w:pgBorders>
          <w:pgNumType w:start="1"/>
          <w:cols w:space="720" w:num="1"/>
          <w:docGrid w:type="lines" w:linePitch="312" w:charSpace="0"/>
        </w:sectPr>
      </w:pPr>
    </w:p>
    <w:p w14:paraId="506FA436">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目录</w:t>
      </w:r>
      <w:bookmarkEnd w:id="0"/>
    </w:p>
    <w:p w14:paraId="08284EE6">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TOC \o "1-2" \h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第一卷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_Toc6929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4CAB41D9">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第一章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_Toc7279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6BCB47FC">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第二章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_Toc16226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1294FCDD">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_Toc4439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投标人须知前附表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_Toc4439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442E9FC7">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第三章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评标</w:t>
      </w:r>
      <w:r>
        <w:rPr>
          <w:rFonts w:hint="eastAsia" w:ascii="宋体" w:hAnsi="宋体" w:eastAsia="宋体" w:cs="宋体"/>
          <w:color w:val="auto"/>
          <w:sz w:val="24"/>
          <w:szCs w:val="24"/>
          <w:lang w:val="en-US" w:eastAsia="zh-CN"/>
        </w:rPr>
        <w:t>定标</w:t>
      </w:r>
      <w:r>
        <w:rPr>
          <w:rFonts w:hint="eastAsia" w:ascii="宋体" w:hAnsi="宋体" w:eastAsia="宋体" w:cs="宋体"/>
          <w:color w:val="auto"/>
          <w:sz w:val="24"/>
          <w:szCs w:val="24"/>
        </w:rPr>
        <w:t>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737385D8">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一、评标依据</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_Toc13109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00BB4D66">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二、评标委员会组成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_Toc17915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353153BC">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_Toc11625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三、投标报价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_Toc11625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4A552927">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四、评标纪律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238435CA">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五、评标监督管理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_Toc18620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7DBEE981">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六、评标程序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_Toc30605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2A182E78">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七、评标办法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_Toc12414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0F5332E9">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评标办法前附表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_Toc27178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22A05E60">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lang w:val="en-US" w:eastAsia="zh-CN"/>
        </w:rPr>
        <w:t>八、定标办法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_Toc17714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3DFD00E3">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_Toc7890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第四章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合同条款及格式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_Toc7890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34EDD158">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第1节</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通用合同条款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_Toc14544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00E7482D">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_Toc6826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第2节</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专用合同条款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_Toc6826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2167E934">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第3节</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合同附件格式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_Toc24001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140E9E32">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第五章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工程量清单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另附）</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_Toc5167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1231BC4E">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第二卷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_Toc18927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42B63252">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_Toc23588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第六章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图纸（招标图纸）</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_Toc23588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6D030F7E">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第三卷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_Toc15318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7764FAFC">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第七章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技术标准和要求（合同技术条款）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_Toc1977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2088974F">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第四卷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_Toc6491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66B3C4F3">
      <w:pPr>
        <w:pStyle w:val="20"/>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第八章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6883C620">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_Toc14057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格式1：</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_Toc14057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359484B7">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格式2：</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_Toc29812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50099942">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格式3：</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_Toc28049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763AEC0F">
      <w:pPr>
        <w:pStyle w:val="24"/>
        <w:keepNext w:val="0"/>
        <w:keepLines w:val="0"/>
        <w:pageBreakBefore w:val="0"/>
        <w:widowControl w:val="0"/>
        <w:tabs>
          <w:tab w:val="right" w:leader="dot" w:pos="9638"/>
        </w:tabs>
        <w:kinsoku/>
        <w:wordWrap/>
        <w:overflowPunct/>
        <w:topLinePunct w:val="0"/>
        <w:autoSpaceDE/>
        <w:autoSpaceDN/>
        <w:bidi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rPr>
        <w:t>格式</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683046AF">
      <w:pPr>
        <w:keepNext w:val="0"/>
        <w:keepLines w:val="0"/>
        <w:pageBreakBefore w:val="0"/>
        <w:widowControl w:val="0"/>
        <w:kinsoku/>
        <w:wordWrap/>
        <w:overflowPunct/>
        <w:topLinePunct w:val="0"/>
        <w:autoSpaceDE/>
        <w:autoSpaceDN/>
        <w:bidi w:val="0"/>
        <w:adjustRightInd w:val="0"/>
        <w:snapToGrid w:val="0"/>
        <w:spacing w:line="240" w:lineRule="auto"/>
        <w:ind w:firstLine="3228" w:firstLineChars="134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fldChar w:fldCharType="end"/>
      </w:r>
    </w:p>
    <w:p w14:paraId="03CA74D0">
      <w:pPr>
        <w:adjustRightInd w:val="0"/>
        <w:snapToGrid w:val="0"/>
        <w:spacing w:line="240" w:lineRule="auto"/>
        <w:ind w:firstLine="2824" w:firstLineChars="1345"/>
        <w:contextualSpacing/>
        <w:rPr>
          <w:rFonts w:hint="eastAsia" w:ascii="宋体" w:hAnsi="宋体" w:eastAsia="宋体" w:cs="宋体"/>
          <w:color w:val="auto"/>
          <w:szCs w:val="21"/>
          <w:highlight w:val="none"/>
        </w:rPr>
      </w:pPr>
    </w:p>
    <w:p w14:paraId="62171E72">
      <w:pPr>
        <w:spacing w:line="360" w:lineRule="auto"/>
        <w:jc w:val="center"/>
        <w:outlineLvl w:val="0"/>
        <w:rPr>
          <w:rFonts w:hint="eastAsia" w:ascii="宋体" w:hAnsi="宋体" w:eastAsia="宋体" w:cs="宋体"/>
          <w:color w:val="auto"/>
          <w:sz w:val="84"/>
          <w:szCs w:val="84"/>
          <w:highlight w:val="none"/>
        </w:rPr>
        <w:sectPr>
          <w:footerReference r:id="rId5" w:type="default"/>
          <w:pgSz w:w="11906" w:h="16838"/>
          <w:pgMar w:top="1418" w:right="1134" w:bottom="1418" w:left="1134" w:header="851" w:footer="992"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70F9FFA8">
      <w:pPr>
        <w:bidi w:val="0"/>
        <w:rPr>
          <w:rFonts w:hint="eastAsia" w:ascii="宋体" w:hAnsi="宋体" w:eastAsia="宋体" w:cs="宋体"/>
          <w:color w:val="auto"/>
        </w:rPr>
      </w:pPr>
    </w:p>
    <w:p w14:paraId="164304B4">
      <w:pPr>
        <w:bidi w:val="0"/>
        <w:rPr>
          <w:rFonts w:hint="eastAsia" w:ascii="宋体" w:hAnsi="宋体" w:eastAsia="宋体" w:cs="宋体"/>
          <w:color w:val="auto"/>
        </w:rPr>
      </w:pPr>
    </w:p>
    <w:p w14:paraId="3005A467">
      <w:pPr>
        <w:bidi w:val="0"/>
        <w:rPr>
          <w:rFonts w:hint="eastAsia" w:ascii="宋体" w:hAnsi="宋体" w:eastAsia="宋体" w:cs="宋体"/>
          <w:color w:val="auto"/>
        </w:rPr>
      </w:pPr>
    </w:p>
    <w:p w14:paraId="3F38C079">
      <w:pPr>
        <w:rPr>
          <w:rFonts w:hint="eastAsia" w:ascii="宋体" w:hAnsi="宋体" w:eastAsia="宋体" w:cs="宋体"/>
          <w:color w:val="auto"/>
          <w:highlight w:val="none"/>
        </w:rPr>
      </w:pPr>
    </w:p>
    <w:p w14:paraId="1C3F04D1">
      <w:pPr>
        <w:rPr>
          <w:rFonts w:hint="eastAsia" w:ascii="宋体" w:hAnsi="宋体" w:eastAsia="宋体" w:cs="宋体"/>
          <w:color w:val="auto"/>
          <w:highlight w:val="none"/>
        </w:rPr>
      </w:pPr>
    </w:p>
    <w:p w14:paraId="78512789">
      <w:pPr>
        <w:rPr>
          <w:rFonts w:hint="eastAsia" w:ascii="宋体" w:hAnsi="宋体" w:eastAsia="宋体" w:cs="宋体"/>
          <w:color w:val="auto"/>
          <w:highlight w:val="none"/>
        </w:rPr>
      </w:pPr>
    </w:p>
    <w:p w14:paraId="4DDD21BD">
      <w:pPr>
        <w:rPr>
          <w:rFonts w:hint="eastAsia" w:ascii="宋体" w:hAnsi="宋体" w:eastAsia="宋体" w:cs="宋体"/>
          <w:color w:val="auto"/>
          <w:highlight w:val="none"/>
        </w:rPr>
      </w:pPr>
    </w:p>
    <w:p w14:paraId="2AA2B871">
      <w:pPr>
        <w:rPr>
          <w:rFonts w:hint="eastAsia" w:ascii="宋体" w:hAnsi="宋体" w:eastAsia="宋体" w:cs="宋体"/>
          <w:color w:val="auto"/>
          <w:highlight w:val="none"/>
        </w:rPr>
      </w:pPr>
    </w:p>
    <w:p w14:paraId="24D535C4">
      <w:pPr>
        <w:rPr>
          <w:rFonts w:hint="eastAsia" w:ascii="宋体" w:hAnsi="宋体" w:eastAsia="宋体" w:cs="宋体"/>
          <w:color w:val="auto"/>
          <w:highlight w:val="none"/>
        </w:rPr>
      </w:pPr>
    </w:p>
    <w:p w14:paraId="615523DA">
      <w:pPr>
        <w:rPr>
          <w:rFonts w:hint="eastAsia" w:ascii="宋体" w:hAnsi="宋体" w:eastAsia="宋体" w:cs="宋体"/>
          <w:color w:val="auto"/>
          <w:highlight w:val="none"/>
        </w:rPr>
      </w:pPr>
    </w:p>
    <w:p w14:paraId="466E4B53">
      <w:pPr>
        <w:rPr>
          <w:rFonts w:hint="eastAsia" w:ascii="宋体" w:hAnsi="宋体" w:eastAsia="宋体" w:cs="宋体"/>
          <w:color w:val="auto"/>
          <w:highlight w:val="none"/>
        </w:rPr>
      </w:pPr>
    </w:p>
    <w:p w14:paraId="351B285A">
      <w:pPr>
        <w:rPr>
          <w:rFonts w:hint="eastAsia" w:ascii="宋体" w:hAnsi="宋体" w:eastAsia="宋体" w:cs="宋体"/>
          <w:color w:val="auto"/>
          <w:highlight w:val="none"/>
        </w:rPr>
      </w:pPr>
    </w:p>
    <w:p w14:paraId="3AF42A16">
      <w:pPr>
        <w:rPr>
          <w:rFonts w:hint="eastAsia" w:ascii="宋体" w:hAnsi="宋体" w:eastAsia="宋体" w:cs="宋体"/>
          <w:color w:val="auto"/>
          <w:highlight w:val="none"/>
        </w:rPr>
      </w:pPr>
    </w:p>
    <w:p w14:paraId="7EE490C0">
      <w:pPr>
        <w:rPr>
          <w:rFonts w:hint="eastAsia" w:ascii="宋体" w:hAnsi="宋体" w:eastAsia="宋体" w:cs="宋体"/>
          <w:color w:val="auto"/>
          <w:highlight w:val="none"/>
        </w:rPr>
      </w:pPr>
    </w:p>
    <w:p w14:paraId="6760B3A6">
      <w:pPr>
        <w:rPr>
          <w:rFonts w:hint="eastAsia" w:ascii="宋体" w:hAnsi="宋体" w:eastAsia="宋体" w:cs="宋体"/>
          <w:color w:val="auto"/>
          <w:highlight w:val="none"/>
        </w:rPr>
      </w:pPr>
    </w:p>
    <w:p w14:paraId="342AEA70">
      <w:pPr>
        <w:rPr>
          <w:rFonts w:hint="eastAsia" w:ascii="宋体" w:hAnsi="宋体" w:eastAsia="宋体" w:cs="宋体"/>
          <w:color w:val="auto"/>
          <w:highlight w:val="none"/>
        </w:rPr>
      </w:pPr>
    </w:p>
    <w:p w14:paraId="100A90F7">
      <w:pPr>
        <w:rPr>
          <w:rFonts w:hint="eastAsia" w:ascii="宋体" w:hAnsi="宋体" w:eastAsia="宋体" w:cs="宋体"/>
          <w:color w:val="auto"/>
          <w:highlight w:val="none"/>
        </w:rPr>
      </w:pPr>
    </w:p>
    <w:p w14:paraId="058B782A">
      <w:pPr>
        <w:pStyle w:val="2"/>
        <w:bidi w:val="0"/>
        <w:jc w:val="center"/>
        <w:rPr>
          <w:rFonts w:hint="eastAsia" w:ascii="宋体" w:hAnsi="宋体" w:eastAsia="宋体" w:cs="宋体"/>
          <w:color w:val="auto"/>
          <w:sz w:val="72"/>
          <w:szCs w:val="144"/>
        </w:rPr>
      </w:pPr>
      <w:bookmarkStart w:id="1" w:name="_Toc6929"/>
      <w:bookmarkStart w:id="2" w:name="_Toc27487"/>
      <w:bookmarkStart w:id="3" w:name="_Toc5889"/>
      <w:r>
        <w:rPr>
          <w:rFonts w:hint="eastAsia" w:ascii="宋体" w:hAnsi="宋体" w:eastAsia="宋体" w:cs="宋体"/>
          <w:color w:val="auto"/>
          <w:sz w:val="72"/>
          <w:szCs w:val="144"/>
        </w:rPr>
        <w:t>第一卷</w:t>
      </w:r>
      <w:bookmarkEnd w:id="1"/>
      <w:bookmarkEnd w:id="2"/>
      <w:bookmarkEnd w:id="3"/>
    </w:p>
    <w:p w14:paraId="05A4CB50">
      <w:pPr>
        <w:spacing w:line="360" w:lineRule="auto"/>
        <w:ind w:firstLine="420" w:firstLineChars="200"/>
        <w:rPr>
          <w:rFonts w:hint="eastAsia" w:ascii="宋体" w:hAnsi="宋体" w:eastAsia="宋体" w:cs="宋体"/>
          <w:color w:val="auto"/>
          <w:szCs w:val="21"/>
          <w:highlight w:val="none"/>
        </w:rPr>
      </w:pPr>
    </w:p>
    <w:p w14:paraId="6EE47D0A">
      <w:pPr>
        <w:spacing w:line="360" w:lineRule="auto"/>
        <w:ind w:firstLine="420" w:firstLineChars="200"/>
        <w:rPr>
          <w:rFonts w:hint="eastAsia" w:ascii="宋体" w:hAnsi="宋体" w:eastAsia="宋体" w:cs="宋体"/>
          <w:color w:val="auto"/>
          <w:szCs w:val="21"/>
          <w:highlight w:val="none"/>
        </w:rPr>
      </w:pPr>
    </w:p>
    <w:p w14:paraId="128573AF">
      <w:pPr>
        <w:spacing w:line="360" w:lineRule="auto"/>
        <w:ind w:firstLine="420" w:firstLineChars="200"/>
        <w:rPr>
          <w:rFonts w:hint="eastAsia" w:ascii="宋体" w:hAnsi="宋体" w:eastAsia="宋体" w:cs="宋体"/>
          <w:color w:val="auto"/>
          <w:szCs w:val="21"/>
          <w:highlight w:val="none"/>
        </w:rPr>
      </w:pPr>
    </w:p>
    <w:p w14:paraId="65822796">
      <w:pPr>
        <w:spacing w:line="360" w:lineRule="auto"/>
        <w:ind w:firstLine="420" w:firstLineChars="200"/>
        <w:rPr>
          <w:rFonts w:hint="eastAsia" w:ascii="宋体" w:hAnsi="宋体" w:eastAsia="宋体" w:cs="宋体"/>
          <w:color w:val="auto"/>
          <w:szCs w:val="21"/>
          <w:highlight w:val="none"/>
        </w:rPr>
      </w:pPr>
    </w:p>
    <w:p w14:paraId="455D0A0F">
      <w:pPr>
        <w:spacing w:line="360" w:lineRule="auto"/>
        <w:ind w:firstLine="420" w:firstLineChars="200"/>
        <w:rPr>
          <w:rFonts w:hint="eastAsia" w:ascii="宋体" w:hAnsi="宋体" w:eastAsia="宋体" w:cs="宋体"/>
          <w:color w:val="auto"/>
          <w:szCs w:val="21"/>
          <w:highlight w:val="none"/>
        </w:rPr>
      </w:pPr>
    </w:p>
    <w:p w14:paraId="7B7853AB">
      <w:pPr>
        <w:spacing w:line="360" w:lineRule="auto"/>
        <w:ind w:firstLine="420" w:firstLineChars="200"/>
        <w:rPr>
          <w:rFonts w:hint="eastAsia" w:ascii="宋体" w:hAnsi="宋体" w:eastAsia="宋体" w:cs="宋体"/>
          <w:color w:val="auto"/>
          <w:szCs w:val="21"/>
          <w:highlight w:val="none"/>
        </w:rPr>
      </w:pPr>
    </w:p>
    <w:p w14:paraId="3CEBCF5B">
      <w:pPr>
        <w:spacing w:line="360" w:lineRule="auto"/>
        <w:ind w:firstLine="420" w:firstLineChars="200"/>
        <w:rPr>
          <w:rFonts w:hint="eastAsia" w:ascii="宋体" w:hAnsi="宋体" w:eastAsia="宋体" w:cs="宋体"/>
          <w:color w:val="auto"/>
          <w:szCs w:val="21"/>
          <w:highlight w:val="none"/>
        </w:rPr>
      </w:pPr>
    </w:p>
    <w:p w14:paraId="3F577158">
      <w:pPr>
        <w:spacing w:line="360" w:lineRule="auto"/>
        <w:ind w:firstLine="420" w:firstLineChars="200"/>
        <w:rPr>
          <w:rFonts w:hint="eastAsia" w:ascii="宋体" w:hAnsi="宋体" w:eastAsia="宋体" w:cs="宋体"/>
          <w:color w:val="auto"/>
          <w:szCs w:val="21"/>
          <w:highlight w:val="none"/>
        </w:rPr>
      </w:pPr>
    </w:p>
    <w:p w14:paraId="79E8BD9C">
      <w:pPr>
        <w:spacing w:line="360" w:lineRule="auto"/>
        <w:ind w:firstLine="420" w:firstLineChars="200"/>
        <w:rPr>
          <w:rFonts w:hint="eastAsia" w:ascii="宋体" w:hAnsi="宋体" w:eastAsia="宋体" w:cs="宋体"/>
          <w:color w:val="auto"/>
          <w:szCs w:val="21"/>
          <w:highlight w:val="none"/>
        </w:rPr>
      </w:pPr>
    </w:p>
    <w:p w14:paraId="413B097C">
      <w:pPr>
        <w:spacing w:line="360" w:lineRule="auto"/>
        <w:ind w:firstLine="420" w:firstLineChars="200"/>
        <w:rPr>
          <w:rFonts w:hint="eastAsia" w:ascii="宋体" w:hAnsi="宋体" w:eastAsia="宋体" w:cs="宋体"/>
          <w:color w:val="auto"/>
          <w:szCs w:val="21"/>
          <w:highlight w:val="none"/>
        </w:rPr>
      </w:pPr>
    </w:p>
    <w:p w14:paraId="134B6CB3">
      <w:pPr>
        <w:spacing w:line="360" w:lineRule="auto"/>
        <w:ind w:firstLine="420" w:firstLineChars="200"/>
        <w:rPr>
          <w:rFonts w:hint="eastAsia" w:ascii="宋体" w:hAnsi="宋体" w:eastAsia="宋体" w:cs="宋体"/>
          <w:color w:val="auto"/>
          <w:szCs w:val="21"/>
          <w:highlight w:val="none"/>
        </w:rPr>
      </w:pPr>
    </w:p>
    <w:p w14:paraId="4B1AE16E">
      <w:pPr>
        <w:spacing w:line="360" w:lineRule="auto"/>
        <w:ind w:firstLine="420" w:firstLineChars="200"/>
        <w:rPr>
          <w:rFonts w:hint="eastAsia" w:ascii="宋体" w:hAnsi="宋体" w:eastAsia="宋体" w:cs="宋体"/>
          <w:color w:val="auto"/>
          <w:szCs w:val="21"/>
          <w:highlight w:val="none"/>
        </w:rPr>
      </w:pPr>
    </w:p>
    <w:p w14:paraId="603E03F9">
      <w:pPr>
        <w:spacing w:line="360" w:lineRule="auto"/>
        <w:ind w:firstLine="420" w:firstLineChars="200"/>
        <w:rPr>
          <w:rFonts w:hint="eastAsia" w:ascii="宋体" w:hAnsi="宋体" w:eastAsia="宋体" w:cs="宋体"/>
          <w:color w:val="auto"/>
          <w:szCs w:val="21"/>
          <w:highlight w:val="none"/>
        </w:rPr>
      </w:pPr>
    </w:p>
    <w:p w14:paraId="61A5F7D6">
      <w:pPr>
        <w:spacing w:line="360" w:lineRule="auto"/>
        <w:rPr>
          <w:rFonts w:hint="eastAsia" w:ascii="宋体" w:hAnsi="宋体" w:eastAsia="宋体" w:cs="宋体"/>
          <w:color w:val="auto"/>
          <w:szCs w:val="21"/>
          <w:highlight w:val="none"/>
          <w:lang w:eastAsia="zh-CN"/>
        </w:rPr>
      </w:pPr>
    </w:p>
    <w:p w14:paraId="2C84E2F5">
      <w:pPr>
        <w:bidi w:val="0"/>
        <w:rPr>
          <w:rFonts w:hint="eastAsia" w:ascii="宋体" w:hAnsi="宋体" w:eastAsia="宋体" w:cs="宋体"/>
          <w:color w:val="auto"/>
        </w:rPr>
      </w:pPr>
      <w:bookmarkStart w:id="4" w:name="_Toc263413131"/>
      <w:bookmarkStart w:id="5" w:name="_Toc256773119"/>
      <w:bookmarkStart w:id="6" w:name="_Toc263675424"/>
      <w:bookmarkStart w:id="7" w:name="_Toc263675343"/>
      <w:bookmarkStart w:id="8" w:name="_Toc263674952"/>
    </w:p>
    <w:p w14:paraId="60E63631">
      <w:pPr>
        <w:bidi w:val="0"/>
        <w:rPr>
          <w:rFonts w:hint="eastAsia" w:ascii="宋体" w:hAnsi="宋体" w:eastAsia="宋体" w:cs="宋体"/>
          <w:color w:val="auto"/>
        </w:rPr>
      </w:pPr>
    </w:p>
    <w:p w14:paraId="1BE13410">
      <w:pPr>
        <w:bidi w:val="0"/>
        <w:rPr>
          <w:rFonts w:hint="eastAsia" w:ascii="宋体" w:hAnsi="宋体" w:eastAsia="宋体" w:cs="宋体"/>
          <w:color w:val="auto"/>
        </w:rPr>
      </w:pPr>
    </w:p>
    <w:p w14:paraId="0BC6A99B">
      <w:pPr>
        <w:bidi w:val="0"/>
        <w:rPr>
          <w:rFonts w:hint="eastAsia" w:ascii="宋体" w:hAnsi="宋体" w:eastAsia="宋体" w:cs="宋体"/>
          <w:color w:val="auto"/>
        </w:rPr>
      </w:pPr>
    </w:p>
    <w:p w14:paraId="037730C8">
      <w:pPr>
        <w:bidi w:val="0"/>
        <w:rPr>
          <w:rFonts w:hint="eastAsia" w:ascii="宋体" w:hAnsi="宋体" w:eastAsia="宋体" w:cs="宋体"/>
          <w:color w:val="auto"/>
        </w:rPr>
      </w:pPr>
    </w:p>
    <w:p w14:paraId="12C0A0FE">
      <w:pPr>
        <w:pStyle w:val="2"/>
        <w:bidi w:val="0"/>
        <w:jc w:val="center"/>
        <w:rPr>
          <w:rFonts w:hint="eastAsia" w:ascii="宋体" w:hAnsi="宋体" w:eastAsia="宋体" w:cs="宋体"/>
          <w:color w:val="auto"/>
        </w:rPr>
      </w:pPr>
      <w:bookmarkStart w:id="9" w:name="_Toc7279"/>
      <w:bookmarkStart w:id="10" w:name="_Toc26750"/>
      <w:bookmarkStart w:id="11" w:name="_Toc11279"/>
      <w:r>
        <w:rPr>
          <w:rFonts w:hint="eastAsia" w:ascii="宋体" w:hAnsi="宋体" w:eastAsia="宋体" w:cs="宋体"/>
          <w:color w:val="auto"/>
        </w:rPr>
        <w:t>第一章</w:t>
      </w:r>
      <w:r>
        <w:rPr>
          <w:rFonts w:hint="eastAsia" w:ascii="宋体" w:hAnsi="宋体" w:eastAsia="宋体" w:cs="宋体"/>
          <w:color w:val="auto"/>
          <w:lang w:val="en-US" w:eastAsia="zh-CN"/>
        </w:rPr>
        <w:t xml:space="preserve"> </w:t>
      </w:r>
      <w:r>
        <w:rPr>
          <w:rFonts w:hint="eastAsia" w:ascii="宋体" w:hAnsi="宋体" w:eastAsia="宋体" w:cs="宋体"/>
          <w:color w:val="auto"/>
        </w:rPr>
        <w:t>招标公告</w:t>
      </w:r>
      <w:bookmarkEnd w:id="4"/>
      <w:bookmarkEnd w:id="5"/>
      <w:bookmarkEnd w:id="6"/>
      <w:bookmarkEnd w:id="7"/>
      <w:bookmarkEnd w:id="8"/>
      <w:bookmarkEnd w:id="9"/>
      <w:bookmarkEnd w:id="10"/>
      <w:bookmarkEnd w:id="11"/>
    </w:p>
    <w:p w14:paraId="61844B71">
      <w:pPr>
        <w:pStyle w:val="14"/>
        <w:overflowPunct w:val="0"/>
        <w:autoSpaceDE w:val="0"/>
        <w:autoSpaceDN w:val="0"/>
        <w:spacing w:line="360" w:lineRule="auto"/>
        <w:ind w:firstLine="482" w:firstLineChars="200"/>
        <w:jc w:val="left"/>
        <w:rPr>
          <w:rFonts w:hint="eastAsia" w:ascii="宋体" w:hAnsi="宋体" w:eastAsia="宋体" w:cs="宋体"/>
          <w:b/>
          <w:color w:val="auto"/>
          <w:kern w:val="0"/>
          <w:sz w:val="24"/>
          <w:szCs w:val="24"/>
          <w:highlight w:val="none"/>
          <w:lang w:eastAsia="zh-CN"/>
        </w:rPr>
      </w:pPr>
      <w:bookmarkStart w:id="12" w:name="OLE_LINK4"/>
      <w:bookmarkStart w:id="13" w:name="_Toc263413150"/>
      <w:bookmarkStart w:id="14" w:name="_Toc256773137"/>
      <w:bookmarkStart w:id="15" w:name="_Toc263675346"/>
      <w:bookmarkStart w:id="16" w:name="_Toc263674955"/>
      <w:bookmarkStart w:id="17" w:name="_Toc263675427"/>
      <w:r>
        <w:rPr>
          <w:rFonts w:hint="eastAsia" w:ascii="宋体" w:hAnsi="宋体" w:eastAsia="宋体" w:cs="宋体"/>
          <w:b/>
          <w:color w:val="auto"/>
          <w:kern w:val="0"/>
          <w:sz w:val="24"/>
          <w:szCs w:val="24"/>
          <w:highlight w:val="none"/>
        </w:rPr>
        <w:t>一、招标条件</w:t>
      </w:r>
    </w:p>
    <w:p w14:paraId="1E26D5BF">
      <w:pPr>
        <w:keepNext w:val="0"/>
        <w:keepLines w:val="0"/>
        <w:pageBreakBefore w:val="0"/>
        <w:kinsoku/>
        <w:overflowPunct/>
        <w:topLinePunct w:val="0"/>
        <w:autoSpaceDE/>
        <w:autoSpaceDN/>
        <w:bidi w:val="0"/>
        <w:snapToGrid/>
        <w:spacing w:line="500" w:lineRule="exact"/>
        <w:ind w:firstLine="480" w:firstLineChars="200"/>
        <w:textAlignment w:val="auto"/>
        <w:rPr>
          <w:rFonts w:hint="eastAsia" w:ascii="宋体" w:hAnsi="宋体" w:eastAsia="宋体" w:cs="宋体"/>
          <w:b/>
          <w:color w:val="auto"/>
          <w:w w:val="99"/>
          <w:kern w:val="0"/>
          <w:sz w:val="22"/>
          <w:szCs w:val="22"/>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000000"/>
          <w:sz w:val="24"/>
          <w:szCs w:val="24"/>
        </w:rPr>
        <w:t>本招标</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u w:val="single"/>
          <w:lang w:val="en-US" w:eastAsia="zh-CN"/>
        </w:rPr>
        <w:t>广东省韶关市武江区农业产业基础设施建设项目-武江区2026年农业产业基础设施建设项目（江湾镇）</w:t>
      </w:r>
      <w:r>
        <w:rPr>
          <w:rFonts w:hint="eastAsia" w:ascii="宋体" w:hAnsi="宋体" w:eastAsia="宋体" w:cs="宋体"/>
          <w:color w:val="000000"/>
          <w:sz w:val="24"/>
          <w:szCs w:val="24"/>
          <w:lang w:val="en-US" w:eastAsia="zh-CN"/>
        </w:rPr>
        <w:t>经</w:t>
      </w:r>
      <w:r>
        <w:rPr>
          <w:rFonts w:hint="eastAsia" w:ascii="宋体" w:hAnsi="宋体" w:eastAsia="宋体" w:cs="宋体"/>
          <w:color w:val="000000"/>
          <w:sz w:val="24"/>
          <w:szCs w:val="24"/>
          <w:u w:val="single"/>
          <w:lang w:val="en-US" w:eastAsia="zh-CN"/>
        </w:rPr>
        <w:t>韶关市武江区发展和改革局</w:t>
      </w:r>
      <w:r>
        <w:rPr>
          <w:rFonts w:hint="eastAsia" w:ascii="宋体" w:hAnsi="宋体" w:eastAsia="宋体" w:cs="宋体"/>
          <w:color w:val="000000"/>
          <w:sz w:val="24"/>
          <w:szCs w:val="24"/>
          <w:lang w:val="en-US" w:eastAsia="zh-CN"/>
        </w:rPr>
        <w:t>以</w:t>
      </w:r>
      <w:r>
        <w:rPr>
          <w:rFonts w:hint="eastAsia" w:ascii="宋体" w:hAnsi="宋体" w:eastAsia="宋体" w:cs="宋体"/>
          <w:color w:val="000000"/>
          <w:sz w:val="24"/>
          <w:szCs w:val="24"/>
          <w:u w:val="single"/>
          <w:lang w:val="en-US" w:eastAsia="zh-CN"/>
        </w:rPr>
        <w:t>《韶关市武江区发展和改革局关于广东省韶关市武江区农业产业基础设施建设项目可行性研究报告的批复》（韶武发改投审〔2024〕136号）、韶关市武江区发展和改革局关于武江区2026年农业产业基础设施建设项目（江湾镇）初步设计概算的批复（韶武发改投审〔2026〕27号）</w:t>
      </w:r>
      <w:r>
        <w:rPr>
          <w:rFonts w:hint="eastAsia" w:ascii="宋体" w:hAnsi="宋体" w:eastAsia="宋体" w:cs="宋体"/>
          <w:color w:val="000000"/>
          <w:sz w:val="24"/>
          <w:szCs w:val="24"/>
          <w:lang w:val="en-US" w:eastAsia="zh-CN"/>
        </w:rPr>
        <w:t>批准建设，项目代码为</w:t>
      </w:r>
      <w:r>
        <w:rPr>
          <w:rFonts w:hint="eastAsia" w:ascii="宋体" w:hAnsi="宋体" w:eastAsia="宋体" w:cs="宋体"/>
          <w:color w:val="000000"/>
          <w:sz w:val="24"/>
          <w:szCs w:val="24"/>
          <w:u w:val="single"/>
          <w:lang w:val="en-US" w:eastAsia="zh-CN"/>
        </w:rPr>
        <w:t>2412-440203-20-01-503270、2512-440203-20-01-391106</w:t>
      </w:r>
      <w:r>
        <w:rPr>
          <w:rFonts w:hint="eastAsia" w:ascii="宋体" w:hAnsi="宋体" w:eastAsia="宋体" w:cs="宋体"/>
          <w:color w:val="000000"/>
          <w:sz w:val="24"/>
          <w:szCs w:val="24"/>
          <w:lang w:val="en-US" w:eastAsia="zh-CN"/>
        </w:rPr>
        <w:t>。本工程项目业主为</w:t>
      </w:r>
      <w:r>
        <w:rPr>
          <w:rFonts w:hint="eastAsia" w:ascii="宋体" w:hAnsi="宋体" w:eastAsia="宋体" w:cs="宋体"/>
          <w:color w:val="000000"/>
          <w:sz w:val="24"/>
          <w:szCs w:val="24"/>
          <w:u w:val="single"/>
          <w:lang w:val="en-US" w:eastAsia="zh-CN"/>
        </w:rPr>
        <w:t>韶关市武江区江湾镇人民政府</w:t>
      </w:r>
      <w:r>
        <w:rPr>
          <w:rFonts w:hint="eastAsia" w:ascii="宋体" w:hAnsi="宋体" w:eastAsia="宋体" w:cs="宋体"/>
          <w:color w:val="000000"/>
          <w:sz w:val="24"/>
          <w:szCs w:val="24"/>
          <w:lang w:val="en-US" w:eastAsia="zh-CN"/>
        </w:rPr>
        <w:t>，建设资金来自</w:t>
      </w:r>
      <w:r>
        <w:rPr>
          <w:rFonts w:hint="eastAsia" w:ascii="宋体" w:hAnsi="宋体" w:eastAsia="宋体" w:cs="宋体"/>
          <w:color w:val="000000"/>
          <w:sz w:val="24"/>
          <w:szCs w:val="24"/>
          <w:u w:val="single"/>
          <w:lang w:val="en-US" w:eastAsia="zh-CN"/>
        </w:rPr>
        <w:t>区财政统筹解决</w:t>
      </w:r>
      <w:r>
        <w:rPr>
          <w:rFonts w:hint="eastAsia" w:ascii="宋体" w:hAnsi="宋体" w:eastAsia="宋体" w:cs="宋体"/>
          <w:color w:val="000000"/>
          <w:sz w:val="24"/>
          <w:szCs w:val="24"/>
          <w:lang w:val="en-US" w:eastAsia="zh-CN"/>
        </w:rPr>
        <w:t>，出资比例为</w:t>
      </w:r>
      <w:r>
        <w:rPr>
          <w:rFonts w:hint="eastAsia" w:ascii="宋体" w:hAnsi="宋体" w:eastAsia="宋体" w:cs="宋体"/>
          <w:color w:val="000000"/>
          <w:sz w:val="24"/>
          <w:szCs w:val="24"/>
          <w:u w:val="single"/>
          <w:lang w:val="en-US" w:eastAsia="zh-CN"/>
        </w:rPr>
        <w:t>100%</w:t>
      </w:r>
      <w:r>
        <w:rPr>
          <w:rFonts w:hint="eastAsia" w:ascii="宋体" w:hAnsi="宋体" w:eastAsia="宋体" w:cs="宋体"/>
          <w:color w:val="000000"/>
          <w:sz w:val="24"/>
          <w:szCs w:val="24"/>
          <w:lang w:val="en-US" w:eastAsia="zh-CN"/>
        </w:rPr>
        <w:t>，招标人为</w:t>
      </w:r>
      <w:r>
        <w:rPr>
          <w:rFonts w:hint="eastAsia" w:ascii="宋体" w:hAnsi="宋体" w:eastAsia="宋体" w:cs="宋体"/>
          <w:color w:val="000000"/>
          <w:sz w:val="24"/>
          <w:szCs w:val="24"/>
          <w:u w:val="single"/>
          <w:lang w:val="en-US" w:eastAsia="zh-CN"/>
        </w:rPr>
        <w:t>韶关市武江区江湾镇人民政府</w:t>
      </w:r>
      <w:r>
        <w:rPr>
          <w:rFonts w:hint="eastAsia" w:ascii="宋体" w:hAnsi="宋体" w:eastAsia="宋体" w:cs="宋体"/>
          <w:color w:val="000000"/>
          <w:sz w:val="24"/>
          <w:szCs w:val="24"/>
          <w:lang w:val="en-US" w:eastAsia="zh-CN"/>
        </w:rPr>
        <w:t>，招标代理机构为</w:t>
      </w:r>
      <w:r>
        <w:rPr>
          <w:rFonts w:hint="eastAsia" w:ascii="宋体" w:hAnsi="宋体" w:eastAsia="宋体" w:cs="宋体"/>
          <w:color w:val="000000"/>
          <w:sz w:val="24"/>
          <w:szCs w:val="24"/>
          <w:u w:val="single"/>
          <w:lang w:val="en-US" w:eastAsia="zh-CN"/>
        </w:rPr>
        <w:t>广东明正项目管理有限公司</w:t>
      </w:r>
      <w:r>
        <w:rPr>
          <w:rFonts w:hint="eastAsia" w:ascii="宋体" w:hAnsi="宋体" w:eastAsia="宋体" w:cs="宋体"/>
          <w:color w:val="000000"/>
          <w:sz w:val="24"/>
          <w:szCs w:val="24"/>
          <w:lang w:val="en-US" w:eastAsia="zh-CN"/>
        </w:rPr>
        <w:t>。项目已具备招标条件，现对该项目的</w:t>
      </w:r>
      <w:r>
        <w:rPr>
          <w:rFonts w:hint="eastAsia" w:ascii="宋体" w:hAnsi="宋体" w:eastAsia="宋体" w:cs="宋体"/>
          <w:color w:val="000000"/>
          <w:sz w:val="24"/>
          <w:szCs w:val="24"/>
          <w:u w:val="single"/>
          <w:lang w:val="en-US" w:eastAsia="zh-CN"/>
        </w:rPr>
        <w:t>施工</w:t>
      </w:r>
      <w:r>
        <w:rPr>
          <w:rFonts w:hint="eastAsia" w:ascii="宋体" w:hAnsi="宋体" w:eastAsia="宋体" w:cs="宋体"/>
          <w:color w:val="000000"/>
          <w:sz w:val="24"/>
          <w:szCs w:val="24"/>
          <w:lang w:val="en-US" w:eastAsia="zh-CN"/>
        </w:rPr>
        <w:t>进行</w:t>
      </w:r>
      <w:r>
        <w:rPr>
          <w:rFonts w:hint="eastAsia" w:ascii="宋体" w:hAnsi="宋体" w:eastAsia="宋体" w:cs="宋体"/>
          <w:color w:val="000000"/>
          <w:sz w:val="24"/>
          <w:szCs w:val="24"/>
          <w:u w:val="single"/>
          <w:lang w:val="en-US" w:eastAsia="zh-CN"/>
        </w:rPr>
        <w:t>公开招标</w:t>
      </w:r>
      <w:r>
        <w:rPr>
          <w:rFonts w:hint="eastAsia" w:ascii="宋体" w:hAnsi="宋体" w:eastAsia="宋体" w:cs="宋体"/>
          <w:color w:val="000000"/>
          <w:sz w:val="24"/>
          <w:szCs w:val="24"/>
          <w:lang w:val="en-US" w:eastAsia="zh-CN"/>
        </w:rPr>
        <w:t>。</w:t>
      </w:r>
    </w:p>
    <w:p w14:paraId="2377BC5C">
      <w:pPr>
        <w:keepNext w:val="0"/>
        <w:keepLines w:val="0"/>
        <w:pageBreakBefore w:val="0"/>
        <w:kinsoku/>
        <w:wordWrap/>
        <w:overflowPunct/>
        <w:topLinePunct w:val="0"/>
        <w:autoSpaceDE/>
        <w:bidi w:val="0"/>
        <w:snapToGrid/>
        <w:spacing w:line="44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二、项目概况及招标范围：</w:t>
      </w:r>
    </w:p>
    <w:p w14:paraId="502E8EF7">
      <w:pPr>
        <w:pStyle w:val="9"/>
        <w:keepNext w:val="0"/>
        <w:keepLines w:val="0"/>
        <w:pageBreakBefore w:val="0"/>
        <w:kinsoku/>
        <w:wordWrap/>
        <w:overflowPunct/>
        <w:topLinePunct w:val="0"/>
        <w:autoSpaceDE/>
        <w:bidi w:val="0"/>
        <w:snapToGrid/>
        <w:spacing w:line="440" w:lineRule="exact"/>
        <w:ind w:firstLine="480" w:firstLineChars="200"/>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kern w:val="0"/>
          <w:sz w:val="24"/>
          <w:szCs w:val="24"/>
          <w:highlight w:val="none"/>
          <w:u w:val="none"/>
        </w:rPr>
        <w:t>项目建设内容及规模：</w:t>
      </w:r>
      <w:r>
        <w:rPr>
          <w:rFonts w:hint="eastAsia" w:ascii="宋体" w:hAnsi="宋体" w:eastAsia="宋体" w:cs="宋体"/>
          <w:color w:val="auto"/>
          <w:kern w:val="0"/>
          <w:sz w:val="24"/>
          <w:szCs w:val="24"/>
          <w:highlight w:val="none"/>
          <w:u w:val="none"/>
          <w:lang w:eastAsia="zh-CN"/>
        </w:rPr>
        <w:t>现状耕地整治100亩，新增耕地230亩（新增耕地参照任务面积200亩及林耕置换30亩）。清杂面积287.87亩，修筑田埂2173.71㎡，新建生产道路2350米，灌溉沟渠排水沟渠4060m，土地整理330亩，客土230亩，插撒有机肥、撒施土壤调理剂、土地翻耕230亩，总投资为398.54万元。</w:t>
      </w:r>
    </w:p>
    <w:p w14:paraId="4970CEAE">
      <w:pPr>
        <w:pStyle w:val="9"/>
        <w:keepNext w:val="0"/>
        <w:keepLines w:val="0"/>
        <w:pageBreakBefore w:val="0"/>
        <w:kinsoku/>
        <w:wordWrap/>
        <w:overflowPunct/>
        <w:topLinePunct w:val="0"/>
        <w:autoSpaceDE/>
        <w:bidi w:val="0"/>
        <w:snapToGrid/>
        <w:spacing w:line="440"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2.2本</w:t>
      </w:r>
      <w:r>
        <w:rPr>
          <w:rFonts w:hint="eastAsia" w:ascii="宋体" w:hAnsi="宋体" w:eastAsia="宋体" w:cs="宋体"/>
          <w:color w:val="auto"/>
          <w:sz w:val="24"/>
          <w:szCs w:val="24"/>
          <w:highlight w:val="none"/>
          <w:u w:val="none"/>
        </w:rPr>
        <w:t>项目建设地点位于：</w:t>
      </w:r>
      <w:r>
        <w:rPr>
          <w:rFonts w:hint="eastAsia" w:ascii="宋体" w:hAnsi="宋体" w:eastAsia="宋体" w:cs="宋体"/>
          <w:color w:val="auto"/>
          <w:sz w:val="24"/>
          <w:szCs w:val="24"/>
          <w:highlight w:val="none"/>
          <w:u w:val="none"/>
          <w:lang w:val="en-US" w:eastAsia="zh-CN"/>
        </w:rPr>
        <w:t>韶关市武江区江湾镇</w:t>
      </w:r>
      <w:r>
        <w:rPr>
          <w:rFonts w:hint="eastAsia" w:ascii="宋体" w:hAnsi="宋体" w:eastAsia="宋体" w:cs="宋体"/>
          <w:color w:val="auto"/>
          <w:sz w:val="24"/>
          <w:szCs w:val="24"/>
          <w:highlight w:val="none"/>
          <w:u w:val="none"/>
          <w:lang w:eastAsia="zh-CN"/>
        </w:rPr>
        <w:t>。</w:t>
      </w:r>
    </w:p>
    <w:p w14:paraId="10C469FB">
      <w:pPr>
        <w:pStyle w:val="9"/>
        <w:keepNext w:val="0"/>
        <w:keepLines w:val="0"/>
        <w:pageBreakBefore w:val="0"/>
        <w:kinsoku/>
        <w:wordWrap/>
        <w:overflowPunct/>
        <w:topLinePunct w:val="0"/>
        <w:autoSpaceDE/>
        <w:bidi w:val="0"/>
        <w:snapToGrid/>
        <w:spacing w:line="440"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2.3标段划分：本次施工招标设1个标段</w:t>
      </w:r>
      <w:r>
        <w:rPr>
          <w:rFonts w:hint="eastAsia" w:ascii="宋体" w:hAnsi="宋体" w:eastAsia="宋体" w:cs="宋体"/>
          <w:color w:val="auto"/>
          <w:sz w:val="24"/>
          <w:szCs w:val="24"/>
          <w:highlight w:val="none"/>
          <w:u w:val="none"/>
          <w:lang w:eastAsia="zh-CN"/>
        </w:rPr>
        <w:t>。</w:t>
      </w:r>
    </w:p>
    <w:p w14:paraId="7644314C">
      <w:pPr>
        <w:pStyle w:val="9"/>
        <w:keepNext w:val="0"/>
        <w:keepLines w:val="0"/>
        <w:pageBreakBefore w:val="0"/>
        <w:kinsoku/>
        <w:wordWrap/>
        <w:overflowPunct/>
        <w:topLinePunct w:val="0"/>
        <w:autoSpaceDE/>
        <w:bidi w:val="0"/>
        <w:snapToGrid/>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2.4招标范围：按审查合格的施工图纸及工程量清单内容施工。</w:t>
      </w:r>
    </w:p>
    <w:p w14:paraId="2ECEF5BD">
      <w:pPr>
        <w:pStyle w:val="9"/>
        <w:keepNext w:val="0"/>
        <w:keepLines w:val="0"/>
        <w:pageBreakBefore w:val="0"/>
        <w:kinsoku/>
        <w:wordWrap/>
        <w:overflowPunct/>
        <w:topLinePunct w:val="0"/>
        <w:autoSpaceDE/>
        <w:bidi w:val="0"/>
        <w:snapToGrid/>
        <w:spacing w:line="440"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2.5计划工期：</w:t>
      </w:r>
      <w:r>
        <w:rPr>
          <w:rFonts w:hint="eastAsia" w:ascii="宋体" w:hAnsi="宋体" w:eastAsia="宋体" w:cs="宋体"/>
          <w:color w:val="auto"/>
          <w:kern w:val="0"/>
          <w:sz w:val="24"/>
          <w:szCs w:val="24"/>
          <w:highlight w:val="none"/>
          <w:u w:val="none"/>
          <w:lang w:val="en-US" w:eastAsia="zh-CN"/>
        </w:rPr>
        <w:t>120</w:t>
      </w:r>
      <w:r>
        <w:rPr>
          <w:rFonts w:hint="eastAsia" w:ascii="宋体" w:hAnsi="宋体" w:eastAsia="宋体" w:cs="宋体"/>
          <w:color w:val="auto"/>
          <w:kern w:val="0"/>
          <w:sz w:val="24"/>
          <w:szCs w:val="24"/>
          <w:highlight w:val="none"/>
          <w:u w:val="none"/>
        </w:rPr>
        <w:t>日历天</w:t>
      </w:r>
      <w:r>
        <w:rPr>
          <w:rFonts w:hint="eastAsia" w:ascii="宋体" w:hAnsi="宋体" w:eastAsia="宋体" w:cs="宋体"/>
          <w:color w:val="auto"/>
          <w:kern w:val="0"/>
          <w:sz w:val="24"/>
          <w:szCs w:val="24"/>
          <w:highlight w:val="none"/>
          <w:u w:val="none"/>
          <w:lang w:eastAsia="zh-CN"/>
        </w:rPr>
        <w:t>。</w:t>
      </w:r>
    </w:p>
    <w:p w14:paraId="17CD3B1E">
      <w:pPr>
        <w:pStyle w:val="9"/>
        <w:keepNext w:val="0"/>
        <w:keepLines w:val="0"/>
        <w:pageBreakBefore w:val="0"/>
        <w:kinsoku/>
        <w:wordWrap/>
        <w:overflowPunct/>
        <w:topLinePunct w:val="0"/>
        <w:autoSpaceDE/>
        <w:bidi w:val="0"/>
        <w:snapToGrid/>
        <w:spacing w:line="440"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2.6项目投资：</w:t>
      </w:r>
      <w:r>
        <w:rPr>
          <w:rFonts w:hint="eastAsia" w:ascii="宋体" w:hAnsi="宋体" w:eastAsia="宋体" w:cs="宋体"/>
          <w:color w:val="auto"/>
          <w:sz w:val="24"/>
          <w:szCs w:val="24"/>
          <w:highlight w:val="none"/>
          <w:u w:val="none"/>
          <w:lang w:eastAsia="zh-CN"/>
        </w:rPr>
        <w:t>概算总投资为398.54万元。其中工程费用287.89万元、采购费用3.87万元、其他费用87.80万元、预备费用18.98万元。</w:t>
      </w:r>
    </w:p>
    <w:p w14:paraId="347685F1">
      <w:pPr>
        <w:keepNext w:val="0"/>
        <w:keepLines w:val="0"/>
        <w:pageBreakBefore w:val="0"/>
        <w:kinsoku/>
        <w:wordWrap/>
        <w:overflowPunct/>
        <w:topLinePunct w:val="0"/>
        <w:autoSpaceDE/>
        <w:bidi w:val="0"/>
        <w:snapToGrid/>
        <w:spacing w:line="440" w:lineRule="exact"/>
        <w:ind w:firstLine="482" w:firstLineChars="200"/>
        <w:jc w:val="left"/>
        <w:rPr>
          <w:rFonts w:hint="eastAsia" w:ascii="宋体" w:hAnsi="宋体" w:eastAsia="宋体" w:cs="宋体"/>
          <w:b/>
          <w:bCs/>
          <w:color w:val="auto"/>
          <w:kern w:val="0"/>
          <w:sz w:val="24"/>
          <w:szCs w:val="24"/>
          <w:highlight w:val="none"/>
          <w:u w:val="none"/>
        </w:rPr>
      </w:pPr>
      <w:r>
        <w:rPr>
          <w:rFonts w:hint="eastAsia" w:ascii="宋体" w:hAnsi="宋体" w:eastAsia="宋体" w:cs="宋体"/>
          <w:b/>
          <w:bCs/>
          <w:color w:val="auto"/>
          <w:kern w:val="0"/>
          <w:sz w:val="24"/>
          <w:szCs w:val="24"/>
          <w:highlight w:val="none"/>
          <w:u w:val="none"/>
        </w:rPr>
        <w:t>三、投标人资格要求</w:t>
      </w:r>
    </w:p>
    <w:p w14:paraId="6F3525FF">
      <w:pPr>
        <w:keepNext w:val="0"/>
        <w:keepLines w:val="0"/>
        <w:pageBreakBefore w:val="0"/>
        <w:kinsoku/>
        <w:wordWrap/>
        <w:overflowPunct/>
        <w:topLinePunct w:val="0"/>
        <w:autoSpaceDE/>
        <w:bidi w:val="0"/>
        <w:snapToGrid/>
        <w:spacing w:line="440" w:lineRule="exact"/>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3.1投标人资格要求</w:t>
      </w:r>
    </w:p>
    <w:p w14:paraId="0D0763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（1）投标人必须具备</w:t>
      </w:r>
      <w:r>
        <w:rPr>
          <w:rFonts w:hint="eastAsia" w:ascii="宋体" w:hAnsi="宋体" w:eastAsia="宋体" w:cs="宋体"/>
          <w:color w:val="auto"/>
          <w:kern w:val="0"/>
          <w:sz w:val="24"/>
          <w:szCs w:val="24"/>
          <w:highlight w:val="none"/>
          <w:u w:val="single"/>
        </w:rPr>
        <w:t>水利水电工程施工总承包三级以上（含三级）资质</w:t>
      </w:r>
      <w:r>
        <w:rPr>
          <w:rFonts w:hint="eastAsia" w:ascii="宋体" w:hAnsi="宋体" w:eastAsia="宋体" w:cs="宋体"/>
          <w:color w:val="auto"/>
          <w:kern w:val="0"/>
          <w:sz w:val="24"/>
          <w:szCs w:val="24"/>
          <w:highlight w:val="none"/>
        </w:rPr>
        <w:t>。</w:t>
      </w:r>
    </w:p>
    <w:p w14:paraId="220986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投标人须具备有效的营业执照、安全生产许可证及资质证书（根据有关文件精神，投标人的企业相关证书到期的，均按该证书的发证机构相关行业主管部门最新文件执行(如自动顺延或推迟办理延期业务的通知)，投标人必须将相关文件附在该证书</w:t>
      </w:r>
      <w:r>
        <w:rPr>
          <w:rFonts w:hint="eastAsia" w:ascii="宋体" w:hAnsi="宋体" w:eastAsia="宋体" w:cs="宋体"/>
          <w:color w:val="auto"/>
          <w:sz w:val="24"/>
          <w:szCs w:val="24"/>
          <w:highlight w:val="none"/>
          <w:lang w:eastAsia="zh-CN"/>
        </w:rPr>
        <w:t>后面</w:t>
      </w:r>
      <w:r>
        <w:rPr>
          <w:rFonts w:hint="eastAsia" w:ascii="宋体" w:hAnsi="宋体" w:eastAsia="宋体" w:cs="宋体"/>
          <w:color w:val="auto"/>
          <w:sz w:val="24"/>
          <w:szCs w:val="24"/>
          <w:highlight w:val="none"/>
        </w:rPr>
        <w:t>，证明在开标日继续有效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因推行电子证照，可提供营业执照、资质证书、安全生产许可证实时网页查询页</w:t>
      </w:r>
      <w:r>
        <w:rPr>
          <w:rFonts w:hint="eastAsia" w:ascii="宋体" w:hAnsi="宋体" w:eastAsia="宋体" w:cs="宋体"/>
          <w:color w:val="auto"/>
          <w:kern w:val="0"/>
          <w:sz w:val="24"/>
          <w:szCs w:val="24"/>
          <w:highlight w:val="none"/>
        </w:rPr>
        <w:t>。</w:t>
      </w:r>
      <w:bookmarkStart w:id="18" w:name="_Toc48665584"/>
    </w:p>
    <w:p w14:paraId="3FDB0F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bookmarkEnd w:id="18"/>
      <w:r>
        <w:rPr>
          <w:rFonts w:hint="eastAsia" w:ascii="宋体" w:hAnsi="宋体" w:eastAsia="宋体" w:cs="宋体"/>
          <w:color w:val="auto"/>
          <w:kern w:val="0"/>
          <w:sz w:val="24"/>
          <w:szCs w:val="24"/>
          <w:highlight w:val="none"/>
        </w:rPr>
        <w:t>拟委派担任本项目的项目经理为在本单位注册的</w:t>
      </w:r>
      <w:r>
        <w:rPr>
          <w:rFonts w:hint="eastAsia" w:ascii="宋体" w:hAnsi="宋体" w:eastAsia="宋体" w:cs="宋体"/>
          <w:color w:val="auto"/>
          <w:kern w:val="0"/>
          <w:sz w:val="24"/>
          <w:szCs w:val="24"/>
          <w:highlight w:val="none"/>
          <w:u w:val="single"/>
        </w:rPr>
        <w:t>水利水电工程</w:t>
      </w:r>
      <w:r>
        <w:rPr>
          <w:rFonts w:hint="eastAsia" w:ascii="宋体" w:hAnsi="宋体" w:eastAsia="宋体" w:cs="宋体"/>
          <w:color w:val="auto"/>
          <w:kern w:val="0"/>
          <w:sz w:val="24"/>
          <w:szCs w:val="24"/>
          <w:highlight w:val="none"/>
        </w:rPr>
        <w:t>专业一级或二级注册建造师，应持有住建部门印发的在使用有效期内的有效电子注册证书（根据广东省住房和城乡建设厅（粤建市函〔2023〕469号）文件精神，二级注册建造师可随注册企业在全国范围内执业），同时具备水利行政主管部门颁发的有效的安全生产考核合格证书（B证）。</w:t>
      </w:r>
      <w:r>
        <w:rPr>
          <w:rFonts w:hint="eastAsia" w:ascii="宋体" w:hAnsi="宋体" w:eastAsia="宋体" w:cs="宋体"/>
          <w:color w:val="auto"/>
          <w:sz w:val="24"/>
          <w:szCs w:val="24"/>
          <w:highlight w:val="none"/>
        </w:rPr>
        <w:t>且未担任其他在</w:t>
      </w:r>
      <w:r>
        <w:rPr>
          <w:rFonts w:hint="eastAsia" w:ascii="宋体" w:hAnsi="宋体" w:eastAsia="宋体" w:cs="宋体"/>
          <w:color w:val="auto"/>
          <w:sz w:val="24"/>
          <w:szCs w:val="24"/>
          <w:highlight w:val="none"/>
          <w:lang w:eastAsia="zh-CN"/>
        </w:rPr>
        <w:t>施（包括已中标未开工、已</w:t>
      </w:r>
      <w:r>
        <w:rPr>
          <w:rFonts w:hint="eastAsia" w:ascii="宋体" w:hAnsi="宋体" w:eastAsia="宋体" w:cs="宋体"/>
          <w:color w:val="auto"/>
          <w:sz w:val="24"/>
          <w:szCs w:val="24"/>
          <w:highlight w:val="none"/>
          <w:lang w:val="en-US" w:eastAsia="zh-CN"/>
        </w:rPr>
        <w:t>开工</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lang w:val="en-US" w:eastAsia="zh-CN"/>
        </w:rPr>
        <w:t>完工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建设工程项目的项目经理（须提供承诺书，格式自定）；</w:t>
      </w:r>
      <w:bookmarkStart w:id="19" w:name="_Toc48665585"/>
    </w:p>
    <w:p w14:paraId="517AA2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bookmarkEnd w:id="19"/>
      <w:r>
        <w:rPr>
          <w:rFonts w:hint="eastAsia" w:ascii="宋体" w:hAnsi="宋体" w:eastAsia="宋体" w:cs="宋体"/>
          <w:color w:val="auto"/>
          <w:sz w:val="24"/>
          <w:szCs w:val="24"/>
          <w:highlight w:val="none"/>
        </w:rPr>
        <w:t>拟委派担任本项目的技术负责人必须具备水利类中级以上（含中级）技术职称。</w:t>
      </w:r>
      <w:bookmarkStart w:id="20" w:name="_Toc48665586"/>
    </w:p>
    <w:p w14:paraId="31F637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bookmarkEnd w:id="20"/>
      <w:r>
        <w:rPr>
          <w:rFonts w:hint="eastAsia" w:ascii="宋体" w:hAnsi="宋体" w:eastAsia="宋体" w:cs="宋体"/>
          <w:color w:val="auto"/>
          <w:sz w:val="24"/>
          <w:szCs w:val="24"/>
          <w:highlight w:val="none"/>
        </w:rPr>
        <w:t>拟委派担任本项目的专职安全生产管理人员，须具备水利行政主管部门颁发的有效的安全生产考核合格证书(C证)且不少于1人。</w:t>
      </w:r>
      <w:bookmarkStart w:id="21" w:name="_Toc48665588"/>
      <w:r>
        <w:rPr>
          <w:rFonts w:hint="eastAsia" w:ascii="宋体" w:hAnsi="宋体" w:eastAsia="宋体" w:cs="宋体"/>
          <w:color w:val="auto"/>
          <w:sz w:val="24"/>
          <w:szCs w:val="24"/>
          <w:highlight w:val="none"/>
          <w:lang w:val="en-US" w:eastAsia="zh-CN"/>
        </w:rPr>
        <w:t xml:space="preserve">                  </w:t>
      </w:r>
    </w:p>
    <w:p w14:paraId="537594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（6）以上拟投入本项目的各岗位人员不得为同一人。                           </w:t>
      </w:r>
      <w:bookmarkEnd w:id="21"/>
    </w:p>
    <w:p w14:paraId="78A0C50E">
      <w:pPr>
        <w:keepNext w:val="0"/>
        <w:keepLines w:val="0"/>
        <w:pageBreakBefore w:val="0"/>
        <w:widowControl w:val="0"/>
        <w:kinsoku/>
        <w:wordWrap/>
        <w:overflowPunct/>
        <w:topLinePunct w:val="0"/>
        <w:autoSpaceDE/>
        <w:autoSpaceDN/>
        <w:bidi w:val="0"/>
        <w:adjustRightInd/>
        <w:snapToGrid/>
        <w:spacing w:before="124" w:beforeLines="40" w:after="124" w:afterLines="40"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3.2本次招标</w:t>
      </w:r>
      <w:r>
        <w:rPr>
          <w:rFonts w:hint="eastAsia" w:ascii="宋体" w:hAnsi="宋体" w:eastAsia="宋体" w:cs="宋体"/>
          <w:color w:val="auto"/>
          <w:sz w:val="24"/>
          <w:szCs w:val="24"/>
          <w:highlight w:val="none"/>
          <w:lang w:eastAsia="zh-CN"/>
        </w:rPr>
        <w:t>不接受联合体</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 xml:space="preserve">      </w:t>
      </w:r>
    </w:p>
    <w:p w14:paraId="22F6D018">
      <w:pPr>
        <w:keepNext w:val="0"/>
        <w:keepLines w:val="0"/>
        <w:pageBreakBefore w:val="0"/>
        <w:widowControl w:val="0"/>
        <w:kinsoku/>
        <w:wordWrap/>
        <w:overflowPunct/>
        <w:topLinePunct w:val="0"/>
        <w:autoSpaceDE/>
        <w:autoSpaceDN/>
        <w:bidi w:val="0"/>
        <w:adjustRightInd/>
        <w:snapToGrid/>
        <w:spacing w:before="124" w:beforeLines="40" w:after="124" w:afterLines="40"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3.3本次招标实行资格后审，资格审查的具体要求见招标文件，资格后审不合格的投标人的投标文件将按废标处理。</w:t>
      </w:r>
    </w:p>
    <w:p w14:paraId="7DB092D6">
      <w:pPr>
        <w:keepNext w:val="0"/>
        <w:keepLines w:val="0"/>
        <w:pageBreakBefore w:val="0"/>
        <w:kinsoku/>
        <w:wordWrap/>
        <w:overflowPunct/>
        <w:topLinePunct w:val="0"/>
        <w:autoSpaceDE/>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四、招标文件的获取</w:t>
      </w:r>
    </w:p>
    <w:p w14:paraId="3DE6D746">
      <w:pPr>
        <w:keepNext w:val="0"/>
        <w:keepLines w:val="0"/>
        <w:pageBreakBefore w:val="0"/>
        <w:widowControl/>
        <w:shd w:val="clear" w:color="auto" w:fill="auto"/>
        <w:kinsoku/>
        <w:wordWrap/>
        <w:overflowPunct/>
        <w:topLinePunct w:val="0"/>
        <w:autoSpaceDE/>
        <w:bidi w:val="0"/>
        <w:snapToGrid/>
        <w:spacing w:before="124" w:beforeLines="40" w:after="124" w:afterLines="40"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4.1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重要事项时间地点一览表”）登录全国公共资源交易平台（广东省·韶关市）（https://ygp.gdzwfw.gov.cn/ggzy-portal/#/440200/index）进行下载招标文件及相关附件，并于电子投标截止时间（见“重要事项时间地点一览表”）前完成电子投标。   </w:t>
      </w:r>
    </w:p>
    <w:p w14:paraId="0797A5C3">
      <w:pPr>
        <w:keepNext w:val="0"/>
        <w:keepLines w:val="0"/>
        <w:pageBreakBefore w:val="0"/>
        <w:widowControl/>
        <w:shd w:val="clear" w:color="auto" w:fill="auto"/>
        <w:kinsoku/>
        <w:wordWrap/>
        <w:overflowPunct/>
        <w:topLinePunct w:val="0"/>
        <w:autoSpaceDE/>
        <w:bidi w:val="0"/>
        <w:snapToGrid/>
        <w:spacing w:before="124" w:beforeLines="40" w:after="124" w:afterLines="40"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07F19C2D">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2E75FE19">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电子印章：是指获得</w:t>
      </w:r>
      <w:r>
        <w:rPr>
          <w:rFonts w:hint="eastAsia" w:ascii="宋体" w:hAnsi="宋体" w:eastAsia="宋体" w:cs="宋体"/>
          <w:color w:val="auto"/>
          <w:kern w:val="0"/>
          <w:sz w:val="24"/>
          <w:szCs w:val="24"/>
          <w:highlight w:val="none"/>
          <w:lang w:eastAsia="zh-CN"/>
        </w:rPr>
        <w:t>工业和信息化部</w:t>
      </w:r>
      <w:r>
        <w:rPr>
          <w:rFonts w:hint="eastAsia" w:ascii="宋体" w:hAnsi="宋体" w:eastAsia="宋体" w:cs="宋体"/>
          <w:color w:val="auto"/>
          <w:kern w:val="0"/>
          <w:sz w:val="24"/>
          <w:szCs w:val="24"/>
          <w:highlight w:val="none"/>
        </w:rPr>
        <w:t xml:space="preserve">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 </w:t>
      </w:r>
    </w:p>
    <w:p w14:paraId="502A007B">
      <w:pPr>
        <w:keepNext w:val="0"/>
        <w:keepLines w:val="0"/>
        <w:pageBreakBefore w:val="0"/>
        <w:kinsoku/>
        <w:wordWrap/>
        <w:overflowPunct/>
        <w:topLinePunct w:val="0"/>
        <w:autoSpaceDE/>
        <w:autoSpaceDN w:val="0"/>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已入库企业的有关信息（如单位名称、基本账号、资质、人员等）发生变化的，应及时在建设工程交易系统进行相应变更。投标人未及时变更而造成的损失和后果，由投标人自行承担。</w:t>
      </w:r>
    </w:p>
    <w:p w14:paraId="02C809E4">
      <w:pPr>
        <w:keepNext w:val="0"/>
        <w:keepLines w:val="0"/>
        <w:pageBreakBefore w:val="0"/>
        <w:kinsoku/>
        <w:wordWrap/>
        <w:overflowPunct/>
        <w:topLinePunct w:val="0"/>
        <w:autoSpaceDE/>
        <w:autoSpaceDN w:val="0"/>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4.3投标保证</w:t>
      </w:r>
    </w:p>
    <w:p w14:paraId="49B8CEEC">
      <w:pPr>
        <w:keepNext w:val="0"/>
        <w:keepLines w:val="0"/>
        <w:pageBreakBefore w:val="0"/>
        <w:kinsoku/>
        <w:wordWrap/>
        <w:overflowPunct/>
        <w:topLinePunct w:val="0"/>
        <w:autoSpaceDE/>
        <w:autoSpaceDN w:val="0"/>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4.3.1投标保证金额为人民币：</w:t>
      </w:r>
      <w:r>
        <w:rPr>
          <w:rFonts w:hint="eastAsia" w:ascii="宋体" w:hAnsi="宋体" w:eastAsia="宋体" w:cs="宋体"/>
          <w:color w:val="auto"/>
          <w:kern w:val="0"/>
          <w:sz w:val="24"/>
          <w:szCs w:val="24"/>
          <w:highlight w:val="none"/>
          <w:u w:val="single"/>
          <w:lang w:val="en-US" w:eastAsia="zh-CN"/>
        </w:rPr>
        <w:t>叁万元整（小写：¥30000元）</w:t>
      </w:r>
      <w:r>
        <w:rPr>
          <w:rFonts w:hint="eastAsia" w:ascii="宋体" w:hAnsi="宋体" w:eastAsia="宋体" w:cs="宋体"/>
          <w:color w:val="auto"/>
          <w:kern w:val="0"/>
          <w:sz w:val="24"/>
          <w:szCs w:val="24"/>
          <w:highlight w:val="none"/>
        </w:rPr>
        <w:t>。</w:t>
      </w:r>
    </w:p>
    <w:p w14:paraId="7A0E819C">
      <w:pPr>
        <w:keepNext w:val="0"/>
        <w:keepLines w:val="0"/>
        <w:pageBreakBefore w:val="0"/>
        <w:widowControl/>
        <w:shd w:val="clear" w:color="auto" w:fill="auto"/>
        <w:kinsoku/>
        <w:wordWrap/>
        <w:overflowPunct/>
        <w:topLinePunct w:val="0"/>
        <w:autoSpaceDE/>
        <w:bidi w:val="0"/>
        <w:adjustRightInd/>
        <w:snapToGrid/>
        <w:spacing w:before="124" w:beforeLines="40" w:after="124" w:afterLines="40"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4.3.2</w:t>
      </w:r>
      <w:r>
        <w:rPr>
          <w:rFonts w:hint="eastAsia" w:ascii="宋体" w:hAnsi="宋体" w:eastAsia="宋体" w:cs="宋体"/>
          <w:color w:val="auto"/>
          <w:kern w:val="0"/>
          <w:sz w:val="24"/>
          <w:szCs w:val="24"/>
          <w:highlight w:val="none"/>
        </w:rPr>
        <w:t>投标保证的形式包括投标保证金、投标保证担保、投标保证保险三种，由投标人自主选择。</w:t>
      </w:r>
    </w:p>
    <w:p w14:paraId="389C3EB1">
      <w:pPr>
        <w:keepNext w:val="0"/>
        <w:keepLines w:val="0"/>
        <w:pageBreakBefore w:val="0"/>
        <w:widowControl/>
        <w:shd w:val="clear" w:color="auto" w:fill="auto"/>
        <w:kinsoku/>
        <w:wordWrap/>
        <w:overflowPunct/>
        <w:topLinePunct w:val="0"/>
        <w:autoSpaceDE/>
        <w:bidi w:val="0"/>
        <w:adjustRightInd/>
        <w:snapToGrid/>
        <w:spacing w:before="124" w:beforeLines="40" w:after="124" w:afterLines="40"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重要事项时间地点一览表”）前，从其基本账户将投标保证金转账到指定的缴纳账号。逾期到账的，其投标无效。</w:t>
      </w:r>
    </w:p>
    <w:p w14:paraId="1CD559CD">
      <w:pPr>
        <w:keepNext w:val="0"/>
        <w:keepLines w:val="0"/>
        <w:pageBreakBefore w:val="0"/>
        <w:widowControl/>
        <w:shd w:val="clear" w:color="auto" w:fill="auto"/>
        <w:kinsoku/>
        <w:wordWrap/>
        <w:overflowPunct/>
        <w:topLinePunct w:val="0"/>
        <w:autoSpaceDE/>
        <w:bidi w:val="0"/>
        <w:adjustRightInd/>
        <w:snapToGrid/>
        <w:spacing w:before="124" w:beforeLines="40" w:after="124" w:afterLines="40"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投标保证担保的，投标人应提交有效的电子保函，电子保函的有效期不得短于投标有效期。投标人必须在投标保证担保截止时间（见“重要事项时间地点一览表”）前，使用工程建设交易系统完成网上办理电子保函。</w:t>
      </w:r>
    </w:p>
    <w:p w14:paraId="43BA2483">
      <w:pPr>
        <w:keepNext w:val="0"/>
        <w:keepLines w:val="0"/>
        <w:pageBreakBefore w:val="0"/>
        <w:widowControl/>
        <w:shd w:val="clear" w:color="auto" w:fill="auto"/>
        <w:kinsoku/>
        <w:wordWrap/>
        <w:overflowPunct/>
        <w:topLinePunct w:val="0"/>
        <w:autoSpaceDE/>
        <w:bidi w:val="0"/>
        <w:adjustRightInd/>
        <w:snapToGrid/>
        <w:spacing w:before="124" w:beforeLines="40" w:after="124" w:afterLines="40"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投标人操作指南》，了解网上投保具体操作流程。逾期投保的，其投标无效。</w:t>
      </w:r>
    </w:p>
    <w:p w14:paraId="2E3CC5B8">
      <w:pPr>
        <w:keepNext w:val="0"/>
        <w:keepLines w:val="0"/>
        <w:pageBreakBefore w:val="0"/>
        <w:widowControl/>
        <w:shd w:val="clear" w:color="auto" w:fill="auto"/>
        <w:kinsoku/>
        <w:wordWrap/>
        <w:overflowPunct/>
        <w:topLinePunct w:val="0"/>
        <w:autoSpaceDE/>
        <w:bidi w:val="0"/>
        <w:adjustRightInd/>
        <w:snapToGrid/>
        <w:spacing w:before="124" w:beforeLines="40" w:after="124" w:afterLines="40"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311C5F72">
      <w:pPr>
        <w:keepNext w:val="0"/>
        <w:keepLines w:val="0"/>
        <w:pageBreakBefore w:val="0"/>
        <w:kinsoku/>
        <w:wordWrap/>
        <w:overflowPunct/>
        <w:topLinePunct w:val="0"/>
        <w:autoSpaceDE/>
        <w:autoSpaceDN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4.4若投标人因自身原因未能正确获取招标文件、电子投标、缴纳投标保</w:t>
      </w:r>
      <w:r>
        <w:rPr>
          <w:rFonts w:hint="eastAsia" w:ascii="宋体" w:hAnsi="宋体" w:eastAsia="宋体" w:cs="宋体"/>
          <w:color w:val="auto"/>
          <w:sz w:val="24"/>
          <w:szCs w:val="24"/>
          <w:highlight w:val="none"/>
          <w:lang w:eastAsia="zh-CN"/>
        </w:rPr>
        <w:t>证金</w:t>
      </w:r>
      <w:r>
        <w:rPr>
          <w:rFonts w:hint="eastAsia" w:ascii="宋体" w:hAnsi="宋体" w:eastAsia="宋体" w:cs="宋体"/>
          <w:color w:val="auto"/>
          <w:sz w:val="24"/>
          <w:szCs w:val="24"/>
          <w:highlight w:val="none"/>
        </w:rPr>
        <w:t>的，其投标无效。</w:t>
      </w:r>
    </w:p>
    <w:p w14:paraId="574244CA">
      <w:pPr>
        <w:keepNext w:val="0"/>
        <w:keepLines w:val="0"/>
        <w:pageBreakBefore w:val="0"/>
        <w:kinsoku/>
        <w:wordWrap/>
        <w:overflowPunct/>
        <w:topLinePunct w:val="0"/>
        <w:autoSpaceDE/>
        <w:autoSpaceDN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4.5投标单位完成电子投标后，自行在全国公共资源交易平台（广东省·韶关市）（https://ygp.gdzwfw.gov.cn/ggzy-portal/#/440200/index）下载招标文件、工程量清单、图纸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rPr>
        <w:t>等相关资料。</w:t>
      </w:r>
    </w:p>
    <w:p w14:paraId="42FC13C8">
      <w:pPr>
        <w:keepNext w:val="0"/>
        <w:keepLines w:val="0"/>
        <w:pageBreakBefore w:val="0"/>
        <w:kinsoku/>
        <w:wordWrap/>
        <w:overflowPunct/>
        <w:topLinePunct w:val="0"/>
        <w:autoSpaceDE/>
        <w:autoSpaceDN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4.6本项目不接受有在建、已中标未开工或已列为其他项目第一中标候选人的建造师作为项目经理，经查实有以上情形的，招标人有权没收其投标保证，并按相关法律法规处理。</w:t>
      </w:r>
    </w:p>
    <w:p w14:paraId="74B214EC">
      <w:pPr>
        <w:keepNext w:val="0"/>
        <w:keepLines w:val="0"/>
        <w:pageBreakBefore w:val="0"/>
        <w:kinsoku/>
        <w:wordWrap/>
        <w:overflowPunct/>
        <w:topLinePunct w:val="0"/>
        <w:autoSpaceDE/>
        <w:autoSpaceDN w:val="0"/>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五、投标文件的提交</w:t>
      </w:r>
    </w:p>
    <w:p w14:paraId="3667278E">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.1在电子投标截止时间前，投标人通过全国公共资源交易平台（广东省·韶关市）提交已加密投标文件。逾期提交的电子投标文件，全国公共资源交易平台（广东省·韶关市）将予以拒收。</w:t>
      </w:r>
    </w:p>
    <w:p w14:paraId="5223D9FD">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.2投标文件提交截止时间（同电子投标截止时间）：见“重要事项时间地点一览表”。</w:t>
      </w:r>
    </w:p>
    <w:p w14:paraId="533943AD">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.3代理机构对因不可抗力事件造成的投标文件的损坏、丢失的，不承担责任。  </w:t>
      </w:r>
    </w:p>
    <w:p w14:paraId="32EC7B25">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 投标人法定代表人或其委托代理人（以下简称“投标人代表”）应在指定的时间和地点递交</w:t>
      </w:r>
      <w:r>
        <w:rPr>
          <w:rFonts w:hint="eastAsia" w:ascii="宋体" w:hAnsi="宋体" w:eastAsia="宋体" w:cs="宋体"/>
          <w:color w:val="auto"/>
          <w:sz w:val="24"/>
          <w:szCs w:val="24"/>
          <w:highlight w:val="none"/>
          <w:lang w:eastAsia="zh-CN"/>
        </w:rPr>
        <w:t>以下</w:t>
      </w:r>
      <w:r>
        <w:rPr>
          <w:rFonts w:hint="eastAsia" w:ascii="宋体" w:hAnsi="宋体" w:eastAsia="宋体" w:cs="宋体"/>
          <w:color w:val="auto"/>
          <w:sz w:val="24"/>
          <w:szCs w:val="24"/>
          <w:highlight w:val="none"/>
        </w:rPr>
        <w:t>资料（如有）：招标文件要求提交的用于评审的证书、证件、证明原件（附一式</w:t>
      </w:r>
      <w:r>
        <w:rPr>
          <w:rFonts w:hint="eastAsia" w:ascii="宋体" w:hAnsi="宋体" w:eastAsia="宋体" w:cs="宋体"/>
          <w:color w:val="auto"/>
          <w:sz w:val="24"/>
          <w:szCs w:val="24"/>
          <w:highlight w:val="none"/>
          <w:u w:val="single"/>
        </w:rPr>
        <w:t xml:space="preserve"> 两 </w:t>
      </w:r>
      <w:r>
        <w:rPr>
          <w:rFonts w:hint="eastAsia" w:ascii="宋体" w:hAnsi="宋体" w:eastAsia="宋体" w:cs="宋体"/>
          <w:color w:val="auto"/>
          <w:sz w:val="24"/>
          <w:szCs w:val="24"/>
          <w:highlight w:val="none"/>
        </w:rPr>
        <w:t>份清单）。</w:t>
      </w:r>
    </w:p>
    <w:p w14:paraId="23C320D6">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.5出现下述情形之一，属于未成功提交投标文件，按无效投标处理：</w:t>
      </w:r>
    </w:p>
    <w:p w14:paraId="7191759C">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（1）至电子投标截止时间时，投标文件未完整上传或未提交投标；</w:t>
      </w:r>
    </w:p>
    <w:p w14:paraId="3838BFDC">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（2）解密失败且在规定时间内未重新提交投标文件的；</w:t>
      </w:r>
    </w:p>
    <w:p w14:paraId="1B7BBD4D">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（3）投标文件损坏或格式不正确的。</w:t>
      </w:r>
    </w:p>
    <w:p w14:paraId="6E5B163A">
      <w:pPr>
        <w:keepNext w:val="0"/>
        <w:keepLines w:val="0"/>
        <w:pageBreakBefore w:val="0"/>
        <w:kinsoku/>
        <w:wordWrap/>
        <w:overflowPunct/>
        <w:topLinePunct w:val="0"/>
        <w:autoSpaceDE/>
        <w:autoSpaceDN w:val="0"/>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六、踏勘现场和投标预备会</w:t>
      </w:r>
    </w:p>
    <w:p w14:paraId="629C5D0B">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本次工程招标，招标人不组织投标人踏勘现场及召开投标预备会。具体事项见招标文件。</w:t>
      </w:r>
    </w:p>
    <w:p w14:paraId="38C7B6E1">
      <w:pPr>
        <w:keepNext w:val="0"/>
        <w:keepLines w:val="0"/>
        <w:pageBreakBefore w:val="0"/>
        <w:kinsoku/>
        <w:wordWrap/>
        <w:overflowPunct/>
        <w:topLinePunct w:val="0"/>
        <w:autoSpaceDE/>
        <w:autoSpaceDN w:val="0"/>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发布公告的媒介</w:t>
      </w:r>
    </w:p>
    <w:p w14:paraId="1712275F">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1.广东省招标投标监管网（https://zbtb.gd.gov.cn/#/index）</w:t>
      </w:r>
    </w:p>
    <w:p w14:paraId="063FC026">
      <w:pPr>
        <w:keepNext w:val="0"/>
        <w:keepLines w:val="0"/>
        <w:pageBreakBefore w:val="0"/>
        <w:kinsoku/>
        <w:wordWrap/>
        <w:overflowPunct/>
        <w:topLinePunct w:val="0"/>
        <w:autoSpaceDE/>
        <w:autoSpaceDN w:val="0"/>
        <w:bidi w:val="0"/>
        <w:snapToGrid/>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2.全国公共资源交易平台（广东省·韶关市）（https://ygp.gdzwfw.gov.cn/ggzy-portal/#/440200/index）</w:t>
      </w:r>
    </w:p>
    <w:p w14:paraId="050C1395">
      <w:pPr>
        <w:keepNext w:val="0"/>
        <w:keepLines w:val="0"/>
        <w:pageBreakBefore w:val="0"/>
        <w:kinsoku/>
        <w:wordWrap/>
        <w:overflowPunct/>
        <w:topLinePunct w:val="0"/>
        <w:autoSpaceDE/>
        <w:autoSpaceDN w:val="0"/>
        <w:bidi w:val="0"/>
        <w:snapToGrid/>
        <w:spacing w:line="44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保证金缴纳截止时间到期后，若建设工程交易系统显示成功缴纳投标保证金的投标人数量少于3家时，招标人将取消于次日召开的项目开标会，重新组织招标。投标人可在投标保证金缴纳截止时间起至电子投标截止时间前自行登录全国公共资源交易平台（广东省·韶关市）查询是否发布了取消项目开标会的相关信息。</w:t>
      </w:r>
    </w:p>
    <w:p w14:paraId="179C7A91">
      <w:pPr>
        <w:autoSpaceDN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、联系方式</w:t>
      </w:r>
    </w:p>
    <w:tbl>
      <w:tblPr>
        <w:tblStyle w:val="30"/>
        <w:tblW w:w="10133" w:type="dxa"/>
        <w:tblInd w:w="0" w:type="dxa"/>
        <w:tblLayout w:type="fixed"/>
        <w:tblCellMar>
          <w:top w:w="0" w:type="dxa"/>
          <w:left w:w="108" w:type="dxa"/>
          <w:bottom w:w="0" w:type="dxa"/>
          <w:right w:w="108" w:type="dxa"/>
        </w:tblCellMar>
      </w:tblPr>
      <w:tblGrid>
        <w:gridCol w:w="1089"/>
        <w:gridCol w:w="3424"/>
        <w:gridCol w:w="1799"/>
        <w:gridCol w:w="3821"/>
      </w:tblGrid>
      <w:tr w14:paraId="0FFA8A31">
        <w:tblPrEx>
          <w:tblCellMar>
            <w:top w:w="0" w:type="dxa"/>
            <w:left w:w="108" w:type="dxa"/>
            <w:bottom w:w="0" w:type="dxa"/>
            <w:right w:w="108" w:type="dxa"/>
          </w:tblCellMar>
        </w:tblPrEx>
        <w:trPr>
          <w:trHeight w:val="567" w:hRule="exact"/>
        </w:trPr>
        <w:tc>
          <w:tcPr>
            <w:tcW w:w="1089" w:type="dxa"/>
            <w:noWrap w:val="0"/>
            <w:vAlign w:val="center"/>
          </w:tcPr>
          <w:p w14:paraId="3535E517">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招标人：</w:t>
            </w:r>
          </w:p>
        </w:tc>
        <w:tc>
          <w:tcPr>
            <w:tcW w:w="3424" w:type="dxa"/>
            <w:noWrap w:val="0"/>
            <w:vAlign w:val="center"/>
          </w:tcPr>
          <w:p w14:paraId="1EE09495">
            <w:pPr>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val="en-US" w:eastAsia="zh-CN"/>
              </w:rPr>
              <w:t>韶关市武江区江湾镇人民政府</w:t>
            </w:r>
          </w:p>
        </w:tc>
        <w:tc>
          <w:tcPr>
            <w:tcW w:w="1799" w:type="dxa"/>
            <w:noWrap w:val="0"/>
            <w:vAlign w:val="center"/>
          </w:tcPr>
          <w:p w14:paraId="3F8880E4">
            <w:pPr>
              <w:keepNext w:val="0"/>
              <w:keepLines w:val="0"/>
              <w:pageBreakBefore w:val="0"/>
              <w:widowControl/>
              <w:kinsoku/>
              <w:overflowPunct/>
              <w:topLinePunct w:val="0"/>
              <w:autoSpaceDE/>
              <w:autoSpaceDN/>
              <w:bidi w:val="0"/>
              <w:snapToGrid/>
              <w:spacing w:line="5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招标代理机构：</w:t>
            </w:r>
          </w:p>
        </w:tc>
        <w:tc>
          <w:tcPr>
            <w:tcW w:w="3821" w:type="dxa"/>
            <w:noWrap w:val="0"/>
            <w:vAlign w:val="center"/>
          </w:tcPr>
          <w:p w14:paraId="65EB8F55">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广东明正项目管理有限公司</w:t>
            </w:r>
          </w:p>
        </w:tc>
      </w:tr>
      <w:tr w14:paraId="40E28759">
        <w:tblPrEx>
          <w:tblCellMar>
            <w:top w:w="0" w:type="dxa"/>
            <w:left w:w="108" w:type="dxa"/>
            <w:bottom w:w="0" w:type="dxa"/>
            <w:right w:w="108" w:type="dxa"/>
          </w:tblCellMar>
        </w:tblPrEx>
        <w:trPr>
          <w:trHeight w:val="567" w:hRule="exact"/>
        </w:trPr>
        <w:tc>
          <w:tcPr>
            <w:tcW w:w="1089" w:type="dxa"/>
            <w:noWrap w:val="0"/>
            <w:vAlign w:val="center"/>
          </w:tcPr>
          <w:p w14:paraId="000EC4B2">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地  址：</w:t>
            </w:r>
          </w:p>
        </w:tc>
        <w:tc>
          <w:tcPr>
            <w:tcW w:w="3424" w:type="dxa"/>
            <w:noWrap w:val="0"/>
            <w:vAlign w:val="center"/>
          </w:tcPr>
          <w:p w14:paraId="1A2F3248">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sz w:val="24"/>
                <w:szCs w:val="24"/>
              </w:rPr>
              <w:t>韶关市武江区江湾街6号</w:t>
            </w:r>
          </w:p>
        </w:tc>
        <w:tc>
          <w:tcPr>
            <w:tcW w:w="1799" w:type="dxa"/>
            <w:noWrap w:val="0"/>
            <w:vAlign w:val="center"/>
          </w:tcPr>
          <w:p w14:paraId="6116DCA1">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地    址：</w:t>
            </w:r>
          </w:p>
        </w:tc>
        <w:tc>
          <w:tcPr>
            <w:tcW w:w="3821" w:type="dxa"/>
            <w:noWrap w:val="0"/>
            <w:vAlign w:val="center"/>
          </w:tcPr>
          <w:p w14:paraId="31BD12F0">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韶关市武江区惠民北路428号7楼</w:t>
            </w:r>
          </w:p>
        </w:tc>
      </w:tr>
      <w:tr w14:paraId="62154581">
        <w:tblPrEx>
          <w:tblCellMar>
            <w:top w:w="0" w:type="dxa"/>
            <w:left w:w="108" w:type="dxa"/>
            <w:bottom w:w="0" w:type="dxa"/>
            <w:right w:w="108" w:type="dxa"/>
          </w:tblCellMar>
        </w:tblPrEx>
        <w:trPr>
          <w:trHeight w:val="567" w:hRule="exact"/>
        </w:trPr>
        <w:tc>
          <w:tcPr>
            <w:tcW w:w="1089" w:type="dxa"/>
            <w:noWrap w:val="0"/>
            <w:vAlign w:val="center"/>
          </w:tcPr>
          <w:p w14:paraId="5ED7E7D7">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联系人：</w:t>
            </w:r>
          </w:p>
        </w:tc>
        <w:tc>
          <w:tcPr>
            <w:tcW w:w="3424" w:type="dxa"/>
            <w:noWrap w:val="0"/>
            <w:vAlign w:val="center"/>
          </w:tcPr>
          <w:p w14:paraId="322AC45B">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eastAsia="zh-CN"/>
              </w:rPr>
              <w:t>董工</w:t>
            </w:r>
          </w:p>
        </w:tc>
        <w:tc>
          <w:tcPr>
            <w:tcW w:w="1799" w:type="dxa"/>
            <w:noWrap w:val="0"/>
            <w:vAlign w:val="center"/>
          </w:tcPr>
          <w:p w14:paraId="20A297AE">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联 系 人：</w:t>
            </w:r>
          </w:p>
        </w:tc>
        <w:tc>
          <w:tcPr>
            <w:tcW w:w="3821" w:type="dxa"/>
            <w:noWrap w:val="0"/>
            <w:vAlign w:val="center"/>
          </w:tcPr>
          <w:p w14:paraId="285841F9">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杨工、潘工</w:t>
            </w:r>
          </w:p>
        </w:tc>
      </w:tr>
      <w:tr w14:paraId="1864DAA8">
        <w:tblPrEx>
          <w:tblCellMar>
            <w:top w:w="0" w:type="dxa"/>
            <w:left w:w="108" w:type="dxa"/>
            <w:bottom w:w="0" w:type="dxa"/>
            <w:right w:w="108" w:type="dxa"/>
          </w:tblCellMar>
        </w:tblPrEx>
        <w:trPr>
          <w:trHeight w:val="567" w:hRule="exact"/>
        </w:trPr>
        <w:tc>
          <w:tcPr>
            <w:tcW w:w="1089" w:type="dxa"/>
            <w:noWrap w:val="0"/>
            <w:vAlign w:val="center"/>
          </w:tcPr>
          <w:p w14:paraId="2DC3FC6A">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电  话：</w:t>
            </w:r>
          </w:p>
        </w:tc>
        <w:tc>
          <w:tcPr>
            <w:tcW w:w="3424" w:type="dxa"/>
            <w:noWrap w:val="0"/>
            <w:vAlign w:val="center"/>
          </w:tcPr>
          <w:p w14:paraId="1FAC8871">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rPr>
              <w:t>0751-6446388</w:t>
            </w:r>
          </w:p>
        </w:tc>
        <w:tc>
          <w:tcPr>
            <w:tcW w:w="1799" w:type="dxa"/>
            <w:noWrap w:val="0"/>
            <w:vAlign w:val="center"/>
          </w:tcPr>
          <w:p w14:paraId="20EFB28E">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电    话：</w:t>
            </w:r>
          </w:p>
        </w:tc>
        <w:tc>
          <w:tcPr>
            <w:tcW w:w="3821" w:type="dxa"/>
            <w:noWrap w:val="0"/>
            <w:vAlign w:val="center"/>
          </w:tcPr>
          <w:p w14:paraId="4B841645">
            <w:pPr>
              <w:keepNext w:val="0"/>
              <w:keepLines w:val="0"/>
              <w:pageBreakBefore w:val="0"/>
              <w:widowControl/>
              <w:kinsoku/>
              <w:overflowPunct/>
              <w:topLinePunct w:val="0"/>
              <w:autoSpaceDE/>
              <w:autoSpaceDN/>
              <w:bidi w:val="0"/>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0751-8606998</w:t>
            </w:r>
          </w:p>
        </w:tc>
      </w:tr>
    </w:tbl>
    <w:p w14:paraId="50E73213">
      <w:pPr>
        <w:spacing w:line="336" w:lineRule="auto"/>
        <w:rPr>
          <w:rFonts w:hint="eastAsia" w:ascii="宋体" w:hAnsi="宋体" w:eastAsia="宋体" w:cs="宋体"/>
          <w:b/>
          <w:bCs/>
          <w:color w:val="auto"/>
          <w:sz w:val="24"/>
          <w:szCs w:val="24"/>
          <w:highlight w:val="none"/>
          <w:lang w:val="en-US" w:eastAsia="zh-CN"/>
        </w:rPr>
      </w:pPr>
    </w:p>
    <w:p w14:paraId="20300853">
      <w:pPr>
        <w:spacing w:line="336"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、重要事项时间地点一览表</w:t>
      </w:r>
    </w:p>
    <w:bookmarkEnd w:id="12"/>
    <w:tbl>
      <w:tblPr>
        <w:tblStyle w:val="3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4DA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vAlign w:val="center"/>
          </w:tcPr>
          <w:p w14:paraId="1B37F3D1">
            <w:pPr>
              <w:pStyle w:val="130"/>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Autospacing="0" w:after="260" w:afterAutospacing="0" w:line="44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1</w:t>
            </w:r>
          </w:p>
        </w:tc>
        <w:tc>
          <w:tcPr>
            <w:tcW w:w="1455" w:type="dxa"/>
            <w:vAlign w:val="center"/>
          </w:tcPr>
          <w:p w14:paraId="02420B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招标公告</w:t>
            </w:r>
          </w:p>
          <w:p w14:paraId="06B0FA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发布时间</w:t>
            </w:r>
          </w:p>
        </w:tc>
        <w:tc>
          <w:tcPr>
            <w:tcW w:w="7124" w:type="dxa"/>
            <w:vAlign w:val="center"/>
          </w:tcPr>
          <w:p w14:paraId="77DA56E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i w:val="0"/>
                <w:iCs w:val="0"/>
                <w:color w:val="auto"/>
                <w:sz w:val="24"/>
                <w:szCs w:val="20"/>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lang w:val="en-US" w:eastAsia="zh-CN"/>
              </w:rPr>
              <w:t>0</w:t>
            </w:r>
            <w:r>
              <w:rPr>
                <w:rFonts w:hint="eastAsia" w:ascii="宋体" w:hAnsi="宋体" w:eastAsia="宋体" w:cs="宋体"/>
                <w:color w:val="auto"/>
                <w:sz w:val="24"/>
                <w:szCs w:val="20"/>
                <w:highlight w:val="none"/>
                <w:u w:val="single"/>
                <w:lang w:val="en-US" w:eastAsia="zh-CN"/>
              </w:rPr>
              <w:t>4</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17</w:t>
            </w:r>
            <w:r>
              <w:rPr>
                <w:rFonts w:hint="eastAsia" w:ascii="宋体" w:hAnsi="宋体" w:eastAsia="宋体" w:cs="宋体"/>
                <w:color w:val="auto"/>
                <w:sz w:val="24"/>
                <w:szCs w:val="20"/>
                <w:highlight w:val="none"/>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sz w:val="24"/>
                <w:szCs w:val="20"/>
                <w:highlight w:val="none"/>
              </w:rPr>
              <w:t>分</w:t>
            </w:r>
          </w:p>
        </w:tc>
      </w:tr>
      <w:tr w14:paraId="794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vAlign w:val="center"/>
          </w:tcPr>
          <w:p w14:paraId="787CE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2</w:t>
            </w:r>
          </w:p>
        </w:tc>
        <w:tc>
          <w:tcPr>
            <w:tcW w:w="1455" w:type="dxa"/>
            <w:vAlign w:val="center"/>
          </w:tcPr>
          <w:p w14:paraId="183E06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val="en-US" w:eastAsia="zh-CN"/>
              </w:rPr>
              <w:t>获取招标文件截止时</w:t>
            </w:r>
            <w:r>
              <w:rPr>
                <w:rFonts w:hint="eastAsia" w:ascii="宋体" w:hAnsi="宋体" w:eastAsia="宋体" w:cs="宋体"/>
                <w:i w:val="0"/>
                <w:caps w:val="0"/>
                <w:color w:val="auto"/>
                <w:spacing w:val="0"/>
                <w:sz w:val="24"/>
                <w:szCs w:val="24"/>
                <w:highlight w:val="none"/>
              </w:rPr>
              <w:t>间</w:t>
            </w:r>
          </w:p>
        </w:tc>
        <w:tc>
          <w:tcPr>
            <w:tcW w:w="7124" w:type="dxa"/>
            <w:vAlign w:val="center"/>
          </w:tcPr>
          <w:p w14:paraId="04BA4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i w:val="0"/>
                <w:iCs w:val="0"/>
                <w:color w:val="auto"/>
                <w:sz w:val="24"/>
                <w:szCs w:val="20"/>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26</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30</w:t>
            </w:r>
            <w:r>
              <w:rPr>
                <w:rFonts w:hint="eastAsia" w:ascii="宋体" w:hAnsi="宋体" w:eastAsia="宋体" w:cs="宋体"/>
                <w:color w:val="auto"/>
                <w:sz w:val="24"/>
                <w:szCs w:val="20"/>
                <w:highlight w:val="none"/>
              </w:rPr>
              <w:t>分</w:t>
            </w:r>
          </w:p>
        </w:tc>
      </w:tr>
      <w:tr w14:paraId="5D3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vAlign w:val="center"/>
          </w:tcPr>
          <w:p w14:paraId="0B463BA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3</w:t>
            </w:r>
          </w:p>
        </w:tc>
        <w:tc>
          <w:tcPr>
            <w:tcW w:w="1455" w:type="dxa"/>
            <w:vAlign w:val="center"/>
          </w:tcPr>
          <w:p w14:paraId="1E3855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网上提问</w:t>
            </w:r>
          </w:p>
          <w:p w14:paraId="01E2C1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截止时间</w:t>
            </w:r>
          </w:p>
        </w:tc>
        <w:tc>
          <w:tcPr>
            <w:tcW w:w="7124" w:type="dxa"/>
            <w:vAlign w:val="center"/>
          </w:tcPr>
          <w:p w14:paraId="70B1891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color w:val="auto"/>
                <w:kern w:val="0"/>
                <w:sz w:val="24"/>
                <w:highlight w:val="none"/>
                <w:u w:val="single"/>
                <w:lang w:val="en-US" w:eastAsia="zh-CN"/>
              </w:rPr>
              <w:t>2026</w:t>
            </w:r>
            <w:r>
              <w:rPr>
                <w:rFonts w:hint="eastAsia" w:ascii="宋体" w:hAnsi="宋体" w:eastAsia="宋体" w:cs="宋体"/>
                <w:color w:val="auto"/>
                <w:kern w:val="0"/>
                <w:sz w:val="24"/>
                <w:highlight w:val="none"/>
                <w:u w:val="none"/>
                <w:lang w:val="en-US" w:eastAsia="zh-CN"/>
              </w:rPr>
              <w:t>年</w:t>
            </w:r>
            <w:r>
              <w:rPr>
                <w:rFonts w:hint="eastAsia" w:ascii="宋体" w:hAnsi="宋体" w:eastAsia="宋体" w:cs="宋体"/>
                <w:color w:val="auto"/>
                <w:kern w:val="0"/>
                <w:sz w:val="24"/>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16</w:t>
            </w:r>
            <w:r>
              <w:rPr>
                <w:rFonts w:hint="eastAsia" w:ascii="宋体" w:hAnsi="宋体" w:eastAsia="宋体" w:cs="宋体"/>
                <w:color w:val="auto"/>
                <w:sz w:val="24"/>
                <w:szCs w:val="20"/>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69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vAlign w:val="center"/>
          </w:tcPr>
          <w:p w14:paraId="5E189C42">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4</w:t>
            </w:r>
          </w:p>
        </w:tc>
        <w:tc>
          <w:tcPr>
            <w:tcW w:w="1455" w:type="dxa"/>
            <w:vAlign w:val="center"/>
          </w:tcPr>
          <w:p w14:paraId="5328B2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网上答疑</w:t>
            </w:r>
          </w:p>
          <w:p w14:paraId="2C204C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时间</w:t>
            </w:r>
          </w:p>
        </w:tc>
        <w:tc>
          <w:tcPr>
            <w:tcW w:w="7124" w:type="dxa"/>
            <w:vAlign w:val="center"/>
          </w:tcPr>
          <w:p w14:paraId="36BBF24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color w:val="auto"/>
                <w:kern w:val="0"/>
                <w:sz w:val="24"/>
                <w:highlight w:val="none"/>
                <w:u w:val="single"/>
                <w:lang w:val="en-US" w:eastAsia="zh-CN"/>
              </w:rPr>
              <w:t>2026</w:t>
            </w:r>
            <w:r>
              <w:rPr>
                <w:rFonts w:hint="eastAsia" w:ascii="宋体" w:hAnsi="宋体" w:eastAsia="宋体" w:cs="宋体"/>
                <w:color w:val="auto"/>
                <w:kern w:val="0"/>
                <w:sz w:val="24"/>
                <w:highlight w:val="none"/>
                <w:u w:val="none"/>
                <w:lang w:val="en-US" w:eastAsia="zh-CN"/>
              </w:rPr>
              <w:t>年</w:t>
            </w:r>
            <w:r>
              <w:rPr>
                <w:rFonts w:hint="eastAsia" w:ascii="宋体" w:hAnsi="宋体" w:eastAsia="宋体" w:cs="宋体"/>
                <w:color w:val="auto"/>
                <w:kern w:val="0"/>
                <w:sz w:val="24"/>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16</w:t>
            </w:r>
            <w:r>
              <w:rPr>
                <w:rFonts w:hint="eastAsia" w:ascii="宋体" w:hAnsi="宋体" w:eastAsia="宋体" w:cs="宋体"/>
                <w:color w:val="auto"/>
                <w:sz w:val="24"/>
                <w:szCs w:val="20"/>
                <w:highlight w:val="none"/>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color w:val="auto"/>
                <w:kern w:val="0"/>
                <w:sz w:val="24"/>
                <w:highlight w:val="none"/>
                <w:u w:val="single"/>
                <w:lang w:val="en-US" w:eastAsia="zh-CN"/>
              </w:rPr>
              <w:t>2026</w:t>
            </w:r>
            <w:r>
              <w:rPr>
                <w:rFonts w:hint="eastAsia" w:ascii="宋体" w:hAnsi="宋体" w:eastAsia="宋体" w:cs="宋体"/>
                <w:color w:val="auto"/>
                <w:kern w:val="0"/>
                <w:sz w:val="24"/>
                <w:highlight w:val="none"/>
                <w:u w:val="none"/>
                <w:lang w:val="en-US" w:eastAsia="zh-CN"/>
              </w:rPr>
              <w:t>年</w:t>
            </w:r>
            <w:r>
              <w:rPr>
                <w:rFonts w:hint="eastAsia" w:ascii="宋体" w:hAnsi="宋体" w:eastAsia="宋体" w:cs="宋体"/>
                <w:color w:val="auto"/>
                <w:kern w:val="0"/>
                <w:sz w:val="24"/>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19</w:t>
            </w:r>
            <w:r>
              <w:rPr>
                <w:rFonts w:hint="eastAsia" w:ascii="宋体" w:hAnsi="宋体" w:eastAsia="宋体" w:cs="宋体"/>
                <w:color w:val="auto"/>
                <w:sz w:val="24"/>
                <w:szCs w:val="20"/>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788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vAlign w:val="center"/>
          </w:tcPr>
          <w:p w14:paraId="3C72420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5</w:t>
            </w:r>
          </w:p>
        </w:tc>
        <w:tc>
          <w:tcPr>
            <w:tcW w:w="1455" w:type="dxa"/>
            <w:vAlign w:val="center"/>
          </w:tcPr>
          <w:p w14:paraId="3B324EF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投标保证缴</w:t>
            </w:r>
          </w:p>
          <w:p w14:paraId="04B7ADE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纳截止时间</w:t>
            </w:r>
          </w:p>
        </w:tc>
        <w:tc>
          <w:tcPr>
            <w:tcW w:w="7124" w:type="dxa"/>
            <w:vAlign w:val="center"/>
          </w:tcPr>
          <w:p w14:paraId="268A25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投标保证金到账截止时间：</w:t>
            </w:r>
            <w:r>
              <w:rPr>
                <w:rFonts w:hint="eastAsia" w:ascii="宋体" w:hAnsi="宋体" w:eastAsia="宋体" w:cs="宋体"/>
                <w:i w:val="0"/>
                <w:caps w:val="0"/>
                <w:color w:val="auto"/>
                <w:spacing w:val="0"/>
                <w:sz w:val="24"/>
                <w:szCs w:val="24"/>
                <w:highlight w:val="none"/>
                <w:lang w:val="en-US" w:eastAsia="zh-CN"/>
              </w:rPr>
              <w:t xml:space="preserve"> </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i w:val="0"/>
                <w:iCs w:val="0"/>
                <w:color w:val="auto"/>
                <w:sz w:val="24"/>
                <w:szCs w:val="20"/>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25</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30</w:t>
            </w:r>
            <w:r>
              <w:rPr>
                <w:rFonts w:hint="eastAsia" w:ascii="宋体" w:hAnsi="宋体" w:eastAsia="宋体" w:cs="宋体"/>
                <w:color w:val="auto"/>
                <w:sz w:val="24"/>
                <w:szCs w:val="20"/>
                <w:highlight w:val="none"/>
              </w:rPr>
              <w:t>分</w:t>
            </w:r>
            <w:r>
              <w:rPr>
                <w:rFonts w:hint="eastAsia" w:ascii="宋体" w:hAnsi="宋体" w:eastAsia="宋体" w:cs="宋体"/>
                <w:i w:val="0"/>
                <w:caps w:val="0"/>
                <w:color w:val="auto"/>
                <w:spacing w:val="0"/>
                <w:sz w:val="24"/>
                <w:szCs w:val="24"/>
                <w:highlight w:val="none"/>
              </w:rPr>
              <w:t>；</w:t>
            </w:r>
          </w:p>
          <w:p w14:paraId="3840CD8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rPr>
              <w:t>投标保证担保</w:t>
            </w:r>
            <w:r>
              <w:rPr>
                <w:rFonts w:hint="eastAsia" w:ascii="宋体" w:hAnsi="宋体" w:eastAsia="宋体" w:cs="宋体"/>
                <w:i w:val="0"/>
                <w:caps w:val="0"/>
                <w:color w:val="auto"/>
                <w:spacing w:val="0"/>
                <w:sz w:val="24"/>
                <w:szCs w:val="24"/>
                <w:highlight w:val="none"/>
                <w:lang w:val="en-US" w:eastAsia="zh-CN"/>
              </w:rPr>
              <w:t>办理</w:t>
            </w:r>
            <w:r>
              <w:rPr>
                <w:rFonts w:hint="eastAsia" w:ascii="宋体" w:hAnsi="宋体" w:eastAsia="宋体" w:cs="宋体"/>
                <w:i w:val="0"/>
                <w:caps w:val="0"/>
                <w:color w:val="auto"/>
                <w:spacing w:val="0"/>
                <w:sz w:val="24"/>
                <w:szCs w:val="24"/>
                <w:highlight w:val="none"/>
              </w:rPr>
              <w:t>截止时间：</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i w:val="0"/>
                <w:iCs w:val="0"/>
                <w:color w:val="auto"/>
                <w:sz w:val="24"/>
                <w:szCs w:val="20"/>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25</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30</w:t>
            </w:r>
            <w:r>
              <w:rPr>
                <w:rFonts w:hint="eastAsia" w:ascii="宋体" w:hAnsi="宋体" w:eastAsia="宋体" w:cs="宋体"/>
                <w:color w:val="auto"/>
                <w:sz w:val="24"/>
                <w:szCs w:val="20"/>
                <w:highlight w:val="none"/>
              </w:rPr>
              <w:t>分</w:t>
            </w:r>
            <w:r>
              <w:rPr>
                <w:rFonts w:hint="eastAsia" w:ascii="宋体" w:hAnsi="宋体" w:eastAsia="宋体" w:cs="宋体"/>
                <w:i w:val="0"/>
                <w:caps w:val="0"/>
                <w:color w:val="auto"/>
                <w:spacing w:val="0"/>
                <w:sz w:val="24"/>
                <w:szCs w:val="24"/>
                <w:highlight w:val="none"/>
                <w:lang w:val="en-US" w:eastAsia="zh-CN"/>
              </w:rPr>
              <w:t>；</w:t>
            </w:r>
          </w:p>
          <w:p w14:paraId="23332E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i w:val="0"/>
                <w:iCs w:val="0"/>
                <w:color w:val="auto"/>
                <w:sz w:val="24"/>
                <w:szCs w:val="20"/>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25</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30</w:t>
            </w:r>
            <w:r>
              <w:rPr>
                <w:rFonts w:hint="eastAsia" w:ascii="宋体" w:hAnsi="宋体" w:eastAsia="宋体" w:cs="宋体"/>
                <w:color w:val="auto"/>
                <w:sz w:val="24"/>
                <w:szCs w:val="20"/>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93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vAlign w:val="center"/>
          </w:tcPr>
          <w:p w14:paraId="664C0EE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6</w:t>
            </w:r>
          </w:p>
        </w:tc>
        <w:tc>
          <w:tcPr>
            <w:tcW w:w="1455" w:type="dxa"/>
            <w:vAlign w:val="center"/>
          </w:tcPr>
          <w:p w14:paraId="6EA4AD4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电子投标</w:t>
            </w:r>
          </w:p>
          <w:p w14:paraId="4FFE2B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截止时间</w:t>
            </w:r>
          </w:p>
        </w:tc>
        <w:tc>
          <w:tcPr>
            <w:tcW w:w="7124" w:type="dxa"/>
            <w:vAlign w:val="center"/>
          </w:tcPr>
          <w:p w14:paraId="76C9B4D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i w:val="0"/>
                <w:iCs w:val="0"/>
                <w:color w:val="auto"/>
                <w:sz w:val="24"/>
                <w:szCs w:val="20"/>
                <w:highlight w:val="none"/>
                <w:u w:val="single"/>
                <w:lang w:val="en-US" w:eastAsia="zh-CN"/>
              </w:rPr>
              <w:t>0</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26</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30</w:t>
            </w:r>
            <w:r>
              <w:rPr>
                <w:rFonts w:hint="eastAsia" w:ascii="宋体" w:hAnsi="宋体" w:eastAsia="宋体" w:cs="宋体"/>
                <w:color w:val="auto"/>
                <w:sz w:val="24"/>
                <w:szCs w:val="20"/>
                <w:highlight w:val="none"/>
              </w:rPr>
              <w:t>分</w:t>
            </w:r>
          </w:p>
        </w:tc>
      </w:tr>
      <w:tr w14:paraId="283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vAlign w:val="center"/>
          </w:tcPr>
          <w:p w14:paraId="52BF59A7">
            <w:pPr>
              <w:pStyle w:val="13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7</w:t>
            </w:r>
          </w:p>
        </w:tc>
        <w:tc>
          <w:tcPr>
            <w:tcW w:w="1455" w:type="dxa"/>
            <w:vAlign w:val="center"/>
          </w:tcPr>
          <w:p w14:paraId="5FC8423D">
            <w:pPr>
              <w:pStyle w:val="13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投标相关资料（如有）</w:t>
            </w:r>
          </w:p>
          <w:p w14:paraId="1C2803B0">
            <w:pPr>
              <w:pStyle w:val="13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递交时间</w:t>
            </w:r>
          </w:p>
        </w:tc>
        <w:tc>
          <w:tcPr>
            <w:tcW w:w="7124" w:type="dxa"/>
            <w:vAlign w:val="center"/>
          </w:tcPr>
          <w:p w14:paraId="4F677A70">
            <w:pPr>
              <w:pStyle w:val="130"/>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 xml:space="preserve">  </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color w:val="auto"/>
                <w:sz w:val="24"/>
                <w:szCs w:val="20"/>
                <w:highlight w:val="none"/>
                <w:u w:val="single"/>
                <w:lang w:val="en-US" w:eastAsia="zh-CN"/>
              </w:rPr>
              <w:t>06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26</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00</w:t>
            </w:r>
            <w:r>
              <w:rPr>
                <w:rFonts w:hint="eastAsia" w:ascii="宋体" w:hAnsi="宋体" w:eastAsia="宋体" w:cs="宋体"/>
                <w:color w:val="auto"/>
                <w:sz w:val="24"/>
                <w:szCs w:val="20"/>
                <w:highlight w:val="none"/>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color w:val="auto"/>
                <w:sz w:val="24"/>
                <w:szCs w:val="20"/>
                <w:highlight w:val="none"/>
                <w:u w:val="single"/>
                <w:lang w:val="en-US" w:eastAsia="zh-CN"/>
              </w:rPr>
              <w:t>06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26</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30</w:t>
            </w:r>
            <w:r>
              <w:rPr>
                <w:rFonts w:hint="eastAsia" w:ascii="宋体" w:hAnsi="宋体" w:eastAsia="宋体" w:cs="宋体"/>
                <w:color w:val="auto"/>
                <w:sz w:val="24"/>
                <w:szCs w:val="20"/>
                <w:highlight w:val="none"/>
              </w:rPr>
              <w:t>分</w:t>
            </w:r>
          </w:p>
        </w:tc>
      </w:tr>
      <w:tr w14:paraId="61B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vAlign w:val="center"/>
          </w:tcPr>
          <w:p w14:paraId="27752D4E">
            <w:pPr>
              <w:pStyle w:val="13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8</w:t>
            </w:r>
          </w:p>
        </w:tc>
        <w:tc>
          <w:tcPr>
            <w:tcW w:w="1455" w:type="dxa"/>
            <w:vAlign w:val="center"/>
          </w:tcPr>
          <w:p w14:paraId="04583A87">
            <w:pPr>
              <w:pStyle w:val="13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投标相关资料（如有）</w:t>
            </w:r>
          </w:p>
          <w:p w14:paraId="5FED563E">
            <w:pPr>
              <w:pStyle w:val="13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递交地点</w:t>
            </w:r>
          </w:p>
        </w:tc>
        <w:tc>
          <w:tcPr>
            <w:tcW w:w="7124" w:type="dxa"/>
            <w:vAlign w:val="center"/>
          </w:tcPr>
          <w:p w14:paraId="4CB7EE78">
            <w:pPr>
              <w:pStyle w:val="130"/>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31C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vAlign w:val="center"/>
          </w:tcPr>
          <w:p w14:paraId="78F6BC7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55" w:type="dxa"/>
            <w:vAlign w:val="center"/>
          </w:tcPr>
          <w:p w14:paraId="3D852B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开标时间</w:t>
            </w:r>
          </w:p>
        </w:tc>
        <w:tc>
          <w:tcPr>
            <w:tcW w:w="7124" w:type="dxa"/>
            <w:vAlign w:val="center"/>
          </w:tcPr>
          <w:p w14:paraId="4372E2A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i w:val="0"/>
                <w:iCs w:val="0"/>
                <w:color w:val="auto"/>
                <w:sz w:val="24"/>
                <w:szCs w:val="20"/>
                <w:highlight w:val="none"/>
                <w:u w:val="none"/>
                <w:lang w:val="en-US" w:eastAsia="zh-CN"/>
              </w:rPr>
              <w:t>年</w:t>
            </w:r>
            <w:r>
              <w:rPr>
                <w:rFonts w:hint="eastAsia" w:ascii="宋体" w:hAnsi="宋体" w:eastAsia="宋体" w:cs="宋体"/>
                <w:color w:val="auto"/>
                <w:sz w:val="24"/>
                <w:szCs w:val="20"/>
                <w:highlight w:val="none"/>
                <w:u w:val="single"/>
                <w:lang w:val="en-US" w:eastAsia="zh-CN"/>
              </w:rPr>
              <w:t>06</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 xml:space="preserve"> 26</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30</w:t>
            </w:r>
            <w:r>
              <w:rPr>
                <w:rFonts w:hint="eastAsia" w:ascii="宋体" w:hAnsi="宋体" w:eastAsia="宋体" w:cs="宋体"/>
                <w:color w:val="auto"/>
                <w:sz w:val="24"/>
                <w:szCs w:val="20"/>
                <w:highlight w:val="none"/>
              </w:rPr>
              <w:t>分</w:t>
            </w:r>
          </w:p>
        </w:tc>
      </w:tr>
      <w:tr w14:paraId="320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vAlign w:val="center"/>
          </w:tcPr>
          <w:p w14:paraId="0E63CB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55" w:type="dxa"/>
            <w:vAlign w:val="center"/>
          </w:tcPr>
          <w:p w14:paraId="4CBB94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开标地点</w:t>
            </w:r>
          </w:p>
        </w:tc>
        <w:tc>
          <w:tcPr>
            <w:tcW w:w="7124" w:type="dxa"/>
            <w:vAlign w:val="center"/>
          </w:tcPr>
          <w:p w14:paraId="253348D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13D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vAlign w:val="center"/>
          </w:tcPr>
          <w:p w14:paraId="1B46987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highlight w:val="none"/>
                <w:lang w:val="en-US"/>
              </w:rPr>
            </w:pPr>
            <w:r>
              <w:rPr>
                <w:rFonts w:hint="eastAsia" w:ascii="宋体" w:hAnsi="宋体" w:eastAsia="宋体" w:cs="宋体"/>
                <w:color w:val="auto"/>
                <w:kern w:val="2"/>
                <w:sz w:val="24"/>
                <w:szCs w:val="24"/>
                <w:highlight w:val="none"/>
                <w:lang w:val="en-US" w:eastAsia="zh-CN" w:bidi="ar-SA"/>
              </w:rPr>
              <w:t>11</w:t>
            </w:r>
          </w:p>
        </w:tc>
        <w:tc>
          <w:tcPr>
            <w:tcW w:w="1455" w:type="dxa"/>
            <w:vAlign w:val="center"/>
          </w:tcPr>
          <w:p w14:paraId="2E05A177">
            <w:pPr>
              <w:pStyle w:val="13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其他</w:t>
            </w:r>
          </w:p>
        </w:tc>
        <w:tc>
          <w:tcPr>
            <w:tcW w:w="7124" w:type="dxa"/>
            <w:vAlign w:val="center"/>
          </w:tcPr>
          <w:p w14:paraId="423BA51D">
            <w:pPr>
              <w:pStyle w:val="130"/>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5739100A">
      <w:pPr>
        <w:bidi w:val="0"/>
        <w:rPr>
          <w:rFonts w:hint="eastAsia" w:ascii="宋体" w:hAnsi="宋体" w:eastAsia="宋体" w:cs="宋体"/>
          <w:color w:val="auto"/>
        </w:rPr>
      </w:pPr>
    </w:p>
    <w:p w14:paraId="1FDA4436">
      <w:pPr>
        <w:rPr>
          <w:rFonts w:hint="eastAsia" w:ascii="宋体" w:hAnsi="宋体" w:eastAsia="宋体" w:cs="宋体"/>
          <w:color w:val="auto"/>
          <w:highlight w:val="none"/>
        </w:rPr>
      </w:pPr>
    </w:p>
    <w:p w14:paraId="077756CA">
      <w:pPr>
        <w:bidi w:val="0"/>
        <w:rPr>
          <w:rFonts w:hint="eastAsia" w:ascii="宋体" w:hAnsi="宋体" w:eastAsia="宋体" w:cs="宋体"/>
          <w:color w:val="auto"/>
        </w:rPr>
      </w:pPr>
    </w:p>
    <w:p w14:paraId="744D8505">
      <w:pPr>
        <w:rPr>
          <w:rFonts w:hint="eastAsia" w:ascii="宋体" w:hAnsi="宋体" w:eastAsia="宋体" w:cs="宋体"/>
          <w:color w:val="auto"/>
          <w:highlight w:val="none"/>
        </w:rPr>
      </w:pPr>
    </w:p>
    <w:p w14:paraId="1A32C797">
      <w:pPr>
        <w:rPr>
          <w:rFonts w:hint="eastAsia" w:ascii="宋体" w:hAnsi="宋体" w:eastAsia="宋体" w:cs="宋体"/>
          <w:color w:val="auto"/>
          <w:highlight w:val="none"/>
        </w:rPr>
      </w:pPr>
    </w:p>
    <w:p w14:paraId="24594E43">
      <w:pPr>
        <w:pStyle w:val="2"/>
        <w:bidi w:val="0"/>
        <w:jc w:val="center"/>
        <w:rPr>
          <w:rFonts w:hint="eastAsia" w:ascii="宋体" w:hAnsi="宋体" w:eastAsia="宋体" w:cs="宋体"/>
          <w:color w:val="auto"/>
        </w:rPr>
      </w:pPr>
      <w:bookmarkStart w:id="22" w:name="_Toc16226"/>
      <w:bookmarkStart w:id="23" w:name="_Toc30454"/>
      <w:bookmarkStart w:id="24" w:name="_Toc3"/>
      <w:r>
        <w:rPr>
          <w:rFonts w:hint="eastAsia" w:ascii="宋体" w:hAnsi="宋体" w:eastAsia="宋体" w:cs="宋体"/>
          <w:color w:val="auto"/>
        </w:rPr>
        <w:t>第二章</w:t>
      </w:r>
      <w:r>
        <w:rPr>
          <w:rFonts w:hint="eastAsia" w:ascii="宋体" w:hAnsi="宋体" w:eastAsia="宋体" w:cs="宋体"/>
          <w:color w:val="auto"/>
          <w:lang w:val="en-US" w:eastAsia="zh-CN"/>
        </w:rPr>
        <w:t xml:space="preserve"> </w:t>
      </w:r>
      <w:r>
        <w:rPr>
          <w:rFonts w:hint="eastAsia" w:ascii="宋体" w:hAnsi="宋体" w:eastAsia="宋体" w:cs="宋体"/>
          <w:color w:val="auto"/>
        </w:rPr>
        <w:t>投标人须知</w:t>
      </w:r>
      <w:bookmarkEnd w:id="13"/>
      <w:bookmarkEnd w:id="14"/>
      <w:bookmarkEnd w:id="15"/>
      <w:bookmarkEnd w:id="16"/>
      <w:bookmarkEnd w:id="17"/>
      <w:bookmarkEnd w:id="22"/>
      <w:bookmarkEnd w:id="23"/>
      <w:bookmarkEnd w:id="24"/>
    </w:p>
    <w:p w14:paraId="2DF59C43">
      <w:pPr>
        <w:pStyle w:val="3"/>
        <w:bidi w:val="0"/>
        <w:jc w:val="center"/>
        <w:rPr>
          <w:rFonts w:hint="eastAsia" w:ascii="宋体" w:hAnsi="宋体" w:eastAsia="宋体" w:cs="宋体"/>
          <w:color w:val="auto"/>
        </w:rPr>
      </w:pPr>
      <w:bookmarkStart w:id="25" w:name="_Toc4439"/>
      <w:bookmarkStart w:id="26" w:name="_Toc263413151"/>
      <w:bookmarkStart w:id="27" w:name="_Toc256773138"/>
      <w:r>
        <w:rPr>
          <w:rFonts w:hint="eastAsia" w:ascii="宋体" w:hAnsi="宋体" w:eastAsia="宋体" w:cs="宋体"/>
          <w:color w:val="auto"/>
        </w:rPr>
        <w:t>投标人须知前附表</w:t>
      </w:r>
      <w:bookmarkEnd w:id="25"/>
      <w:bookmarkEnd w:id="26"/>
      <w:bookmarkEnd w:id="27"/>
    </w:p>
    <w:tbl>
      <w:tblPr>
        <w:tblStyle w:val="30"/>
        <w:tblW w:w="9500"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916"/>
        <w:gridCol w:w="6612"/>
      </w:tblGrid>
      <w:tr w14:paraId="2F53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5AAFB10C">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条款号</w:t>
            </w:r>
          </w:p>
        </w:tc>
        <w:tc>
          <w:tcPr>
            <w:tcW w:w="1916" w:type="dxa"/>
            <w:noWrap w:val="0"/>
            <w:vAlign w:val="center"/>
          </w:tcPr>
          <w:p w14:paraId="549419B5">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条款名称</w:t>
            </w:r>
          </w:p>
        </w:tc>
        <w:tc>
          <w:tcPr>
            <w:tcW w:w="6612" w:type="dxa"/>
            <w:noWrap w:val="0"/>
            <w:vAlign w:val="center"/>
          </w:tcPr>
          <w:p w14:paraId="53D198C0">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编列内容</w:t>
            </w:r>
          </w:p>
        </w:tc>
      </w:tr>
      <w:tr w14:paraId="49E4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7B2452BA">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w:t>
            </w:r>
          </w:p>
        </w:tc>
        <w:tc>
          <w:tcPr>
            <w:tcW w:w="1916" w:type="dxa"/>
            <w:noWrap w:val="0"/>
            <w:vAlign w:val="center"/>
          </w:tcPr>
          <w:p w14:paraId="65CC0FA9">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招标人</w:t>
            </w:r>
          </w:p>
        </w:tc>
        <w:tc>
          <w:tcPr>
            <w:tcW w:w="6612" w:type="dxa"/>
            <w:noWrap w:val="0"/>
            <w:vAlign w:val="center"/>
          </w:tcPr>
          <w:p w14:paraId="79BF0044">
            <w:pPr>
              <w:pageBreakBefore w:val="0"/>
              <w:widowControl w:val="0"/>
              <w:kinsoku/>
              <w:wordWrap/>
              <w:overflowPunct/>
              <w:topLinePunct w:val="0"/>
              <w:bidi w:val="0"/>
              <w:spacing w:line="400" w:lineRule="exact"/>
              <w:jc w:val="left"/>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lang w:eastAsia="zh-CN"/>
              </w:rPr>
              <w:t>韶关市武江区江湾镇人民政府</w:t>
            </w:r>
          </w:p>
        </w:tc>
      </w:tr>
      <w:tr w14:paraId="46AF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5790FC41">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1.1.3</w:t>
            </w:r>
          </w:p>
        </w:tc>
        <w:tc>
          <w:tcPr>
            <w:tcW w:w="1916" w:type="dxa"/>
            <w:noWrap w:val="0"/>
            <w:vAlign w:val="center"/>
          </w:tcPr>
          <w:p w14:paraId="2AC927B4">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招标代理机构</w:t>
            </w:r>
          </w:p>
        </w:tc>
        <w:tc>
          <w:tcPr>
            <w:tcW w:w="6612" w:type="dxa"/>
            <w:noWrap w:val="0"/>
            <w:vAlign w:val="center"/>
          </w:tcPr>
          <w:p w14:paraId="7F851C43">
            <w:pPr>
              <w:pageBreakBefore w:val="0"/>
              <w:widowControl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广东明正项目管理有限公司</w:t>
            </w:r>
          </w:p>
        </w:tc>
      </w:tr>
      <w:tr w14:paraId="7CB8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7852F06F">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1.1.4</w:t>
            </w:r>
          </w:p>
        </w:tc>
        <w:tc>
          <w:tcPr>
            <w:tcW w:w="1916" w:type="dxa"/>
            <w:noWrap w:val="0"/>
            <w:vAlign w:val="center"/>
          </w:tcPr>
          <w:p w14:paraId="28833C97">
            <w:pPr>
              <w:pageBreakBefore w:val="0"/>
              <w:widowControl w:val="0"/>
              <w:kinsoku/>
              <w:wordWrap/>
              <w:overflowPunct/>
              <w:topLinePunct w:val="0"/>
              <w:bidi w:val="0"/>
              <w:spacing w:line="400" w:lineRule="exact"/>
              <w:ind w:left="-90" w:leftChars="-43" w:firstLine="240" w:firstLineChars="10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w:t>
            </w:r>
          </w:p>
        </w:tc>
        <w:tc>
          <w:tcPr>
            <w:tcW w:w="6612" w:type="dxa"/>
            <w:noWrap w:val="0"/>
            <w:vAlign w:val="center"/>
          </w:tcPr>
          <w:p w14:paraId="5670A883">
            <w:pPr>
              <w:pageBreakBefore w:val="0"/>
              <w:widowControl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广东省韶关市武江区农业产业基础设施建设项目－武江区2026年农业产业基础设施建设项目（江湾镇）施工</w:t>
            </w:r>
          </w:p>
        </w:tc>
      </w:tr>
      <w:tr w14:paraId="396F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55DE98D5">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1.1.5</w:t>
            </w:r>
          </w:p>
        </w:tc>
        <w:tc>
          <w:tcPr>
            <w:tcW w:w="1916" w:type="dxa"/>
            <w:noWrap w:val="0"/>
            <w:vAlign w:val="center"/>
          </w:tcPr>
          <w:p w14:paraId="320B7934">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建设地点</w:t>
            </w:r>
          </w:p>
        </w:tc>
        <w:tc>
          <w:tcPr>
            <w:tcW w:w="6612" w:type="dxa"/>
            <w:noWrap w:val="0"/>
            <w:vAlign w:val="center"/>
          </w:tcPr>
          <w:p w14:paraId="01140082">
            <w:pPr>
              <w:pageBreakBefore w:val="0"/>
              <w:widowControl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韶关市武江区江湾镇</w:t>
            </w:r>
          </w:p>
        </w:tc>
      </w:tr>
      <w:tr w14:paraId="6B4F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4629B8A5">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1.1.6</w:t>
            </w:r>
          </w:p>
        </w:tc>
        <w:tc>
          <w:tcPr>
            <w:tcW w:w="1916" w:type="dxa"/>
            <w:noWrap w:val="0"/>
            <w:vAlign w:val="center"/>
          </w:tcPr>
          <w:p w14:paraId="74D0DC73">
            <w:pPr>
              <w:pageBreakBefore w:val="0"/>
              <w:widowControl w:val="0"/>
              <w:kinsoku/>
              <w:wordWrap/>
              <w:overflowPunct/>
              <w:topLinePunct w:val="0"/>
              <w:bidi w:val="0"/>
              <w:spacing w:line="400" w:lineRule="exact"/>
              <w:ind w:left="-90" w:leftChars="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lang w:val="zh-CN"/>
              </w:rPr>
              <w:t>设计</w:t>
            </w:r>
            <w:r>
              <w:rPr>
                <w:rFonts w:hint="eastAsia" w:ascii="宋体" w:hAnsi="宋体" w:eastAsia="宋体" w:cs="宋体"/>
                <w:color w:val="auto"/>
                <w:spacing w:val="2"/>
                <w:kern w:val="0"/>
                <w:sz w:val="24"/>
                <w:szCs w:val="24"/>
                <w:highlight w:val="none"/>
                <w:lang w:val="en-US" w:eastAsia="zh-CN"/>
              </w:rPr>
              <w:t>单位</w:t>
            </w:r>
          </w:p>
        </w:tc>
        <w:tc>
          <w:tcPr>
            <w:tcW w:w="6612" w:type="dxa"/>
            <w:noWrap w:val="0"/>
            <w:vAlign w:val="center"/>
          </w:tcPr>
          <w:p w14:paraId="4C62DA77">
            <w:pPr>
              <w:pageBreakBefore w:val="0"/>
              <w:widowControl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中叙设计集团有限公司</w:t>
            </w:r>
          </w:p>
        </w:tc>
      </w:tr>
      <w:tr w14:paraId="704B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3E2F9AA3">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1.1.7</w:t>
            </w:r>
          </w:p>
        </w:tc>
        <w:tc>
          <w:tcPr>
            <w:tcW w:w="1916" w:type="dxa"/>
            <w:noWrap w:val="0"/>
            <w:vAlign w:val="center"/>
          </w:tcPr>
          <w:p w14:paraId="499EF428">
            <w:pPr>
              <w:pageBreakBefore w:val="0"/>
              <w:widowControl w:val="0"/>
              <w:kinsoku/>
              <w:wordWrap/>
              <w:overflowPunct/>
              <w:topLinePunct w:val="0"/>
              <w:bidi w:val="0"/>
              <w:spacing w:line="400" w:lineRule="exact"/>
              <w:ind w:left="-90" w:leftChars="0"/>
              <w:jc w:val="center"/>
              <w:textAlignment w:val="auto"/>
              <w:rPr>
                <w:rFonts w:hint="eastAsia" w:ascii="宋体" w:hAnsi="宋体" w:eastAsia="宋体" w:cs="宋体"/>
                <w:color w:val="auto"/>
                <w:spacing w:val="2"/>
                <w:kern w:val="0"/>
                <w:sz w:val="24"/>
                <w:szCs w:val="24"/>
                <w:highlight w:val="none"/>
                <w:lang w:val="zh-CN"/>
              </w:rPr>
            </w:pPr>
            <w:r>
              <w:rPr>
                <w:rFonts w:hint="eastAsia" w:ascii="宋体" w:hAnsi="宋体" w:eastAsia="宋体" w:cs="宋体"/>
                <w:color w:val="auto"/>
                <w:spacing w:val="2"/>
                <w:kern w:val="0"/>
                <w:sz w:val="24"/>
                <w:szCs w:val="24"/>
                <w:highlight w:val="none"/>
              </w:rPr>
              <w:t>监理</w:t>
            </w:r>
            <w:r>
              <w:rPr>
                <w:rFonts w:hint="eastAsia" w:ascii="宋体" w:hAnsi="宋体" w:eastAsia="宋体" w:cs="宋体"/>
                <w:color w:val="auto"/>
                <w:spacing w:val="2"/>
                <w:kern w:val="0"/>
                <w:sz w:val="24"/>
                <w:szCs w:val="24"/>
                <w:highlight w:val="none"/>
                <w:lang w:val="en-US" w:eastAsia="zh-CN"/>
              </w:rPr>
              <w:t>单位</w:t>
            </w:r>
          </w:p>
        </w:tc>
        <w:tc>
          <w:tcPr>
            <w:tcW w:w="6612" w:type="dxa"/>
            <w:noWrap w:val="0"/>
            <w:vAlign w:val="center"/>
          </w:tcPr>
          <w:p w14:paraId="1FB8BBEF">
            <w:pPr>
              <w:pageBreakBefore w:val="0"/>
              <w:widowControl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待定</w:t>
            </w:r>
          </w:p>
        </w:tc>
      </w:tr>
      <w:tr w14:paraId="5C0E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231FB7D8">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1.2.1</w:t>
            </w:r>
          </w:p>
        </w:tc>
        <w:tc>
          <w:tcPr>
            <w:tcW w:w="1916" w:type="dxa"/>
            <w:noWrap w:val="0"/>
            <w:vAlign w:val="center"/>
          </w:tcPr>
          <w:p w14:paraId="4FC2413B">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资金来源</w:t>
            </w:r>
          </w:p>
        </w:tc>
        <w:tc>
          <w:tcPr>
            <w:tcW w:w="6612" w:type="dxa"/>
            <w:noWrap w:val="0"/>
            <w:vAlign w:val="center"/>
          </w:tcPr>
          <w:p w14:paraId="66014F0E">
            <w:pPr>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区财政统筹解决，100%</w:t>
            </w:r>
          </w:p>
        </w:tc>
      </w:tr>
      <w:tr w14:paraId="0EF8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47B6BA0B">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1.2.2</w:t>
            </w:r>
          </w:p>
        </w:tc>
        <w:tc>
          <w:tcPr>
            <w:tcW w:w="1916" w:type="dxa"/>
            <w:noWrap w:val="0"/>
            <w:vAlign w:val="center"/>
          </w:tcPr>
          <w:p w14:paraId="08F2D959">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资金落实情况</w:t>
            </w:r>
          </w:p>
        </w:tc>
        <w:tc>
          <w:tcPr>
            <w:tcW w:w="6612" w:type="dxa"/>
            <w:noWrap w:val="0"/>
            <w:vAlign w:val="center"/>
          </w:tcPr>
          <w:p w14:paraId="2F5D9548">
            <w:pPr>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已落实</w:t>
            </w:r>
          </w:p>
        </w:tc>
      </w:tr>
      <w:tr w14:paraId="09C6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4B1FE27E">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1.3.1</w:t>
            </w:r>
          </w:p>
        </w:tc>
        <w:tc>
          <w:tcPr>
            <w:tcW w:w="1916" w:type="dxa"/>
            <w:noWrap w:val="0"/>
            <w:vAlign w:val="center"/>
          </w:tcPr>
          <w:p w14:paraId="19E36B08">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招标范围</w:t>
            </w:r>
          </w:p>
        </w:tc>
        <w:tc>
          <w:tcPr>
            <w:tcW w:w="6612" w:type="dxa"/>
            <w:noWrap w:val="0"/>
            <w:vAlign w:val="center"/>
          </w:tcPr>
          <w:p w14:paraId="288F8FD9">
            <w:pPr>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按审查合格的施工图纸及工程量清单内容施工。</w:t>
            </w:r>
          </w:p>
        </w:tc>
      </w:tr>
      <w:tr w14:paraId="024E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tcBorders>
              <w:bottom w:val="single" w:color="auto" w:sz="4" w:space="0"/>
            </w:tcBorders>
            <w:noWrap w:val="0"/>
            <w:vAlign w:val="center"/>
          </w:tcPr>
          <w:p w14:paraId="727EB382">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1.3.2</w:t>
            </w:r>
          </w:p>
        </w:tc>
        <w:tc>
          <w:tcPr>
            <w:tcW w:w="1916" w:type="dxa"/>
            <w:tcBorders>
              <w:bottom w:val="single" w:color="auto" w:sz="4" w:space="0"/>
            </w:tcBorders>
            <w:noWrap w:val="0"/>
            <w:vAlign w:val="center"/>
          </w:tcPr>
          <w:p w14:paraId="18DF4756">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计划工期</w:t>
            </w:r>
          </w:p>
        </w:tc>
        <w:tc>
          <w:tcPr>
            <w:tcW w:w="6612" w:type="dxa"/>
            <w:tcBorders>
              <w:bottom w:val="single" w:color="auto" w:sz="4" w:space="0"/>
            </w:tcBorders>
            <w:noWrap w:val="0"/>
            <w:vAlign w:val="center"/>
          </w:tcPr>
          <w:p w14:paraId="2FE50CD3">
            <w:pPr>
              <w:pageBreakBefore w:val="0"/>
              <w:widowControl w:val="0"/>
              <w:kinsoku/>
              <w:wordWrap/>
              <w:overflowPunct/>
              <w:topLinePunct w:val="0"/>
              <w:bidi w:val="0"/>
              <w:spacing w:line="400" w:lineRule="exac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kern w:val="0"/>
                <w:sz w:val="24"/>
                <w:szCs w:val="24"/>
                <w:highlight w:val="none"/>
                <w:u w:val="none"/>
                <w:lang w:val="en-US" w:eastAsia="zh-CN"/>
              </w:rPr>
              <w:t>120</w:t>
            </w:r>
            <w:r>
              <w:rPr>
                <w:rFonts w:hint="eastAsia" w:ascii="宋体" w:hAnsi="宋体" w:eastAsia="宋体" w:cs="宋体"/>
                <w:color w:val="auto"/>
                <w:kern w:val="0"/>
                <w:sz w:val="24"/>
                <w:szCs w:val="24"/>
                <w:highlight w:val="none"/>
                <w:u w:val="none"/>
              </w:rPr>
              <w:t>日历天</w:t>
            </w:r>
          </w:p>
        </w:tc>
      </w:tr>
      <w:tr w14:paraId="190E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tcBorders>
              <w:top w:val="single" w:color="auto" w:sz="4" w:space="0"/>
              <w:left w:val="single" w:color="auto" w:sz="4" w:space="0"/>
              <w:bottom w:val="single" w:color="auto" w:sz="4" w:space="0"/>
              <w:right w:val="single" w:color="auto" w:sz="4" w:space="0"/>
            </w:tcBorders>
            <w:noWrap w:val="0"/>
            <w:vAlign w:val="center"/>
          </w:tcPr>
          <w:p w14:paraId="7BADB85A">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1.3.3</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4E8608C">
            <w:pPr>
              <w:pageBreakBefore w:val="0"/>
              <w:widowControl w:val="0"/>
              <w:kinsoku/>
              <w:wordWrap/>
              <w:overflowPunct/>
              <w:topLinePunct w:val="0"/>
              <w:bidi w:val="0"/>
              <w:spacing w:line="400" w:lineRule="exact"/>
              <w:ind w:left="-90" w:firstLine="122"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质量要求</w:t>
            </w:r>
          </w:p>
        </w:tc>
        <w:tc>
          <w:tcPr>
            <w:tcW w:w="6612" w:type="dxa"/>
            <w:tcBorders>
              <w:top w:val="single" w:color="auto" w:sz="4" w:space="0"/>
              <w:left w:val="single" w:color="auto" w:sz="4" w:space="0"/>
              <w:bottom w:val="single" w:color="auto" w:sz="4" w:space="0"/>
              <w:right w:val="single" w:color="auto" w:sz="4" w:space="0"/>
            </w:tcBorders>
            <w:noWrap w:val="0"/>
            <w:vAlign w:val="center"/>
          </w:tcPr>
          <w:p w14:paraId="087DE242">
            <w:pPr>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合格</w:t>
            </w:r>
          </w:p>
        </w:tc>
      </w:tr>
      <w:tr w14:paraId="1D43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tcBorders>
              <w:top w:val="single" w:color="auto" w:sz="4" w:space="0"/>
            </w:tcBorders>
            <w:noWrap w:val="0"/>
            <w:vAlign w:val="center"/>
          </w:tcPr>
          <w:p w14:paraId="2D5CDA18">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1.4.1</w:t>
            </w:r>
          </w:p>
        </w:tc>
        <w:tc>
          <w:tcPr>
            <w:tcW w:w="1916" w:type="dxa"/>
            <w:tcBorders>
              <w:top w:val="single" w:color="auto" w:sz="4" w:space="0"/>
            </w:tcBorders>
            <w:noWrap w:val="0"/>
            <w:vAlign w:val="center"/>
          </w:tcPr>
          <w:p w14:paraId="30A9EA8F">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投标人资质条件、能力和信誉</w:t>
            </w:r>
          </w:p>
        </w:tc>
        <w:tc>
          <w:tcPr>
            <w:tcW w:w="6612" w:type="dxa"/>
            <w:tcBorders>
              <w:top w:val="single" w:color="auto" w:sz="4" w:space="0"/>
            </w:tcBorders>
            <w:noWrap w:val="0"/>
            <w:vAlign w:val="center"/>
          </w:tcPr>
          <w:p w14:paraId="3FF504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投标人资格要求：</w:t>
            </w:r>
          </w:p>
          <w:p w14:paraId="5A9E309A">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（1）投标人必须具备</w:t>
            </w:r>
            <w:r>
              <w:rPr>
                <w:rFonts w:hint="eastAsia" w:ascii="宋体" w:hAnsi="宋体" w:eastAsia="宋体" w:cs="宋体"/>
                <w:color w:val="auto"/>
                <w:kern w:val="0"/>
                <w:sz w:val="24"/>
                <w:szCs w:val="24"/>
                <w:highlight w:val="none"/>
                <w:u w:val="single"/>
              </w:rPr>
              <w:t>水利水电工程施工总承包三级以上（含三级）资质</w:t>
            </w:r>
            <w:r>
              <w:rPr>
                <w:rFonts w:hint="eastAsia" w:ascii="宋体" w:hAnsi="宋体" w:eastAsia="宋体" w:cs="宋体"/>
                <w:color w:val="auto"/>
                <w:kern w:val="0"/>
                <w:sz w:val="24"/>
                <w:szCs w:val="24"/>
                <w:highlight w:val="none"/>
              </w:rPr>
              <w:t>。</w:t>
            </w:r>
          </w:p>
          <w:p w14:paraId="7DBF92F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投标人须具备有效的营业执照、安全生产许可证及资质证书（根据有关文件精神，投标人的企业相关证书到期的，均按该证书的发证机构相关行业主管部门最新文件执行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如自动顺延或推迟办理延期业务的通知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，投标人必须将相关文件附在该证书</w:t>
            </w:r>
            <w:r>
              <w:rPr>
                <w:rFonts w:hint="eastAsia" w:ascii="宋体" w:hAnsi="宋体" w:eastAsia="宋体" w:cs="宋体"/>
                <w:color w:val="auto"/>
                <w:sz w:val="24"/>
                <w:szCs w:val="24"/>
                <w:highlight w:val="none"/>
                <w:lang w:eastAsia="zh-CN"/>
              </w:rPr>
              <w:t>后面</w:t>
            </w:r>
            <w:r>
              <w:rPr>
                <w:rFonts w:hint="eastAsia" w:ascii="宋体" w:hAnsi="宋体" w:eastAsia="宋体" w:cs="宋体"/>
                <w:color w:val="auto"/>
                <w:sz w:val="24"/>
                <w:szCs w:val="24"/>
                <w:highlight w:val="none"/>
              </w:rPr>
              <w:t>，证明在开标日继续有效）。因推行电子证照，可提供营业执照、资质证书、安全生产许可证实时网页查询页。</w:t>
            </w:r>
          </w:p>
          <w:p w14:paraId="7426DBF7">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（3）拟委派担任本项目的项目经理为在本单位注册的</w:t>
            </w:r>
            <w:r>
              <w:rPr>
                <w:rFonts w:hint="eastAsia" w:ascii="宋体" w:hAnsi="宋体" w:eastAsia="宋体" w:cs="宋体"/>
                <w:color w:val="auto"/>
                <w:kern w:val="0"/>
                <w:sz w:val="24"/>
                <w:szCs w:val="24"/>
                <w:highlight w:val="none"/>
                <w:u w:val="single"/>
              </w:rPr>
              <w:t>水利水电工程</w:t>
            </w:r>
            <w:r>
              <w:rPr>
                <w:rFonts w:hint="eastAsia" w:ascii="宋体" w:hAnsi="宋体" w:eastAsia="宋体" w:cs="宋体"/>
                <w:color w:val="auto"/>
                <w:kern w:val="0"/>
                <w:sz w:val="24"/>
                <w:szCs w:val="24"/>
                <w:highlight w:val="none"/>
              </w:rPr>
              <w:t>专业一级或二级注册建造师，应持有住建部门印发的在使用有效期内的有效电子注册证书（根据广东省住房和城乡建设厅（粤建市函〔2023〕469号）文件精神，二级注册建造师可随注册企业在全国范围内执业），同时具备水利行政主管部门颁发的有效的安全生产考核合格证书（B证）。</w:t>
            </w:r>
            <w:r>
              <w:rPr>
                <w:rFonts w:hint="eastAsia" w:ascii="宋体" w:hAnsi="宋体" w:eastAsia="宋体" w:cs="宋体"/>
                <w:color w:val="auto"/>
                <w:sz w:val="24"/>
                <w:szCs w:val="24"/>
                <w:highlight w:val="none"/>
              </w:rPr>
              <w:t>且未担任其他在</w:t>
            </w:r>
            <w:r>
              <w:rPr>
                <w:rFonts w:hint="eastAsia" w:ascii="宋体" w:hAnsi="宋体" w:eastAsia="宋体" w:cs="宋体"/>
                <w:color w:val="auto"/>
                <w:sz w:val="24"/>
                <w:szCs w:val="24"/>
                <w:highlight w:val="none"/>
                <w:lang w:eastAsia="zh-CN"/>
              </w:rPr>
              <w:t>施（包括已中标未开工、已</w:t>
            </w:r>
            <w:r>
              <w:rPr>
                <w:rFonts w:hint="eastAsia" w:ascii="宋体" w:hAnsi="宋体" w:eastAsia="宋体" w:cs="宋体"/>
                <w:color w:val="auto"/>
                <w:sz w:val="24"/>
                <w:szCs w:val="24"/>
                <w:highlight w:val="none"/>
                <w:lang w:val="en-US" w:eastAsia="zh-CN"/>
              </w:rPr>
              <w:t>开工</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lang w:val="en-US" w:eastAsia="zh-CN"/>
              </w:rPr>
              <w:t>完工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建设工程项目的项目经理（须提供承诺书，格式自定）</w:t>
            </w:r>
            <w:r>
              <w:rPr>
                <w:rFonts w:hint="eastAsia" w:ascii="宋体" w:hAnsi="宋体" w:eastAsia="宋体" w:cs="宋体"/>
                <w:color w:val="auto"/>
                <w:kern w:val="0"/>
                <w:sz w:val="24"/>
                <w:szCs w:val="24"/>
                <w:highlight w:val="none"/>
                <w:lang w:eastAsia="zh-CN"/>
              </w:rPr>
              <w:t>。</w:t>
            </w:r>
          </w:p>
          <w:p w14:paraId="5DBE6DCE">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（4）拟委派担任本项目的技术负责人必须具备水利类中级以上（含中级）技术职称。</w:t>
            </w:r>
          </w:p>
          <w:p w14:paraId="04F63547">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（5）拟委派担任本项目的专职安全生产管理人员，须具备水利行政主管部门颁发的有效的安全生产考核合格证书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C证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且不少于1人。</w:t>
            </w:r>
          </w:p>
          <w:p w14:paraId="0CA0234B">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）以上拟投入本项目的各岗位人员不得为同一人；</w:t>
            </w:r>
          </w:p>
          <w:p w14:paraId="6C417293">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本次招标</w:t>
            </w:r>
            <w:r>
              <w:rPr>
                <w:rFonts w:hint="eastAsia" w:ascii="宋体" w:hAnsi="宋体" w:eastAsia="宋体" w:cs="宋体"/>
                <w:color w:val="auto"/>
                <w:kern w:val="0"/>
                <w:sz w:val="24"/>
                <w:szCs w:val="24"/>
                <w:highlight w:val="none"/>
                <w:lang w:eastAsia="zh-CN"/>
              </w:rPr>
              <w:t>不接受联合体</w:t>
            </w:r>
            <w:r>
              <w:rPr>
                <w:rFonts w:hint="eastAsia" w:ascii="宋体" w:hAnsi="宋体" w:eastAsia="宋体" w:cs="宋体"/>
                <w:color w:val="auto"/>
                <w:kern w:val="0"/>
                <w:sz w:val="24"/>
                <w:szCs w:val="24"/>
                <w:highlight w:val="none"/>
              </w:rPr>
              <w:t>投标。</w:t>
            </w:r>
          </w:p>
          <w:p w14:paraId="5B55E045">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本次招标实行资格后审，资格审查的具体要求见招标文件，资格后审不合格的投标人的投标文件将按废标处理。</w:t>
            </w:r>
          </w:p>
        </w:tc>
      </w:tr>
      <w:tr w14:paraId="6572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6C98FC1C">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1.4.2</w:t>
            </w:r>
          </w:p>
        </w:tc>
        <w:tc>
          <w:tcPr>
            <w:tcW w:w="1916" w:type="dxa"/>
            <w:noWrap w:val="0"/>
            <w:vAlign w:val="center"/>
          </w:tcPr>
          <w:p w14:paraId="5D3C1910">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是否</w:t>
            </w:r>
            <w:r>
              <w:rPr>
                <w:rFonts w:hint="eastAsia" w:ascii="宋体" w:hAnsi="宋体" w:eastAsia="宋体" w:cs="宋体"/>
                <w:color w:val="auto"/>
                <w:spacing w:val="2"/>
                <w:kern w:val="0"/>
                <w:sz w:val="24"/>
                <w:szCs w:val="24"/>
                <w:highlight w:val="none"/>
                <w:lang w:eastAsia="zh-CN"/>
              </w:rPr>
              <w:t>不接受联合体</w:t>
            </w:r>
            <w:r>
              <w:rPr>
                <w:rFonts w:hint="eastAsia" w:ascii="宋体" w:hAnsi="宋体" w:eastAsia="宋体" w:cs="宋体"/>
                <w:color w:val="auto"/>
                <w:spacing w:val="2"/>
                <w:kern w:val="0"/>
                <w:sz w:val="24"/>
                <w:szCs w:val="24"/>
                <w:highlight w:val="none"/>
              </w:rPr>
              <w:t>投标</w:t>
            </w:r>
          </w:p>
        </w:tc>
        <w:tc>
          <w:tcPr>
            <w:tcW w:w="6612" w:type="dxa"/>
            <w:noWrap w:val="0"/>
            <w:vAlign w:val="center"/>
          </w:tcPr>
          <w:p w14:paraId="35B57A17">
            <w:pPr>
              <w:pageBreakBefore w:val="0"/>
              <w:widowControl w:val="0"/>
              <w:kinsoku/>
              <w:wordWrap/>
              <w:overflowPunct/>
              <w:topLinePunct w:val="0"/>
              <w:bidi w:val="0"/>
              <w:spacing w:line="400" w:lineRule="exact"/>
              <w:ind w:firstLine="122" w:firstLineChars="50"/>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sym w:font="Wingdings" w:char="00FE"/>
            </w:r>
            <w:r>
              <w:rPr>
                <w:rFonts w:hint="eastAsia" w:ascii="宋体" w:hAnsi="宋体" w:eastAsia="宋体" w:cs="宋体"/>
                <w:color w:val="auto"/>
                <w:spacing w:val="2"/>
                <w:kern w:val="0"/>
                <w:sz w:val="24"/>
                <w:szCs w:val="24"/>
                <w:highlight w:val="none"/>
              </w:rPr>
              <w:t>不接受</w:t>
            </w:r>
          </w:p>
          <w:p w14:paraId="3CF0AE7A">
            <w:pPr>
              <w:pageBreakBefore w:val="0"/>
              <w:widowControl w:val="0"/>
              <w:kinsoku/>
              <w:wordWrap/>
              <w:overflowPunct/>
              <w:topLinePunct w:val="0"/>
              <w:bidi w:val="0"/>
              <w:spacing w:line="400" w:lineRule="exact"/>
              <w:ind w:firstLine="122"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sym w:font="Wingdings" w:char="00A8"/>
            </w:r>
            <w:r>
              <w:rPr>
                <w:rFonts w:hint="eastAsia" w:ascii="宋体" w:hAnsi="宋体" w:eastAsia="宋体" w:cs="宋体"/>
                <w:color w:val="auto"/>
                <w:spacing w:val="2"/>
                <w:kern w:val="0"/>
                <w:sz w:val="24"/>
                <w:szCs w:val="24"/>
                <w:highlight w:val="none"/>
              </w:rPr>
              <w:t>接受</w:t>
            </w:r>
          </w:p>
        </w:tc>
      </w:tr>
      <w:tr w14:paraId="1C1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7547CBA4">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1.9</w:t>
            </w:r>
          </w:p>
        </w:tc>
        <w:tc>
          <w:tcPr>
            <w:tcW w:w="1916" w:type="dxa"/>
            <w:noWrap w:val="0"/>
            <w:vAlign w:val="center"/>
          </w:tcPr>
          <w:p w14:paraId="145A32BC">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踏勘现场</w:t>
            </w:r>
          </w:p>
        </w:tc>
        <w:tc>
          <w:tcPr>
            <w:tcW w:w="6612" w:type="dxa"/>
            <w:noWrap w:val="0"/>
            <w:vAlign w:val="center"/>
          </w:tcPr>
          <w:p w14:paraId="1FB9C5C4">
            <w:pPr>
              <w:pageBreakBefore w:val="0"/>
              <w:widowControl w:val="0"/>
              <w:kinsoku/>
              <w:wordWrap/>
              <w:overflowPunct/>
              <w:topLinePunct w:val="0"/>
              <w:bidi w:val="0"/>
              <w:spacing w:line="400" w:lineRule="exact"/>
              <w:ind w:firstLine="122" w:firstLineChars="50"/>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口组织</w:t>
            </w:r>
          </w:p>
          <w:p w14:paraId="1CF67F3E">
            <w:pPr>
              <w:pageBreakBefore w:val="0"/>
              <w:widowControl w:val="0"/>
              <w:kinsoku/>
              <w:wordWrap/>
              <w:overflowPunct/>
              <w:topLinePunct w:val="0"/>
              <w:bidi w:val="0"/>
              <w:spacing w:line="400" w:lineRule="exact"/>
              <w:ind w:firstLine="122"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sym w:font="Wingdings" w:char="F0FE"/>
            </w:r>
            <w:r>
              <w:rPr>
                <w:rFonts w:hint="eastAsia" w:ascii="宋体" w:hAnsi="宋体" w:eastAsia="宋体" w:cs="宋体"/>
                <w:color w:val="auto"/>
                <w:spacing w:val="2"/>
                <w:kern w:val="0"/>
                <w:sz w:val="24"/>
                <w:szCs w:val="24"/>
                <w:highlight w:val="none"/>
              </w:rPr>
              <w:t>不组织</w:t>
            </w:r>
          </w:p>
        </w:tc>
      </w:tr>
      <w:tr w14:paraId="1BF3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65160F6F">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1.10</w:t>
            </w:r>
          </w:p>
        </w:tc>
        <w:tc>
          <w:tcPr>
            <w:tcW w:w="1916" w:type="dxa"/>
            <w:noWrap w:val="0"/>
            <w:vAlign w:val="center"/>
          </w:tcPr>
          <w:p w14:paraId="5402EAFB">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投标预备会</w:t>
            </w:r>
          </w:p>
        </w:tc>
        <w:tc>
          <w:tcPr>
            <w:tcW w:w="6612" w:type="dxa"/>
            <w:noWrap w:val="0"/>
            <w:vAlign w:val="center"/>
          </w:tcPr>
          <w:p w14:paraId="008A652F">
            <w:pPr>
              <w:pageBreakBefore w:val="0"/>
              <w:widowControl w:val="0"/>
              <w:kinsoku/>
              <w:wordWrap/>
              <w:overflowPunct/>
              <w:topLinePunct w:val="0"/>
              <w:bidi w:val="0"/>
              <w:spacing w:line="400" w:lineRule="exact"/>
              <w:ind w:firstLine="122" w:firstLineChars="50"/>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口召开</w:t>
            </w:r>
          </w:p>
          <w:p w14:paraId="658B6F0C">
            <w:pPr>
              <w:pageBreakBefore w:val="0"/>
              <w:widowControl w:val="0"/>
              <w:kinsoku/>
              <w:wordWrap/>
              <w:overflowPunct/>
              <w:topLinePunct w:val="0"/>
              <w:bidi w:val="0"/>
              <w:spacing w:line="400" w:lineRule="exact"/>
              <w:ind w:firstLine="122"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sym w:font="Wingdings" w:char="F0FE"/>
            </w:r>
            <w:r>
              <w:rPr>
                <w:rFonts w:hint="eastAsia" w:ascii="宋体" w:hAnsi="宋体" w:eastAsia="宋体" w:cs="宋体"/>
                <w:color w:val="auto"/>
                <w:spacing w:val="2"/>
                <w:kern w:val="0"/>
                <w:sz w:val="24"/>
                <w:szCs w:val="24"/>
                <w:highlight w:val="none"/>
              </w:rPr>
              <w:t>不召开</w:t>
            </w:r>
          </w:p>
        </w:tc>
      </w:tr>
      <w:tr w14:paraId="6085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tcBorders>
              <w:bottom w:val="single" w:color="auto" w:sz="4" w:space="0"/>
            </w:tcBorders>
            <w:noWrap w:val="0"/>
            <w:vAlign w:val="center"/>
          </w:tcPr>
          <w:p w14:paraId="3DE52C37">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1.11</w:t>
            </w:r>
          </w:p>
        </w:tc>
        <w:tc>
          <w:tcPr>
            <w:tcW w:w="1916" w:type="dxa"/>
            <w:tcBorders>
              <w:bottom w:val="single" w:color="auto" w:sz="4" w:space="0"/>
            </w:tcBorders>
            <w:noWrap w:val="0"/>
            <w:vAlign w:val="center"/>
          </w:tcPr>
          <w:p w14:paraId="5B616C30">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分包</w:t>
            </w:r>
          </w:p>
        </w:tc>
        <w:tc>
          <w:tcPr>
            <w:tcW w:w="6612" w:type="dxa"/>
            <w:tcBorders>
              <w:bottom w:val="single" w:color="auto" w:sz="4" w:space="0"/>
            </w:tcBorders>
            <w:noWrap w:val="0"/>
            <w:vAlign w:val="center"/>
          </w:tcPr>
          <w:p w14:paraId="5D102FC0">
            <w:pPr>
              <w:pageBreakBefore w:val="0"/>
              <w:widowControl w:val="0"/>
              <w:kinsoku/>
              <w:wordWrap/>
              <w:overflowPunct/>
              <w:topLinePunct w:val="0"/>
              <w:bidi w:val="0"/>
              <w:spacing w:line="400" w:lineRule="exact"/>
              <w:ind w:firstLine="122" w:firstLineChars="50"/>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rPr>
              <w:sym w:font="Wingdings" w:char="00A8"/>
            </w:r>
            <w:r>
              <w:rPr>
                <w:rFonts w:hint="eastAsia" w:ascii="宋体" w:hAnsi="宋体" w:eastAsia="宋体" w:cs="宋体"/>
                <w:color w:val="auto"/>
                <w:spacing w:val="2"/>
                <w:kern w:val="0"/>
                <w:sz w:val="24"/>
                <w:szCs w:val="24"/>
                <w:highlight w:val="none"/>
              </w:rPr>
              <w:t>允许，分包内容要求：</w:t>
            </w:r>
          </w:p>
          <w:p w14:paraId="1CAD87CB">
            <w:pPr>
              <w:pageBreakBefore w:val="0"/>
              <w:widowControl w:val="0"/>
              <w:kinsoku/>
              <w:wordWrap/>
              <w:overflowPunct/>
              <w:topLinePunct w:val="0"/>
              <w:bidi w:val="0"/>
              <w:spacing w:line="400" w:lineRule="exact"/>
              <w:ind w:firstLine="1098" w:firstLineChars="450"/>
              <w:textAlignment w:val="auto"/>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rPr>
              <w:t>分包金额要求：</w:t>
            </w:r>
          </w:p>
          <w:p w14:paraId="39C3A112">
            <w:pPr>
              <w:pageBreakBefore w:val="0"/>
              <w:widowControl w:val="0"/>
              <w:kinsoku/>
              <w:wordWrap/>
              <w:overflowPunct/>
              <w:topLinePunct w:val="0"/>
              <w:bidi w:val="0"/>
              <w:spacing w:line="400" w:lineRule="exact"/>
              <w:ind w:firstLine="1098" w:firstLineChars="450"/>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接受分包的第三人资质要求：</w:t>
            </w:r>
          </w:p>
          <w:p w14:paraId="4FB72542">
            <w:pPr>
              <w:pageBreakBefore w:val="0"/>
              <w:widowControl w:val="0"/>
              <w:kinsoku/>
              <w:wordWrap/>
              <w:overflowPunct/>
              <w:topLinePunct w:val="0"/>
              <w:bidi w:val="0"/>
              <w:spacing w:line="400" w:lineRule="exact"/>
              <w:ind w:firstLine="122"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sym w:font="Wingdings" w:char="00FE"/>
            </w:r>
            <w:r>
              <w:rPr>
                <w:rFonts w:hint="eastAsia" w:ascii="宋体" w:hAnsi="宋体" w:eastAsia="宋体" w:cs="宋体"/>
                <w:color w:val="auto"/>
                <w:spacing w:val="2"/>
                <w:kern w:val="0"/>
                <w:sz w:val="24"/>
                <w:szCs w:val="24"/>
                <w:highlight w:val="none"/>
              </w:rPr>
              <w:t>不允许</w:t>
            </w:r>
          </w:p>
        </w:tc>
      </w:tr>
      <w:tr w14:paraId="43A0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tcBorders>
              <w:bottom w:val="single" w:color="auto" w:sz="4" w:space="0"/>
            </w:tcBorders>
            <w:noWrap w:val="0"/>
            <w:vAlign w:val="center"/>
          </w:tcPr>
          <w:p w14:paraId="48EC56B2">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1.12</w:t>
            </w:r>
          </w:p>
        </w:tc>
        <w:tc>
          <w:tcPr>
            <w:tcW w:w="1916" w:type="dxa"/>
            <w:tcBorders>
              <w:bottom w:val="single" w:color="auto" w:sz="4" w:space="0"/>
            </w:tcBorders>
            <w:noWrap w:val="0"/>
            <w:vAlign w:val="center"/>
          </w:tcPr>
          <w:p w14:paraId="3D266913">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偏离</w:t>
            </w:r>
          </w:p>
        </w:tc>
        <w:tc>
          <w:tcPr>
            <w:tcW w:w="6612" w:type="dxa"/>
            <w:tcBorders>
              <w:bottom w:val="single" w:color="auto" w:sz="4" w:space="0"/>
            </w:tcBorders>
            <w:noWrap w:val="0"/>
            <w:vAlign w:val="center"/>
          </w:tcPr>
          <w:p w14:paraId="310E6ABD">
            <w:pPr>
              <w:pageBreakBefore w:val="0"/>
              <w:widowControl w:val="0"/>
              <w:kinsoku/>
              <w:wordWrap/>
              <w:overflowPunct/>
              <w:topLinePunct w:val="0"/>
              <w:bidi w:val="0"/>
              <w:spacing w:line="400" w:lineRule="exact"/>
              <w:ind w:firstLine="244"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偏离允许幅度及其处理方法：对招标文件实质性要求不允许偏离，对非实质性要求的偏离应该在投标文件中附上偏离表。</w:t>
            </w:r>
          </w:p>
        </w:tc>
      </w:tr>
      <w:tr w14:paraId="5C59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2" w:type="dxa"/>
            <w:noWrap w:val="0"/>
            <w:vAlign w:val="center"/>
          </w:tcPr>
          <w:p w14:paraId="19A66CDF">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3.2.1</w:t>
            </w:r>
          </w:p>
        </w:tc>
        <w:tc>
          <w:tcPr>
            <w:tcW w:w="1916" w:type="dxa"/>
            <w:noWrap w:val="0"/>
            <w:vAlign w:val="center"/>
          </w:tcPr>
          <w:p w14:paraId="048D8F3E">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投标报价</w:t>
            </w:r>
          </w:p>
        </w:tc>
        <w:tc>
          <w:tcPr>
            <w:tcW w:w="6612" w:type="dxa"/>
            <w:noWrap w:val="0"/>
            <w:vAlign w:val="center"/>
          </w:tcPr>
          <w:p w14:paraId="4FBCE33E">
            <w:pPr>
              <w:pageBreakBefore w:val="0"/>
              <w:widowControl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投标人仅需填报投标报价下浮率（有效投标报价下浮率为≥0.000%，保留至小数点后三位），不在此范围内的投标报价均为无效投标报价。</w:t>
            </w:r>
          </w:p>
          <w:p w14:paraId="11E206AE">
            <w:pPr>
              <w:pageBreakBefore w:val="0"/>
              <w:widowControl w:val="0"/>
              <w:kinsoku/>
              <w:wordWrap/>
              <w:overflowPunct/>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本项目主体工程采用综合单价承包（综合单价为财政审核控制单价×（1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中标下浮率）为中标的综合单价，合同总价为</w:t>
            </w:r>
            <w:r>
              <w:rPr>
                <w:rFonts w:hint="eastAsia" w:ascii="宋体" w:hAnsi="宋体" w:eastAsia="宋体" w:cs="宋体"/>
                <w:color w:val="auto"/>
                <w:sz w:val="24"/>
                <w:szCs w:val="24"/>
                <w:highlight w:val="none"/>
                <w:lang w:eastAsia="zh-CN"/>
              </w:rPr>
              <w:t>（最高投标限价-安全生产措施费、其他临时工程费）</w:t>
            </w:r>
            <w:r>
              <w:rPr>
                <w:rFonts w:hint="eastAsia" w:ascii="宋体" w:hAnsi="宋体" w:eastAsia="宋体" w:cs="宋体"/>
                <w:color w:val="auto"/>
                <w:sz w:val="24"/>
                <w:szCs w:val="24"/>
                <w:highlight w:val="none"/>
              </w:rPr>
              <w:t>×（1-中标下浮率）+</w:t>
            </w:r>
            <w:r>
              <w:rPr>
                <w:rFonts w:hint="eastAsia" w:ascii="宋体" w:hAnsi="宋体" w:eastAsia="宋体" w:cs="宋体"/>
                <w:color w:val="auto"/>
                <w:sz w:val="24"/>
                <w:szCs w:val="24"/>
                <w:highlight w:val="none"/>
                <w:lang w:eastAsia="zh-CN"/>
              </w:rPr>
              <w:t>安全生产措施费</w:t>
            </w:r>
            <w:r>
              <w:rPr>
                <w:rFonts w:hint="eastAsia" w:ascii="宋体" w:hAnsi="宋体" w:eastAsia="宋体" w:cs="宋体"/>
                <w:color w:val="auto"/>
                <w:sz w:val="24"/>
                <w:szCs w:val="24"/>
                <w:highlight w:val="none"/>
              </w:rPr>
              <w:t>、其他临时工程费</w:t>
            </w:r>
            <w:r>
              <w:rPr>
                <w:rFonts w:hint="eastAsia" w:ascii="宋体" w:hAnsi="宋体" w:eastAsia="宋体" w:cs="宋体"/>
                <w:color w:val="auto"/>
                <w:sz w:val="24"/>
                <w:szCs w:val="24"/>
                <w:highlight w:val="none"/>
                <w:lang w:eastAsia="zh-CN"/>
              </w:rPr>
              <w:t>（安全生产措施费、其他临时工程费控制价不下浮）。</w:t>
            </w:r>
          </w:p>
          <w:p w14:paraId="7CC05DE8">
            <w:pPr>
              <w:pStyle w:val="5"/>
              <w:pageBreakBefore w:val="0"/>
              <w:widowControl w:val="0"/>
              <w:kinsoku/>
              <w:wordWrap/>
              <w:overflowPunct/>
              <w:topLinePunct w:val="0"/>
              <w:bidi w:val="0"/>
              <w:spacing w:line="400" w:lineRule="exact"/>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投标人的投标有效投标报价不得高于</w:t>
            </w:r>
            <w:r>
              <w:rPr>
                <w:rFonts w:hint="eastAsia" w:ascii="宋体" w:hAnsi="宋体" w:eastAsia="宋体" w:cs="宋体"/>
                <w:b w:val="0"/>
                <w:bCs w:val="0"/>
                <w:color w:val="auto"/>
                <w:sz w:val="24"/>
                <w:szCs w:val="24"/>
                <w:highlight w:val="none"/>
                <w:lang w:eastAsia="zh-CN"/>
              </w:rPr>
              <w:t>最高投标限价</w:t>
            </w:r>
            <w:r>
              <w:rPr>
                <w:rFonts w:hint="eastAsia" w:ascii="宋体" w:hAnsi="宋体" w:eastAsia="宋体" w:cs="宋体"/>
                <w:b w:val="0"/>
                <w:bCs w:val="0"/>
                <w:color w:val="auto"/>
                <w:sz w:val="24"/>
                <w:szCs w:val="24"/>
                <w:highlight w:val="none"/>
              </w:rPr>
              <w:t>，也不得低于工程成本。如果投标人的投标报价下浮率高于15%时，投标人必须在投标文件中专项作出详细合理的书面说明并提供以往类似工程详细成本分析报告供评标委员会审查。</w:t>
            </w:r>
          </w:p>
        </w:tc>
      </w:tr>
      <w:tr w14:paraId="5CAE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1E44511A">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p>
        </w:tc>
        <w:tc>
          <w:tcPr>
            <w:tcW w:w="1916" w:type="dxa"/>
            <w:noWrap w:val="0"/>
            <w:vAlign w:val="center"/>
          </w:tcPr>
          <w:p w14:paraId="7FFA050B">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z w:val="24"/>
                <w:szCs w:val="24"/>
                <w:highlight w:val="none"/>
                <w:lang w:eastAsia="zh-CN"/>
              </w:rPr>
              <w:t>最高投标限价</w:t>
            </w:r>
          </w:p>
        </w:tc>
        <w:tc>
          <w:tcPr>
            <w:tcW w:w="6612" w:type="dxa"/>
            <w:noWrap w:val="0"/>
            <w:vAlign w:val="center"/>
          </w:tcPr>
          <w:p w14:paraId="415DE6EC">
            <w:pPr>
              <w:pStyle w:val="136"/>
              <w:spacing w:line="360" w:lineRule="auto"/>
              <w:ind w:firstLine="480" w:firstLineChars="200"/>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本招标项目最高投标限价、工程量清单、施工图最终以补充公告形式在开标前15天另行发布于相关网站，各投标人可在全国公共资源交易平台（广东省·韶关市）自行下载。</w:t>
            </w:r>
          </w:p>
          <w:p w14:paraId="66A4DDB6">
            <w:pPr>
              <w:pageBreakBefore w:val="0"/>
              <w:widowControl w:val="0"/>
              <w:kinsoku/>
              <w:wordWrap/>
              <w:overflowPunct/>
              <w:topLinePunct w:val="0"/>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（https://ygp.gdzwfw.gov..cn/ggzy-portal/#/440200/index）、广东省招标投标监管网（https://www.gdzwfw.gov.cn/ztbjg-portal/#/index）网站。</w:t>
            </w:r>
          </w:p>
        </w:tc>
      </w:tr>
      <w:tr w14:paraId="6385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2B9ABE84">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3.3.1</w:t>
            </w:r>
          </w:p>
        </w:tc>
        <w:tc>
          <w:tcPr>
            <w:tcW w:w="1916" w:type="dxa"/>
            <w:noWrap w:val="0"/>
            <w:vAlign w:val="center"/>
          </w:tcPr>
          <w:p w14:paraId="21B02917">
            <w:pPr>
              <w:pageBreakBefore w:val="0"/>
              <w:widowControl w:val="0"/>
              <w:kinsoku/>
              <w:wordWrap/>
              <w:overflowPunct/>
              <w:topLinePunct w:val="0"/>
              <w:bidi w:val="0"/>
              <w:spacing w:line="240" w:lineRule="auto"/>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投标有效期</w:t>
            </w:r>
          </w:p>
        </w:tc>
        <w:tc>
          <w:tcPr>
            <w:tcW w:w="6612" w:type="dxa"/>
            <w:noWrap w:val="0"/>
            <w:vAlign w:val="center"/>
          </w:tcPr>
          <w:p w14:paraId="16D355FB">
            <w:pPr>
              <w:pageBreakBefore w:val="0"/>
              <w:widowControl w:val="0"/>
              <w:kinsoku/>
              <w:wordWrap/>
              <w:overflowPunct/>
              <w:topLinePunct w:val="0"/>
              <w:bidi w:val="0"/>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自投标截止时间算起的</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u w:val="single"/>
                <w:lang w:val="zh-CN"/>
              </w:rPr>
              <w:t>天</w:t>
            </w:r>
            <w:r>
              <w:rPr>
                <w:rFonts w:hint="eastAsia" w:ascii="宋体" w:hAnsi="宋体" w:eastAsia="宋体" w:cs="宋体"/>
                <w:color w:val="auto"/>
                <w:sz w:val="24"/>
                <w:szCs w:val="24"/>
                <w:highlight w:val="none"/>
                <w:lang w:val="zh-CN"/>
              </w:rPr>
              <w:t>内。</w:t>
            </w:r>
          </w:p>
        </w:tc>
      </w:tr>
      <w:tr w14:paraId="62A4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06D4188E">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3.4.1</w:t>
            </w:r>
          </w:p>
        </w:tc>
        <w:tc>
          <w:tcPr>
            <w:tcW w:w="1916" w:type="dxa"/>
            <w:noWrap w:val="0"/>
            <w:vAlign w:val="center"/>
          </w:tcPr>
          <w:p w14:paraId="53276B1E">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投标保证</w:t>
            </w:r>
          </w:p>
        </w:tc>
        <w:tc>
          <w:tcPr>
            <w:tcW w:w="6612" w:type="dxa"/>
            <w:noWrap w:val="0"/>
            <w:vAlign w:val="center"/>
          </w:tcPr>
          <w:p w14:paraId="63F7BD1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投标保证金额为人民币：</w:t>
            </w:r>
            <w:r>
              <w:rPr>
                <w:rFonts w:hint="eastAsia" w:ascii="宋体" w:hAnsi="宋体" w:eastAsia="宋体" w:cs="宋体"/>
                <w:color w:val="auto"/>
                <w:kern w:val="0"/>
                <w:sz w:val="24"/>
                <w:szCs w:val="24"/>
                <w:highlight w:val="none"/>
                <w:u w:val="single"/>
                <w:lang w:val="en-US" w:eastAsia="zh-CN"/>
              </w:rPr>
              <w:t>叁万元整（小写：¥30000元）</w:t>
            </w:r>
            <w:r>
              <w:rPr>
                <w:rFonts w:hint="eastAsia" w:ascii="宋体" w:hAnsi="宋体" w:eastAsia="宋体" w:cs="宋体"/>
                <w:color w:val="auto"/>
                <w:sz w:val="24"/>
                <w:szCs w:val="24"/>
                <w:highlight w:val="none"/>
              </w:rPr>
              <w:t>。</w:t>
            </w:r>
          </w:p>
          <w:p w14:paraId="6526C23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投标保证的形式包括投标保证金、投标保证担保、投标保证保险三种，由投标人自主选择。</w:t>
            </w:r>
          </w:p>
          <w:p w14:paraId="6F0ED487">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重要事项时间地点一览表”）前，从其基本账户将投标保证金转账到指定的缴纳账号。逾期到账的，其投标无效。</w:t>
            </w:r>
          </w:p>
          <w:p w14:paraId="7F9EFE8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电子保函的有效期不得短于投标有效期。投标人必须在投标保证担保截止时间（见“重要事项时间地点一览表”）前，使用工程建设交易系统完成网上办理电子保函。</w:t>
            </w:r>
          </w:p>
          <w:p w14:paraId="393B7BDF">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61376A04">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7AE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72" w:type="dxa"/>
            <w:noWrap w:val="0"/>
            <w:vAlign w:val="center"/>
          </w:tcPr>
          <w:p w14:paraId="40F88434">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w:t>
            </w:r>
          </w:p>
        </w:tc>
        <w:tc>
          <w:tcPr>
            <w:tcW w:w="1916" w:type="dxa"/>
            <w:noWrap w:val="0"/>
            <w:tcMar>
              <w:top w:w="0" w:type="dxa"/>
            </w:tcMar>
            <w:vAlign w:val="center"/>
          </w:tcPr>
          <w:p w14:paraId="4DCBF828">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盖章或签字要求</w:t>
            </w:r>
          </w:p>
        </w:tc>
        <w:tc>
          <w:tcPr>
            <w:tcW w:w="6612" w:type="dxa"/>
            <w:noWrap w:val="0"/>
            <w:tcMar>
              <w:top w:w="0" w:type="dxa"/>
              <w:left w:w="108" w:type="dxa"/>
              <w:bottom w:w="0" w:type="dxa"/>
              <w:right w:w="108" w:type="dxa"/>
            </w:tcMar>
            <w:vAlign w:val="center"/>
          </w:tcPr>
          <w:p w14:paraId="53817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电子投标文件：仅需在投标文件封面和有格式要求签字盖章的地方由投标人的法定代表人或其授权委托人签字（电子印章）和加盖投标人公章（电子印章），无需每页签字盖章。</w:t>
            </w:r>
          </w:p>
        </w:tc>
      </w:tr>
      <w:tr w14:paraId="301D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72" w:type="dxa"/>
            <w:noWrap w:val="0"/>
            <w:vAlign w:val="center"/>
          </w:tcPr>
          <w:p w14:paraId="03D5A976">
            <w:pPr>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5.1</w:t>
            </w:r>
          </w:p>
        </w:tc>
        <w:tc>
          <w:tcPr>
            <w:tcW w:w="1916" w:type="dxa"/>
            <w:noWrap w:val="0"/>
            <w:vAlign w:val="center"/>
          </w:tcPr>
          <w:p w14:paraId="4FA52841">
            <w:pPr>
              <w:pageBreakBefore w:val="0"/>
              <w:widowControl w:val="0"/>
              <w:kinsoku/>
              <w:wordWrap/>
              <w:overflowPunct/>
              <w:topLinePunct w:val="0"/>
              <w:bidi w:val="0"/>
              <w:spacing w:line="240" w:lineRule="auto"/>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开标时间和地点</w:t>
            </w:r>
          </w:p>
        </w:tc>
        <w:tc>
          <w:tcPr>
            <w:tcW w:w="6612" w:type="dxa"/>
            <w:noWrap w:val="0"/>
            <w:tcMar>
              <w:top w:w="113" w:type="dxa"/>
              <w:left w:w="108" w:type="dxa"/>
              <w:bottom w:w="0" w:type="dxa"/>
              <w:right w:w="108" w:type="dxa"/>
            </w:tcMar>
            <w:vAlign w:val="center"/>
          </w:tcPr>
          <w:p w14:paraId="168B8C88">
            <w:pPr>
              <w:pageBreakBefore w:val="0"/>
              <w:widowControl w:val="0"/>
              <w:kinsoku/>
              <w:wordWrap/>
              <w:overflowPunct/>
              <w:topLinePunct w:val="0"/>
              <w:bidi w:val="0"/>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详见“重要事项时间地点一览表”</w:t>
            </w:r>
          </w:p>
        </w:tc>
      </w:tr>
      <w:tr w14:paraId="6719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59955FB7">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6.1.1</w:t>
            </w:r>
          </w:p>
        </w:tc>
        <w:tc>
          <w:tcPr>
            <w:tcW w:w="1916" w:type="dxa"/>
            <w:noWrap w:val="0"/>
            <w:vAlign w:val="center"/>
          </w:tcPr>
          <w:p w14:paraId="49E99F50">
            <w:pPr>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612" w:type="dxa"/>
            <w:noWrap w:val="0"/>
            <w:tcMar>
              <w:top w:w="113" w:type="dxa"/>
              <w:left w:w="108" w:type="dxa"/>
              <w:bottom w:w="0" w:type="dxa"/>
              <w:right w:w="108" w:type="dxa"/>
            </w:tcMar>
            <w:vAlign w:val="center"/>
          </w:tcPr>
          <w:p w14:paraId="2D1D745A">
            <w:pPr>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4"/>
                <w:szCs w:val="24"/>
                <w:highlight w:val="none"/>
              </w:rPr>
            </w:pPr>
            <w:bookmarkStart w:id="28" w:name="_Toc48665795"/>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人，其中经济类专家2人，招标人代表0人，技术类专家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bookmarkEnd w:id="28"/>
            <w:bookmarkStart w:id="29" w:name="_Toc48665796"/>
            <w:r>
              <w:rPr>
                <w:rFonts w:hint="eastAsia" w:ascii="宋体" w:hAnsi="宋体" w:eastAsia="宋体" w:cs="宋体"/>
                <w:color w:val="auto"/>
                <w:sz w:val="24"/>
                <w:szCs w:val="24"/>
                <w:highlight w:val="none"/>
              </w:rPr>
              <w:t>评标专家确定方式：从广东省综合评标评审专家库-韶关区域</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随机抽取产生。</w:t>
            </w:r>
            <w:bookmarkEnd w:id="29"/>
          </w:p>
        </w:tc>
      </w:tr>
      <w:tr w14:paraId="507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2" w:type="dxa"/>
            <w:noWrap w:val="0"/>
            <w:vAlign w:val="center"/>
          </w:tcPr>
          <w:p w14:paraId="5B257238">
            <w:pPr>
              <w:pageBreakBefore w:val="0"/>
              <w:widowControl w:val="0"/>
              <w:kinsoku/>
              <w:wordWrap/>
              <w:overflowPunct/>
              <w:topLinePunct w:val="0"/>
              <w:bidi w:val="0"/>
              <w:spacing w:line="240" w:lineRule="auto"/>
              <w:jc w:val="center"/>
              <w:textAlignment w:val="auto"/>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6.3</w:t>
            </w:r>
          </w:p>
        </w:tc>
        <w:tc>
          <w:tcPr>
            <w:tcW w:w="1916" w:type="dxa"/>
            <w:noWrap w:val="0"/>
            <w:vAlign w:val="center"/>
          </w:tcPr>
          <w:p w14:paraId="03458845">
            <w:pPr>
              <w:pageBreakBefore w:val="0"/>
              <w:widowControl w:val="0"/>
              <w:kinsoku/>
              <w:wordWrap/>
              <w:overflowPunct/>
              <w:topLinePunct w:val="0"/>
              <w:bidi w:val="0"/>
              <w:spacing w:line="240" w:lineRule="auto"/>
              <w:jc w:val="center"/>
              <w:textAlignment w:val="auto"/>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评标办法</w:t>
            </w:r>
          </w:p>
        </w:tc>
        <w:tc>
          <w:tcPr>
            <w:tcW w:w="6612" w:type="dxa"/>
            <w:noWrap w:val="0"/>
            <w:tcMar>
              <w:top w:w="113" w:type="dxa"/>
              <w:left w:w="108" w:type="dxa"/>
              <w:bottom w:w="0" w:type="dxa"/>
              <w:right w:w="108" w:type="dxa"/>
            </w:tcMar>
            <w:vAlign w:val="center"/>
          </w:tcPr>
          <w:p w14:paraId="62689D0D">
            <w:pPr>
              <w:pageBreakBefore w:val="0"/>
              <w:widowControl w:val="0"/>
              <w:kinsoku/>
              <w:wordWrap/>
              <w:overflowPunct/>
              <w:topLinePunct w:val="0"/>
              <w:bidi w:val="0"/>
              <w:spacing w:line="240" w:lineRule="auto"/>
              <w:jc w:val="lef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pacing w:val="2"/>
                <w:kern w:val="0"/>
                <w:sz w:val="24"/>
                <w:szCs w:val="24"/>
                <w:highlight w:val="none"/>
              </w:rPr>
              <w:t>评标采用综合评估法。</w:t>
            </w:r>
          </w:p>
        </w:tc>
      </w:tr>
      <w:tr w14:paraId="27D5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2D6DD2CD">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7.2.1</w:t>
            </w:r>
          </w:p>
        </w:tc>
        <w:tc>
          <w:tcPr>
            <w:tcW w:w="1916" w:type="dxa"/>
            <w:noWrap w:val="0"/>
            <w:vAlign w:val="center"/>
          </w:tcPr>
          <w:p w14:paraId="3A741338">
            <w:pPr>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定标委员会的组建</w:t>
            </w:r>
          </w:p>
        </w:tc>
        <w:tc>
          <w:tcPr>
            <w:tcW w:w="6612" w:type="dxa"/>
            <w:noWrap w:val="0"/>
            <w:tcMar>
              <w:top w:w="113" w:type="dxa"/>
              <w:left w:w="108" w:type="dxa"/>
              <w:bottom w:w="0" w:type="dxa"/>
              <w:right w:w="108" w:type="dxa"/>
            </w:tcMar>
            <w:vAlign w:val="center"/>
          </w:tcPr>
          <w:p w14:paraId="3D68B2AD">
            <w:pPr>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本项目定标委员会组成人员为7人。</w:t>
            </w:r>
          </w:p>
        </w:tc>
      </w:tr>
      <w:tr w14:paraId="52DB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00D23A09">
            <w:pPr>
              <w:pageBreakBefore w:val="0"/>
              <w:widowControl w:val="0"/>
              <w:kinsoku/>
              <w:wordWrap/>
              <w:overflowPunct/>
              <w:topLinePunct w:val="0"/>
              <w:bidi w:val="0"/>
              <w:spacing w:line="240" w:lineRule="auto"/>
              <w:jc w:val="center"/>
              <w:textAlignment w:val="auto"/>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7.5</w:t>
            </w:r>
          </w:p>
        </w:tc>
        <w:tc>
          <w:tcPr>
            <w:tcW w:w="1916" w:type="dxa"/>
            <w:noWrap w:val="0"/>
            <w:vAlign w:val="center"/>
          </w:tcPr>
          <w:p w14:paraId="4B71D2D8">
            <w:pPr>
              <w:pageBreakBefore w:val="0"/>
              <w:widowControl w:val="0"/>
              <w:kinsoku/>
              <w:wordWrap/>
              <w:overflowPunct/>
              <w:topLinePunct w:val="0"/>
              <w:bidi w:val="0"/>
              <w:spacing w:line="240" w:lineRule="auto"/>
              <w:jc w:val="center"/>
              <w:textAlignment w:val="auto"/>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定标办法</w:t>
            </w:r>
          </w:p>
        </w:tc>
        <w:tc>
          <w:tcPr>
            <w:tcW w:w="6612" w:type="dxa"/>
            <w:noWrap w:val="0"/>
            <w:tcMar>
              <w:top w:w="113" w:type="dxa"/>
              <w:left w:w="108" w:type="dxa"/>
              <w:bottom w:w="0" w:type="dxa"/>
              <w:right w:w="108" w:type="dxa"/>
            </w:tcMar>
            <w:vAlign w:val="center"/>
          </w:tcPr>
          <w:p w14:paraId="6CF36A46">
            <w:pPr>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采用评定分离的项目，应选定下列定标办法：</w:t>
            </w:r>
          </w:p>
          <w:p w14:paraId="620F6335">
            <w:pPr>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☑票决数量法</w:t>
            </w:r>
          </w:p>
          <w:p w14:paraId="0167C154">
            <w:pPr>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□票决计分法</w:t>
            </w:r>
          </w:p>
          <w:p w14:paraId="5DE1BD29">
            <w:pPr>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□集体议事法</w:t>
            </w:r>
          </w:p>
          <w:p w14:paraId="15CF57E3">
            <w:pPr>
              <w:pageBreakBefore w:val="0"/>
              <w:widowControl w:val="0"/>
              <w:kinsoku/>
              <w:wordWrap/>
              <w:overflowPunct/>
              <w:topLinePunct w:val="0"/>
              <w:bidi w:val="0"/>
              <w:spacing w:line="240" w:lineRule="auto"/>
              <w:ind w:firstLine="240" w:firstLineChars="100"/>
              <w:jc w:val="left"/>
              <w:textAlignment w:val="auto"/>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其他方法：/</w:t>
            </w:r>
          </w:p>
        </w:tc>
      </w:tr>
      <w:tr w14:paraId="067A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5EE6219F">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.3.1</w:t>
            </w:r>
          </w:p>
        </w:tc>
        <w:tc>
          <w:tcPr>
            <w:tcW w:w="1916" w:type="dxa"/>
            <w:noWrap w:val="0"/>
            <w:vAlign w:val="center"/>
          </w:tcPr>
          <w:p w14:paraId="7D2B7444">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6612" w:type="dxa"/>
            <w:noWrap w:val="0"/>
            <w:vAlign w:val="center"/>
          </w:tcPr>
          <w:p w14:paraId="72EB1D12">
            <w:pPr>
              <w:pStyle w:val="5"/>
              <w:pageBreakBefore w:val="0"/>
              <w:widowControl w:val="0"/>
              <w:kinsoku/>
              <w:wordWrap/>
              <w:overflowPunct/>
              <w:topLinePunct w:val="0"/>
              <w:bidi w:val="0"/>
              <w:spacing w:line="400" w:lineRule="exact"/>
              <w:textAlignment w:val="auto"/>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担保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4FFD3E99">
            <w:pPr>
              <w:pStyle w:val="5"/>
              <w:pageBreakBefore w:val="0"/>
              <w:widowControl w:val="0"/>
              <w:kinsoku/>
              <w:wordWrap/>
              <w:overflowPunct/>
              <w:topLinePunct w:val="0"/>
              <w:bidi w:val="0"/>
              <w:spacing w:line="400" w:lineRule="exact"/>
              <w:textAlignment w:val="auto"/>
              <w:outlineLvl w:val="3"/>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履约担保的金额：合同价格的</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（在</w:t>
            </w:r>
            <w:r>
              <w:rPr>
                <w:rFonts w:hint="eastAsia" w:ascii="宋体" w:hAnsi="宋体" w:eastAsia="宋体" w:cs="宋体"/>
                <w:b w:val="0"/>
                <w:bCs w:val="0"/>
                <w:color w:val="auto"/>
                <w:sz w:val="24"/>
                <w:szCs w:val="24"/>
                <w:highlight w:val="none"/>
              </w:rPr>
              <w:t>收到中标通知书后10个工作日内缴纳，履约担保有效期不得少于本工程总工期）</w:t>
            </w:r>
            <w:r>
              <w:rPr>
                <w:rFonts w:hint="eastAsia" w:ascii="宋体" w:hAnsi="宋体" w:eastAsia="宋体" w:cs="宋体"/>
                <w:b w:val="0"/>
                <w:bCs w:val="0"/>
                <w:color w:val="auto"/>
                <w:sz w:val="24"/>
                <w:szCs w:val="24"/>
                <w:highlight w:val="none"/>
                <w:lang w:eastAsia="zh-CN"/>
              </w:rPr>
              <w:t>。</w:t>
            </w:r>
          </w:p>
        </w:tc>
      </w:tr>
      <w:tr w14:paraId="2823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3541A458">
            <w:pPr>
              <w:pageBreakBefore w:val="0"/>
              <w:widowControl w:val="0"/>
              <w:kinsoku/>
              <w:wordWrap/>
              <w:overflowPunct/>
              <w:topLinePunct w:val="0"/>
              <w:bidi w:val="0"/>
              <w:spacing w:line="240" w:lineRule="auto"/>
              <w:ind w:left="-9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8528" w:type="dxa"/>
            <w:gridSpan w:val="2"/>
            <w:noWrap w:val="0"/>
            <w:vAlign w:val="center"/>
          </w:tcPr>
          <w:p w14:paraId="64D2557E">
            <w:pPr>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需要补充的其他内容</w:t>
            </w:r>
          </w:p>
        </w:tc>
      </w:tr>
      <w:tr w14:paraId="03EB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21D8B1AA">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1</w:t>
            </w:r>
            <w:r>
              <w:rPr>
                <w:rFonts w:hint="eastAsia" w:ascii="宋体" w:hAnsi="宋体" w:eastAsia="宋体" w:cs="宋体"/>
                <w:color w:val="auto"/>
                <w:spacing w:val="2"/>
                <w:kern w:val="0"/>
                <w:sz w:val="24"/>
                <w:szCs w:val="24"/>
                <w:highlight w:val="none"/>
                <w:lang w:val="en-US" w:eastAsia="zh-CN"/>
              </w:rPr>
              <w:t>1</w:t>
            </w:r>
            <w:r>
              <w:rPr>
                <w:rFonts w:hint="eastAsia" w:ascii="宋体" w:hAnsi="宋体" w:eastAsia="宋体" w:cs="宋体"/>
                <w:color w:val="auto"/>
                <w:spacing w:val="2"/>
                <w:kern w:val="0"/>
                <w:sz w:val="24"/>
                <w:szCs w:val="24"/>
                <w:highlight w:val="none"/>
              </w:rPr>
              <w:t>.1</w:t>
            </w:r>
          </w:p>
        </w:tc>
        <w:tc>
          <w:tcPr>
            <w:tcW w:w="1916" w:type="dxa"/>
            <w:noWrap w:val="0"/>
            <w:vAlign w:val="center"/>
          </w:tcPr>
          <w:p w14:paraId="44F0FB45">
            <w:pPr>
              <w:pageBreakBefore w:val="0"/>
              <w:widowControl w:val="0"/>
              <w:kinsoku/>
              <w:wordWrap/>
              <w:overflowPunct/>
              <w:topLinePunct w:val="0"/>
              <w:bidi w:val="0"/>
              <w:adjustRightInd w:val="0"/>
              <w:snapToGrid w:val="0"/>
              <w:spacing w:line="400" w:lineRule="exact"/>
              <w:jc w:val="center"/>
              <w:textAlignment w:val="auto"/>
              <w:outlineLvl w:val="1"/>
              <w:rPr>
                <w:rFonts w:hint="eastAsia" w:ascii="宋体" w:hAnsi="宋体" w:eastAsia="宋体" w:cs="宋体"/>
                <w:color w:val="auto"/>
                <w:sz w:val="24"/>
                <w:szCs w:val="24"/>
                <w:highlight w:val="none"/>
              </w:rPr>
            </w:pPr>
            <w:bookmarkStart w:id="30" w:name="_Toc17567"/>
            <w:bookmarkStart w:id="31" w:name="_Toc21236"/>
            <w:bookmarkStart w:id="32" w:name="_Toc6972"/>
            <w:r>
              <w:rPr>
                <w:rFonts w:hint="eastAsia" w:ascii="宋体" w:hAnsi="宋体" w:eastAsia="宋体" w:cs="宋体"/>
                <w:color w:val="auto"/>
                <w:sz w:val="24"/>
                <w:szCs w:val="24"/>
                <w:highlight w:val="none"/>
              </w:rPr>
              <w:t>工程保险</w:t>
            </w:r>
            <w:bookmarkEnd w:id="30"/>
            <w:bookmarkEnd w:id="31"/>
            <w:bookmarkEnd w:id="32"/>
          </w:p>
        </w:tc>
        <w:tc>
          <w:tcPr>
            <w:tcW w:w="6612" w:type="dxa"/>
            <w:noWrap w:val="0"/>
            <w:vAlign w:val="center"/>
          </w:tcPr>
          <w:p w14:paraId="6B448425">
            <w:pPr>
              <w:pageBreakBefore w:val="0"/>
              <w:widowControl w:val="0"/>
              <w:kinsoku/>
              <w:wordWrap/>
              <w:overflowPunct/>
              <w:topLinePunct w:val="0"/>
              <w:bidi w:val="0"/>
              <w:spacing w:line="400" w:lineRule="exac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工程保险的办理严格按照《关于要求施工单位购买安全生产责任险的通知》（韶水运行监督〔2020〕5号）及《转发关于做好我省铁路、公路、水运、水利、能源、机场工程建设项目参加工伤保险工作的通知》（韶人社函〔2019〕22号）执行，在</w:t>
            </w:r>
            <w:r>
              <w:rPr>
                <w:rFonts w:hint="eastAsia" w:ascii="宋体" w:hAnsi="宋体" w:eastAsia="宋体" w:cs="宋体"/>
                <w:bCs/>
                <w:color w:val="auto"/>
                <w:sz w:val="24"/>
                <w:szCs w:val="24"/>
                <w:highlight w:val="none"/>
              </w:rPr>
              <w:t>办理质量与安全监督书前</w:t>
            </w:r>
            <w:r>
              <w:rPr>
                <w:rFonts w:hint="eastAsia" w:ascii="宋体" w:hAnsi="宋体" w:eastAsia="宋体" w:cs="宋体"/>
                <w:color w:val="auto"/>
                <w:spacing w:val="2"/>
                <w:kern w:val="0"/>
                <w:sz w:val="24"/>
                <w:szCs w:val="24"/>
                <w:highlight w:val="none"/>
              </w:rPr>
              <w:t>办理完成。</w:t>
            </w:r>
          </w:p>
        </w:tc>
      </w:tr>
      <w:tr w14:paraId="725C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0DB493E0">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pacing w:val="2"/>
                <w:kern w:val="0"/>
                <w:sz w:val="24"/>
                <w:szCs w:val="24"/>
                <w:highlight w:val="none"/>
              </w:rPr>
            </w:pPr>
            <w:bookmarkStart w:id="33" w:name="_Toc413313021"/>
            <w:bookmarkStart w:id="34" w:name="_Toc413310926"/>
            <w:r>
              <w:rPr>
                <w:rFonts w:hint="eastAsia" w:ascii="宋体" w:hAnsi="宋体" w:eastAsia="宋体" w:cs="宋体"/>
                <w:color w:val="auto"/>
                <w:spacing w:val="2"/>
                <w:kern w:val="0"/>
                <w:sz w:val="24"/>
                <w:szCs w:val="24"/>
                <w:highlight w:val="none"/>
              </w:rPr>
              <w:t>1</w:t>
            </w:r>
            <w:r>
              <w:rPr>
                <w:rFonts w:hint="eastAsia" w:ascii="宋体" w:hAnsi="宋体" w:eastAsia="宋体" w:cs="宋体"/>
                <w:color w:val="auto"/>
                <w:spacing w:val="2"/>
                <w:kern w:val="0"/>
                <w:sz w:val="24"/>
                <w:szCs w:val="24"/>
                <w:highlight w:val="none"/>
                <w:lang w:val="en-US" w:eastAsia="zh-CN"/>
              </w:rPr>
              <w:t>1</w:t>
            </w:r>
            <w:r>
              <w:rPr>
                <w:rFonts w:hint="eastAsia" w:ascii="宋体" w:hAnsi="宋体" w:eastAsia="宋体" w:cs="宋体"/>
                <w:color w:val="auto"/>
                <w:spacing w:val="2"/>
                <w:kern w:val="0"/>
                <w:sz w:val="24"/>
                <w:szCs w:val="24"/>
                <w:highlight w:val="none"/>
              </w:rPr>
              <w:t>.2</w:t>
            </w:r>
          </w:p>
        </w:tc>
        <w:tc>
          <w:tcPr>
            <w:tcW w:w="1916" w:type="dxa"/>
            <w:noWrap w:val="0"/>
            <w:vAlign w:val="center"/>
          </w:tcPr>
          <w:p w14:paraId="09BDDA5E">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工人工资支付保证金</w:t>
            </w:r>
          </w:p>
        </w:tc>
        <w:tc>
          <w:tcPr>
            <w:tcW w:w="6612" w:type="dxa"/>
            <w:noWrap w:val="0"/>
            <w:vAlign w:val="center"/>
          </w:tcPr>
          <w:p w14:paraId="02AAA9E4">
            <w:pPr>
              <w:pageBreakBefore w:val="0"/>
              <w:widowControl w:val="0"/>
              <w:kinsoku/>
              <w:wordWrap/>
              <w:overflowPunct/>
              <w:topLinePunct w:val="0"/>
              <w:bidi w:val="0"/>
              <w:adjustRightInd w:val="0"/>
              <w:snapToGrid w:val="0"/>
              <w:spacing w:line="400" w:lineRule="exact"/>
              <w:textAlignment w:val="auto"/>
              <w:outlineLvl w:val="1"/>
              <w:rPr>
                <w:rFonts w:hint="eastAsia" w:ascii="宋体" w:hAnsi="宋体" w:eastAsia="宋体" w:cs="宋体"/>
                <w:color w:val="auto"/>
                <w:spacing w:val="2"/>
                <w:kern w:val="0"/>
                <w:sz w:val="24"/>
                <w:szCs w:val="24"/>
                <w:highlight w:val="none"/>
              </w:rPr>
            </w:pPr>
            <w:bookmarkStart w:id="35" w:name="_Toc11695"/>
            <w:bookmarkStart w:id="36" w:name="_Toc14491"/>
            <w:bookmarkStart w:id="37" w:name="_Toc17597"/>
            <w:r>
              <w:rPr>
                <w:rFonts w:hint="eastAsia" w:ascii="宋体" w:hAnsi="宋体" w:eastAsia="宋体" w:cs="宋体"/>
                <w:color w:val="auto"/>
                <w:sz w:val="24"/>
                <w:szCs w:val="24"/>
                <w:highlight w:val="none"/>
                <w:lang w:val="zh-CN"/>
              </w:rPr>
              <w:t>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号）及《韶关市工程建设领域农民工工资保证金管理实施细则》（韶法审〔2023〕19号）规定执行。如果发现拖欠工人工资或其他劳动纠纷行为，有关部门将从保证金专用账户中提取资金用于支付工人工资或出具保函的银行、保险公司按《保函履约协议》约定垫付或经依法裁定应由承包人支付的劳动纠纷款项。承包人在签订工程施工承包合同后一个月内必须办妥该事项，并将回执交发包人。如签订工程施工承包合同后一个月内未办妥的，项目所在地水行政主管部门将上报上级水行政主管部门记录承包人水利建设市场主体信用信息情况。</w:t>
            </w:r>
            <w:bookmarkEnd w:id="35"/>
            <w:bookmarkEnd w:id="36"/>
            <w:bookmarkEnd w:id="37"/>
          </w:p>
        </w:tc>
      </w:tr>
      <w:tr w14:paraId="3FE3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67CB45AD">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w:t>
            </w:r>
            <w:r>
              <w:rPr>
                <w:rFonts w:hint="eastAsia" w:ascii="宋体" w:hAnsi="宋体" w:eastAsia="宋体" w:cs="宋体"/>
                <w:color w:val="auto"/>
                <w:spacing w:val="2"/>
                <w:kern w:val="0"/>
                <w:sz w:val="24"/>
                <w:szCs w:val="24"/>
                <w:highlight w:val="none"/>
                <w:lang w:val="en-US" w:eastAsia="zh-CN"/>
              </w:rPr>
              <w:t>1</w:t>
            </w:r>
            <w:r>
              <w:rPr>
                <w:rFonts w:hint="eastAsia" w:ascii="宋体" w:hAnsi="宋体" w:eastAsia="宋体" w:cs="宋体"/>
                <w:color w:val="auto"/>
                <w:spacing w:val="2"/>
                <w:kern w:val="0"/>
                <w:sz w:val="24"/>
                <w:szCs w:val="24"/>
                <w:highlight w:val="none"/>
              </w:rPr>
              <w:t>.3</w:t>
            </w:r>
          </w:p>
        </w:tc>
        <w:tc>
          <w:tcPr>
            <w:tcW w:w="1916" w:type="dxa"/>
            <w:noWrap w:val="0"/>
            <w:tcMar>
              <w:top w:w="113" w:type="dxa"/>
              <w:left w:w="170" w:type="dxa"/>
              <w:bottom w:w="0" w:type="dxa"/>
              <w:right w:w="108" w:type="dxa"/>
            </w:tcMar>
            <w:vAlign w:val="center"/>
          </w:tcPr>
          <w:p w14:paraId="77A63656">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工人工资支付分账管理</w:t>
            </w:r>
          </w:p>
        </w:tc>
        <w:tc>
          <w:tcPr>
            <w:tcW w:w="6612" w:type="dxa"/>
            <w:noWrap w:val="0"/>
            <w:tcMar>
              <w:top w:w="113" w:type="dxa"/>
              <w:left w:w="170" w:type="dxa"/>
              <w:bottom w:w="0" w:type="dxa"/>
              <w:right w:w="108" w:type="dxa"/>
            </w:tcMar>
            <w:vAlign w:val="center"/>
          </w:tcPr>
          <w:p w14:paraId="4F0231D4">
            <w:pPr>
              <w:pageBreakBefore w:val="0"/>
              <w:widowControl w:val="0"/>
              <w:kinsoku/>
              <w:wordWrap/>
              <w:overflowPunct/>
              <w:topLinePunct w:val="0"/>
              <w:bidi w:val="0"/>
              <w:spacing w:line="400" w:lineRule="exact"/>
              <w:ind w:left="-90"/>
              <w:jc w:val="lef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z w:val="24"/>
                <w:szCs w:val="24"/>
                <w:highlight w:val="none"/>
                <w:lang w:val="zh-CN"/>
              </w:rPr>
              <w:t>依据人力资源社会保障部等十部门印发的《工程建设领域农民工工资专用账户管理暂行办法》（人社部发〔2021〕53号），本项目必须执行建设领域工人工资支付分账管理，并于项目开工建设前到项目施工所在地银行设立工人工资支付专用账户，为每个工人办理工资个人账户，并建立劳动用工管理台账备查。根据水利工程人工工资所占比例，于每次拨付工程进度款时，按工程款的</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将资金转存到中标单位开设的工人工资专用账户上，确保足额支付工人工资。若未按期执行，将上报省市水行政主管部门将此行为列入不良信用记录。</w:t>
            </w:r>
          </w:p>
        </w:tc>
      </w:tr>
      <w:tr w14:paraId="4CB4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noWrap w:val="0"/>
            <w:vAlign w:val="center"/>
          </w:tcPr>
          <w:p w14:paraId="00293431">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rPr>
              <w:t>1</w:t>
            </w:r>
            <w:r>
              <w:rPr>
                <w:rFonts w:hint="eastAsia" w:ascii="宋体" w:hAnsi="宋体" w:eastAsia="宋体" w:cs="宋体"/>
                <w:color w:val="auto"/>
                <w:spacing w:val="2"/>
                <w:kern w:val="0"/>
                <w:sz w:val="24"/>
                <w:szCs w:val="24"/>
                <w:highlight w:val="none"/>
                <w:lang w:val="en-US" w:eastAsia="zh-CN"/>
              </w:rPr>
              <w:t>1</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spacing w:val="2"/>
                <w:kern w:val="0"/>
                <w:sz w:val="24"/>
                <w:szCs w:val="24"/>
                <w:highlight w:val="none"/>
                <w:lang w:val="en-US" w:eastAsia="zh-CN"/>
              </w:rPr>
              <w:t>4</w:t>
            </w:r>
          </w:p>
        </w:tc>
        <w:tc>
          <w:tcPr>
            <w:tcW w:w="1916" w:type="dxa"/>
            <w:noWrap w:val="0"/>
            <w:vAlign w:val="center"/>
          </w:tcPr>
          <w:p w14:paraId="4F522372">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中标后须提交</w:t>
            </w:r>
          </w:p>
          <w:p w14:paraId="0C79C7E9">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的投标文件</w:t>
            </w:r>
          </w:p>
        </w:tc>
        <w:tc>
          <w:tcPr>
            <w:tcW w:w="6612" w:type="dxa"/>
            <w:noWrap w:val="0"/>
            <w:vAlign w:val="center"/>
          </w:tcPr>
          <w:p w14:paraId="719A4441">
            <w:pPr>
              <w:keepLines/>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中标人自中标通知书发出之日起五个工作日内，提供与电子投标电子文档一致的3份纸质版投标文件给招标人存档。</w:t>
            </w:r>
          </w:p>
        </w:tc>
      </w:tr>
      <w:tr w14:paraId="6AE4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972" w:type="dxa"/>
            <w:noWrap w:val="0"/>
            <w:vAlign w:val="center"/>
          </w:tcPr>
          <w:p w14:paraId="5A8CE592">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rPr>
              <w:t>1</w:t>
            </w:r>
            <w:r>
              <w:rPr>
                <w:rFonts w:hint="eastAsia" w:ascii="宋体" w:hAnsi="宋体" w:eastAsia="宋体" w:cs="宋体"/>
                <w:color w:val="auto"/>
                <w:spacing w:val="2"/>
                <w:kern w:val="0"/>
                <w:sz w:val="24"/>
                <w:szCs w:val="24"/>
                <w:highlight w:val="none"/>
                <w:lang w:val="en-US" w:eastAsia="zh-CN"/>
              </w:rPr>
              <w:t>1</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spacing w:val="2"/>
                <w:kern w:val="0"/>
                <w:sz w:val="24"/>
                <w:szCs w:val="24"/>
                <w:highlight w:val="none"/>
                <w:lang w:val="en-US" w:eastAsia="zh-CN"/>
              </w:rPr>
              <w:t>5</w:t>
            </w:r>
          </w:p>
        </w:tc>
        <w:tc>
          <w:tcPr>
            <w:tcW w:w="1916" w:type="dxa"/>
            <w:noWrap w:val="0"/>
            <w:vAlign w:val="center"/>
          </w:tcPr>
          <w:p w14:paraId="62960116">
            <w:pPr>
              <w:pageBreakBefore w:val="0"/>
              <w:widowControl w:val="0"/>
              <w:kinsoku/>
              <w:wordWrap/>
              <w:overflowPunct/>
              <w:topLinePunct w:val="0"/>
              <w:bidi w:val="0"/>
              <w:spacing w:line="400" w:lineRule="exact"/>
              <w:ind w:left="-9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招标代理费</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kern w:val="2"/>
                <w:sz w:val="24"/>
                <w:highlight w:val="none"/>
                <w:lang w:val="en-US" w:eastAsia="zh-CN" w:bidi="ar-SA"/>
              </w:rPr>
              <w:t>评标专家酬劳</w:t>
            </w:r>
          </w:p>
        </w:tc>
        <w:tc>
          <w:tcPr>
            <w:tcW w:w="6612" w:type="dxa"/>
            <w:noWrap w:val="0"/>
            <w:tcMar>
              <w:top w:w="113" w:type="dxa"/>
              <w:left w:w="108" w:type="dxa"/>
              <w:bottom w:w="0" w:type="dxa"/>
              <w:right w:w="108" w:type="dxa"/>
            </w:tcMar>
            <w:vAlign w:val="center"/>
          </w:tcPr>
          <w:p w14:paraId="419B20FA">
            <w:pPr>
              <w:pageBreakBefore w:val="0"/>
              <w:widowControl w:val="0"/>
              <w:kinsoku/>
              <w:wordWrap/>
              <w:overflowPunct/>
              <w:topLinePunct w:val="0"/>
              <w:bidi w:val="0"/>
              <w:adjustRightInd w:val="0"/>
              <w:snapToGrid w:val="0"/>
              <w:spacing w:line="400" w:lineRule="exact"/>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的招标代理服务费和评标专家酬劳（包括食宿费用、交通费、专家评审劳务费等）由中标人支付。该费用不再另行报价，由投标人在投标报价时综合考虑在内。招标代理服务费参照《招标代理服务收费管理暂行办法》计价格〔2002〕1980号文计算；中标人在领取中标通知书前须向招标代理机构一次性支付（评标专家酬劳先由招标代理垫付）。</w:t>
            </w:r>
          </w:p>
        </w:tc>
      </w:tr>
      <w:tr w14:paraId="5D8D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8" w:type="dxa"/>
            <w:gridSpan w:val="2"/>
            <w:noWrap w:val="0"/>
            <w:vAlign w:val="center"/>
          </w:tcPr>
          <w:p w14:paraId="6CFB0A42">
            <w:pPr>
              <w:keepLines/>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未尽事宜</w:t>
            </w:r>
            <w:bookmarkEnd w:id="33"/>
            <w:bookmarkEnd w:id="34"/>
          </w:p>
        </w:tc>
        <w:tc>
          <w:tcPr>
            <w:tcW w:w="6612" w:type="dxa"/>
            <w:noWrap w:val="0"/>
            <w:vAlign w:val="center"/>
          </w:tcPr>
          <w:p w14:paraId="1AED8613">
            <w:pPr>
              <w:keepLines/>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pacing w:val="2"/>
                <w:kern w:val="0"/>
                <w:sz w:val="24"/>
                <w:szCs w:val="24"/>
                <w:highlight w:val="none"/>
              </w:rPr>
            </w:pPr>
            <w:bookmarkStart w:id="38" w:name="_Toc413313022"/>
            <w:bookmarkStart w:id="39" w:name="_Toc413310927"/>
            <w:r>
              <w:rPr>
                <w:rFonts w:hint="eastAsia" w:ascii="宋体" w:hAnsi="宋体" w:eastAsia="宋体" w:cs="宋体"/>
                <w:color w:val="auto"/>
                <w:spacing w:val="2"/>
                <w:kern w:val="0"/>
                <w:sz w:val="24"/>
                <w:szCs w:val="24"/>
                <w:highlight w:val="none"/>
              </w:rPr>
              <w:t>本招标文件未尽事宜</w:t>
            </w:r>
            <w:r>
              <w:rPr>
                <w:rFonts w:hint="eastAsia" w:ascii="宋体" w:hAnsi="宋体" w:eastAsia="宋体" w:cs="宋体"/>
                <w:color w:val="auto"/>
                <w:spacing w:val="2"/>
                <w:kern w:val="0"/>
                <w:sz w:val="24"/>
                <w:szCs w:val="24"/>
                <w:highlight w:val="none"/>
                <w:lang w:eastAsia="zh-CN"/>
              </w:rPr>
              <w:t>按照《中华人民共和国</w:t>
            </w:r>
            <w:r>
              <w:rPr>
                <w:rFonts w:hint="eastAsia" w:ascii="宋体" w:hAnsi="宋体" w:eastAsia="宋体" w:cs="宋体"/>
                <w:color w:val="auto"/>
                <w:spacing w:val="2"/>
                <w:kern w:val="0"/>
                <w:sz w:val="24"/>
                <w:szCs w:val="24"/>
                <w:highlight w:val="none"/>
              </w:rPr>
              <w:t>招标投标法》《中华人民共和国招标投标法实施条例》《广东省实施〈中华人民共和国招标投标法〉办法》及部门规章执</w:t>
            </w:r>
            <w:bookmarkEnd w:id="38"/>
            <w:bookmarkEnd w:id="39"/>
            <w:r>
              <w:rPr>
                <w:rFonts w:hint="eastAsia" w:ascii="宋体" w:hAnsi="宋体" w:eastAsia="宋体" w:cs="宋体"/>
                <w:color w:val="auto"/>
                <w:spacing w:val="2"/>
                <w:kern w:val="0"/>
                <w:sz w:val="24"/>
                <w:szCs w:val="24"/>
                <w:highlight w:val="none"/>
              </w:rPr>
              <w:t>行。</w:t>
            </w:r>
          </w:p>
        </w:tc>
      </w:tr>
    </w:tbl>
    <w:p w14:paraId="2ED4B20B">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40" w:name="_Toc263413152"/>
      <w:bookmarkStart w:id="41" w:name="_Toc256773139"/>
      <w:r>
        <w:rPr>
          <w:rFonts w:hint="eastAsia" w:ascii="宋体" w:hAnsi="宋体" w:eastAsia="宋体" w:cs="宋体"/>
          <w:color w:val="auto"/>
          <w:szCs w:val="21"/>
          <w:highlight w:val="none"/>
        </w:rPr>
        <w:br w:type="page"/>
      </w:r>
      <w:bookmarkStart w:id="42" w:name="_Toc28987"/>
      <w:bookmarkStart w:id="43" w:name="_Toc26670"/>
      <w:bookmarkStart w:id="44" w:name="_Toc10786"/>
      <w:bookmarkStart w:id="45" w:name="_Toc8399"/>
      <w:r>
        <w:rPr>
          <w:rFonts w:hint="eastAsia" w:ascii="宋体" w:hAnsi="宋体" w:eastAsia="宋体" w:cs="宋体"/>
          <w:color w:val="auto"/>
          <w:sz w:val="28"/>
          <w:szCs w:val="28"/>
        </w:rPr>
        <w:t>1总则</w:t>
      </w:r>
      <w:bookmarkEnd w:id="40"/>
      <w:bookmarkEnd w:id="41"/>
      <w:bookmarkEnd w:id="42"/>
      <w:bookmarkEnd w:id="43"/>
      <w:bookmarkEnd w:id="44"/>
      <w:bookmarkEnd w:id="45"/>
    </w:p>
    <w:p w14:paraId="03DACFC7">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46" w:name="_Toc263413153"/>
      <w:r>
        <w:rPr>
          <w:rFonts w:hint="eastAsia" w:ascii="宋体" w:hAnsi="宋体" w:eastAsia="宋体" w:cs="宋体"/>
          <w:b/>
          <w:color w:val="auto"/>
          <w:sz w:val="24"/>
          <w:szCs w:val="24"/>
          <w:highlight w:val="none"/>
        </w:rPr>
        <w:t>1.1项目概况</w:t>
      </w:r>
      <w:bookmarkEnd w:id="46"/>
    </w:p>
    <w:p w14:paraId="3DA378AC">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1.1.1根据《中华人民共和国招标投标法》等有关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和规章的规定，本项目</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具备招标条件，现对本项目施工进行招标。</w:t>
      </w:r>
    </w:p>
    <w:p w14:paraId="1D7177F4">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1.1.2本项目招标人：见投标人须知前附表。</w:t>
      </w:r>
    </w:p>
    <w:p w14:paraId="68551F18">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1.1.3本项目招标代理机构：见投标人须知前附表。</w:t>
      </w:r>
    </w:p>
    <w:p w14:paraId="20F3CDA3">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1.1.4本项目名称：见投标人须知前附表。</w:t>
      </w:r>
    </w:p>
    <w:p w14:paraId="65D22FCC">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1.1.5本项目建设地点：见投标人须知前附表。</w:t>
      </w:r>
    </w:p>
    <w:p w14:paraId="58FB755A">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1.1.6本项目设计人：见投标人须知前附表。</w:t>
      </w:r>
    </w:p>
    <w:p w14:paraId="58700A3B">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1.1.7本项目监理人：见投标人须知前附表。</w:t>
      </w:r>
    </w:p>
    <w:p w14:paraId="0465D042">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47" w:name="_Toc263413154"/>
      <w:r>
        <w:rPr>
          <w:rFonts w:hint="eastAsia" w:ascii="宋体" w:hAnsi="宋体" w:eastAsia="宋体" w:cs="宋体"/>
          <w:b/>
          <w:color w:val="auto"/>
          <w:sz w:val="24"/>
          <w:szCs w:val="24"/>
          <w:highlight w:val="none"/>
        </w:rPr>
        <w:t>1.2资金来源和落实情况</w:t>
      </w:r>
      <w:bookmarkEnd w:id="47"/>
    </w:p>
    <w:p w14:paraId="4E60236F">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1.2.1本项目的资金来源：见投标人须知前附表。</w:t>
      </w:r>
    </w:p>
    <w:p w14:paraId="3E1C507A">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1.2.2本项目的资金落实情况：见投标人须知前附表。</w:t>
      </w:r>
    </w:p>
    <w:p w14:paraId="5FEADF70">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48" w:name="_Toc263413155"/>
      <w:r>
        <w:rPr>
          <w:rFonts w:hint="eastAsia" w:ascii="宋体" w:hAnsi="宋体" w:eastAsia="宋体" w:cs="宋体"/>
          <w:b/>
          <w:color w:val="auto"/>
          <w:sz w:val="24"/>
          <w:szCs w:val="24"/>
          <w:highlight w:val="none"/>
        </w:rPr>
        <w:t>1.3招标范围、计划工期和质量要求</w:t>
      </w:r>
      <w:bookmarkEnd w:id="48"/>
    </w:p>
    <w:p w14:paraId="3D3E9185">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1.3.1本次招标范围：见投标人须知前附表。</w:t>
      </w:r>
    </w:p>
    <w:p w14:paraId="4CD720DD">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1.3.2本项目的计划工期：见投标人须知前附表。</w:t>
      </w:r>
    </w:p>
    <w:p w14:paraId="5F7AD37B">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1.3.3本项目的质量要求：见投标人须知前附表。</w:t>
      </w:r>
    </w:p>
    <w:p w14:paraId="1C50521A">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49" w:name="_Toc263413157"/>
      <w:r>
        <w:rPr>
          <w:rFonts w:hint="eastAsia" w:ascii="宋体" w:hAnsi="宋体" w:eastAsia="宋体" w:cs="宋体"/>
          <w:b/>
          <w:color w:val="auto"/>
          <w:sz w:val="24"/>
          <w:szCs w:val="24"/>
          <w:highlight w:val="none"/>
        </w:rPr>
        <w:t>1.4投标人资格要求</w:t>
      </w:r>
      <w:bookmarkEnd w:id="49"/>
    </w:p>
    <w:p w14:paraId="6216DEA2">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1.4.1投标人应具备的资质条件、能力和信誉：见投标人须知前附表。</w:t>
      </w:r>
    </w:p>
    <w:p w14:paraId="21D0A2E9">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1.4.2本项目是否</w:t>
      </w:r>
      <w:r>
        <w:rPr>
          <w:rFonts w:hint="eastAsia" w:ascii="宋体" w:hAnsi="宋体" w:eastAsia="宋体" w:cs="宋体"/>
          <w:color w:val="auto"/>
          <w:sz w:val="24"/>
          <w:szCs w:val="24"/>
          <w:highlight w:val="none"/>
          <w:lang w:eastAsia="zh-CN"/>
        </w:rPr>
        <w:t>不接受联合体</w:t>
      </w:r>
      <w:r>
        <w:rPr>
          <w:rFonts w:hint="eastAsia" w:ascii="宋体" w:hAnsi="宋体" w:eastAsia="宋体" w:cs="宋体"/>
          <w:color w:val="auto"/>
          <w:sz w:val="24"/>
          <w:szCs w:val="24"/>
          <w:highlight w:val="none"/>
        </w:rPr>
        <w:t>投标：见投标人须知前附表。</w:t>
      </w:r>
    </w:p>
    <w:p w14:paraId="541F8C9D">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14:paraId="5D099717">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（l）为招标人不具有独立法人资格的附属机构（单位）；</w:t>
      </w:r>
    </w:p>
    <w:p w14:paraId="13F2A519">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（2）为本标段前期准备提供设计或咨询服务的，但设计施工总承包的除外；</w:t>
      </w:r>
    </w:p>
    <w:p w14:paraId="25EF790D">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（3）为本标段的监理人；</w:t>
      </w:r>
    </w:p>
    <w:p w14:paraId="4523EB98">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（4）为本标段的代建人；</w:t>
      </w:r>
    </w:p>
    <w:p w14:paraId="7F8D36CE">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（5）为本标段提供招标代理服务的；</w:t>
      </w:r>
    </w:p>
    <w:p w14:paraId="44B4C129">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（6）与本标段的监理人或代建人或招标代理机构同为一个法定代表人的；</w:t>
      </w:r>
    </w:p>
    <w:p w14:paraId="1AFE4FFB">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（7）与本标段的监理人或代建人或招标代理机构相互控股或参股的；</w:t>
      </w:r>
    </w:p>
    <w:p w14:paraId="49A65AB0">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（8）与本标段的监理人或代建人或招标代理机构相互任职或工作的；</w:t>
      </w:r>
    </w:p>
    <w:p w14:paraId="72AE632D">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14:paraId="116CD6D1">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（10）被暂停或取消投标资格的；</w:t>
      </w:r>
    </w:p>
    <w:p w14:paraId="007D9ED9">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14:paraId="53ED63BC">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（12）在最近三年内有骗取中标或严重违约或重大工程质量问题的。</w:t>
      </w:r>
    </w:p>
    <w:p w14:paraId="78AE3E1E">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1.4.4单位负责人为同一人或者存在控股、管理关系的不同单位，不得同时参加本招标项目投标。</w:t>
      </w:r>
    </w:p>
    <w:p w14:paraId="5971CCCA">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50" w:name="_Toc263413158"/>
      <w:r>
        <w:rPr>
          <w:rFonts w:hint="eastAsia" w:ascii="宋体" w:hAnsi="宋体" w:eastAsia="宋体" w:cs="宋体"/>
          <w:b/>
          <w:color w:val="auto"/>
          <w:sz w:val="24"/>
          <w:szCs w:val="24"/>
          <w:highlight w:val="none"/>
        </w:rPr>
        <w:t>1.5</w:t>
      </w:r>
      <w:bookmarkEnd w:id="50"/>
      <w:r>
        <w:rPr>
          <w:rFonts w:hint="eastAsia" w:ascii="宋体" w:hAnsi="宋体" w:eastAsia="宋体" w:cs="宋体"/>
          <w:b/>
          <w:color w:val="auto"/>
          <w:sz w:val="24"/>
          <w:szCs w:val="24"/>
          <w:highlight w:val="none"/>
        </w:rPr>
        <w:t>费用承担</w:t>
      </w:r>
    </w:p>
    <w:p w14:paraId="01A048AC">
      <w:pPr>
        <w:pageBreakBefore w:val="0"/>
        <w:widowControl w:val="0"/>
        <w:kinsoku/>
        <w:wordWrap/>
        <w:overflowPunct/>
        <w:topLinePunct w:val="0"/>
        <w:autoSpaceDE/>
        <w:autoSpaceDN/>
        <w:bidi w:val="0"/>
        <w:adjustRightInd w:val="0"/>
        <w:snapToGrid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1.5.1投标人准备和参加投标活动发生的费用自理。</w:t>
      </w:r>
    </w:p>
    <w:p w14:paraId="7F6ED15D">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1.5.2中标人须承担的其他费用：见投标人须知前附表。</w:t>
      </w:r>
    </w:p>
    <w:p w14:paraId="32DA69AB">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51" w:name="_Toc263413159"/>
      <w:r>
        <w:rPr>
          <w:rFonts w:hint="eastAsia" w:ascii="宋体" w:hAnsi="宋体" w:eastAsia="宋体" w:cs="宋体"/>
          <w:b/>
          <w:color w:val="auto"/>
          <w:sz w:val="24"/>
          <w:szCs w:val="24"/>
          <w:highlight w:val="none"/>
        </w:rPr>
        <w:t>1.6保密</w:t>
      </w:r>
      <w:bookmarkEnd w:id="51"/>
    </w:p>
    <w:p w14:paraId="61751DC2">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14:paraId="2C8E5951">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52" w:name="_Toc263413160"/>
      <w:r>
        <w:rPr>
          <w:rFonts w:hint="eastAsia" w:ascii="宋体" w:hAnsi="宋体" w:eastAsia="宋体" w:cs="宋体"/>
          <w:b/>
          <w:color w:val="auto"/>
          <w:sz w:val="24"/>
          <w:szCs w:val="24"/>
          <w:highlight w:val="none"/>
        </w:rPr>
        <w:t>1.7语言文字</w:t>
      </w:r>
      <w:bookmarkEnd w:id="52"/>
    </w:p>
    <w:p w14:paraId="12A6FCD4">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除专用术语外，与招标投标有关的语言均使用中文。必要时专用术语应附有中文注释。</w:t>
      </w:r>
    </w:p>
    <w:p w14:paraId="44A9F651">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53" w:name="_Toc263413161"/>
      <w:r>
        <w:rPr>
          <w:rFonts w:hint="eastAsia" w:ascii="宋体" w:hAnsi="宋体" w:eastAsia="宋体" w:cs="宋体"/>
          <w:b/>
          <w:color w:val="auto"/>
          <w:sz w:val="24"/>
          <w:szCs w:val="24"/>
          <w:highlight w:val="none"/>
        </w:rPr>
        <w:t>1.8计量单位</w:t>
      </w:r>
      <w:bookmarkEnd w:id="53"/>
    </w:p>
    <w:p w14:paraId="3B9DA79A">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52349382">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54" w:name="_Toc263413162"/>
      <w:r>
        <w:rPr>
          <w:rFonts w:hint="eastAsia" w:ascii="宋体" w:hAnsi="宋体" w:eastAsia="宋体" w:cs="宋体"/>
          <w:b/>
          <w:color w:val="auto"/>
          <w:sz w:val="24"/>
          <w:szCs w:val="24"/>
          <w:highlight w:val="none"/>
        </w:rPr>
        <w:t>1.9踏勘现场</w:t>
      </w:r>
      <w:bookmarkEnd w:id="54"/>
    </w:p>
    <w:p w14:paraId="63A3E8CD">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见投标人须知前附表</w:t>
      </w:r>
    </w:p>
    <w:p w14:paraId="2941563D">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1.10投标预备会</w:t>
      </w:r>
    </w:p>
    <w:p w14:paraId="0F76BB07">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见投标人须知前附表</w:t>
      </w:r>
    </w:p>
    <w:p w14:paraId="255C3114">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1.11分包</w:t>
      </w:r>
    </w:p>
    <w:p w14:paraId="47F54350">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见投标人须知前附表</w:t>
      </w:r>
    </w:p>
    <w:p w14:paraId="01E84F7C">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1.12偏离</w:t>
      </w:r>
    </w:p>
    <w:p w14:paraId="08779D71">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投标文件不允许偏离招标文件的实质性要求和条件。投标文件偏离招标文件的非实质性要求和条件的，其处理方式见投标人须知前附表。</w:t>
      </w:r>
    </w:p>
    <w:p w14:paraId="02E54CB2">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55" w:name="_Toc7606"/>
      <w:bookmarkStart w:id="56" w:name="_Toc28684"/>
      <w:bookmarkStart w:id="57" w:name="_Toc28519"/>
      <w:bookmarkStart w:id="58" w:name="_Toc256773140"/>
      <w:bookmarkStart w:id="59" w:name="_Toc2822"/>
      <w:r>
        <w:rPr>
          <w:rFonts w:hint="eastAsia" w:ascii="宋体" w:hAnsi="宋体" w:eastAsia="宋体" w:cs="宋体"/>
          <w:color w:val="auto"/>
          <w:sz w:val="28"/>
          <w:szCs w:val="28"/>
        </w:rPr>
        <w:t>2招标文件</w:t>
      </w:r>
      <w:bookmarkEnd w:id="55"/>
      <w:bookmarkEnd w:id="56"/>
      <w:bookmarkEnd w:id="57"/>
      <w:bookmarkEnd w:id="58"/>
      <w:bookmarkEnd w:id="59"/>
    </w:p>
    <w:p w14:paraId="044B3631">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bookmarkStart w:id="60" w:name="_Toc263413163"/>
      <w:r>
        <w:rPr>
          <w:rFonts w:hint="eastAsia" w:ascii="宋体" w:hAnsi="宋体" w:eastAsia="宋体" w:cs="宋体"/>
          <w:b/>
          <w:color w:val="auto"/>
          <w:sz w:val="24"/>
          <w:szCs w:val="24"/>
          <w:highlight w:val="none"/>
        </w:rPr>
        <w:t>2.1招标文件的组成</w:t>
      </w:r>
      <w:bookmarkEnd w:id="60"/>
    </w:p>
    <w:p w14:paraId="4EB2B73D">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10125D8C">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（1）招标公告；</w:t>
      </w:r>
    </w:p>
    <w:p w14:paraId="3D4752F8">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65713E3B">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办法；</w:t>
      </w:r>
    </w:p>
    <w:p w14:paraId="663603FF">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4DD74FC4">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（5）工程量清单；</w:t>
      </w:r>
    </w:p>
    <w:p w14:paraId="4A600880">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rPr>
        <w:t>；</w:t>
      </w:r>
    </w:p>
    <w:p w14:paraId="399D8103">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（7）技术标准和要求；</w:t>
      </w:r>
    </w:p>
    <w:p w14:paraId="7FE5AF17">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（8）投标文件格式；</w:t>
      </w:r>
    </w:p>
    <w:p w14:paraId="25296AF6">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（9）投标人须知前附表规定的其他材料。</w:t>
      </w:r>
    </w:p>
    <w:p w14:paraId="539DD9C3">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根据本章第2.2款和第2.3款对招标文件所作的澄清、修改，构成招标文件的组成部分。</w:t>
      </w:r>
    </w:p>
    <w:p w14:paraId="3988F54D">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2.2招标文件的澄清</w:t>
      </w:r>
    </w:p>
    <w:p w14:paraId="403D8730">
      <w:pPr>
        <w:pageBreakBefore w:val="0"/>
        <w:widowControl w:val="0"/>
        <w:kinsoku/>
        <w:wordWrap/>
        <w:overflowPunct/>
        <w:topLinePunct w:val="0"/>
        <w:autoSpaceDE/>
        <w:autoSpaceDN/>
        <w:bidi w:val="0"/>
        <w:spacing w:line="440" w:lineRule="atLeast"/>
        <w:ind w:left="178" w:leftChars="85" w:firstLine="477" w:firstLineChars="19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投标人应仔细阅读和检查招标文件的全部内容。如发现缺页或附件不全，应及时向招标人提出，以便补齐。如有疑问，投标人对招标文件的质疑应在招标文件规定的质疑截止时间前以不署名的书面形式在全国公共资源交易平台（广东省·韶关市）（https://ygp.gdzwfw.gov.cn/ggzy-portal/#/440200/index）工程交易系统提出。</w:t>
      </w:r>
    </w:p>
    <w:p w14:paraId="3E744A1D">
      <w:pPr>
        <w:pageBreakBefore w:val="0"/>
        <w:widowControl w:val="0"/>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2.2.2招标文件的澄清将在招标文件规定的招标答疑截止时间前发布</w:t>
      </w:r>
      <w:r>
        <w:rPr>
          <w:rFonts w:hint="eastAsia" w:ascii="宋体" w:hAnsi="宋体" w:eastAsia="宋体" w:cs="宋体"/>
          <w:color w:val="auto"/>
          <w:sz w:val="24"/>
          <w:szCs w:val="24"/>
          <w:highlight w:val="none"/>
          <w:lang w:eastAsia="zh-CN"/>
        </w:rPr>
        <w:t>于</w:t>
      </w:r>
      <w:r>
        <w:rPr>
          <w:rFonts w:hint="eastAsia" w:ascii="宋体" w:hAnsi="宋体" w:eastAsia="宋体" w:cs="宋体"/>
          <w:color w:val="auto"/>
          <w:sz w:val="24"/>
          <w:szCs w:val="24"/>
          <w:highlight w:val="none"/>
        </w:rPr>
        <w:t>全国公共资源交易平台（广东省·韶关市）（https://ygp.gdzwfw.gov.cn/ggzy-portal/#/440200/index），但不说明问题的来源。如果澄清发出的时间在招标文件规定的招标答疑截止时间之后，相应延长投标截止时间。</w:t>
      </w:r>
    </w:p>
    <w:p w14:paraId="7A655FFE">
      <w:pPr>
        <w:pageBreakBefore w:val="0"/>
        <w:widowControl w:val="0"/>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2.2.3澄清一旦网上发布，即视为已</w:t>
      </w:r>
      <w:r>
        <w:rPr>
          <w:rFonts w:hint="eastAsia" w:ascii="宋体" w:hAnsi="宋体" w:eastAsia="宋体" w:cs="宋体"/>
          <w:color w:val="auto"/>
          <w:sz w:val="24"/>
          <w:szCs w:val="24"/>
          <w:highlight w:val="none"/>
          <w:lang w:eastAsia="zh-CN"/>
        </w:rPr>
        <w:t>通知</w:t>
      </w:r>
      <w:r>
        <w:rPr>
          <w:rFonts w:hint="eastAsia" w:ascii="宋体" w:hAnsi="宋体" w:eastAsia="宋体" w:cs="宋体"/>
          <w:color w:val="auto"/>
          <w:sz w:val="24"/>
          <w:szCs w:val="24"/>
          <w:highlight w:val="none"/>
        </w:rPr>
        <w:t>所有投标人。若由于投标人自身原因未及时获得补遗文件，由此发生的任何责任由投标人自负。</w:t>
      </w:r>
    </w:p>
    <w:p w14:paraId="680A34A0">
      <w:pPr>
        <w:pageBreakBefore w:val="0"/>
        <w:widowControl w:val="0"/>
        <w:kinsoku/>
        <w:wordWrap/>
        <w:overflowPunct/>
        <w:topLinePunct w:val="0"/>
        <w:autoSpaceDE/>
        <w:autoSpaceDN/>
        <w:bidi w:val="0"/>
        <w:adjustRightInd w:val="0"/>
        <w:snapToGrid w:val="0"/>
        <w:spacing w:line="44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2.3招标文件的修改</w:t>
      </w:r>
    </w:p>
    <w:p w14:paraId="626AC7F8">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eastAsia="zh-CN"/>
        </w:rPr>
      </w:pPr>
      <w:bookmarkStart w:id="61" w:name="_Toc256773141"/>
      <w:r>
        <w:rPr>
          <w:rFonts w:hint="eastAsia" w:ascii="宋体" w:hAnsi="宋体" w:eastAsia="宋体" w:cs="宋体"/>
          <w:color w:val="auto"/>
          <w:sz w:val="24"/>
          <w:szCs w:val="24"/>
          <w:highlight w:val="none"/>
        </w:rPr>
        <w:t>2.3.1招标人以网上质疑形式修改招标文件。修改招标文件的时间距投标人须知前附表规定的投标截止时间不足15天的，并且澄清内容影响投标文件编制的，将相应延长投标截止时间。</w:t>
      </w:r>
    </w:p>
    <w:p w14:paraId="4266F29B">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2.3.2上述发布的补充通知将作为招标文件的组成部分。</w:t>
      </w:r>
    </w:p>
    <w:p w14:paraId="392D5709">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2.3.3修改一旦网上发布，即视为已通知给所有投标人。</w:t>
      </w:r>
    </w:p>
    <w:p w14:paraId="2564F36E">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62" w:name="_Toc21564"/>
      <w:bookmarkStart w:id="63" w:name="_Toc12693"/>
      <w:bookmarkStart w:id="64" w:name="_Toc83"/>
      <w:bookmarkStart w:id="65" w:name="_Toc18359"/>
      <w:r>
        <w:rPr>
          <w:rFonts w:hint="eastAsia" w:ascii="宋体" w:hAnsi="宋体" w:eastAsia="宋体" w:cs="宋体"/>
          <w:color w:val="auto"/>
          <w:sz w:val="28"/>
          <w:szCs w:val="28"/>
        </w:rPr>
        <w:t>3投标文件</w:t>
      </w:r>
      <w:bookmarkEnd w:id="61"/>
      <w:bookmarkEnd w:id="62"/>
      <w:bookmarkEnd w:id="63"/>
      <w:bookmarkEnd w:id="64"/>
      <w:bookmarkEnd w:id="65"/>
    </w:p>
    <w:p w14:paraId="2348F5E3">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bookmarkStart w:id="66" w:name="_Toc263413164"/>
      <w:r>
        <w:rPr>
          <w:rFonts w:hint="eastAsia" w:ascii="宋体" w:hAnsi="宋体" w:eastAsia="宋体" w:cs="宋体"/>
          <w:b/>
          <w:color w:val="auto"/>
          <w:sz w:val="24"/>
          <w:szCs w:val="24"/>
          <w:highlight w:val="none"/>
        </w:rPr>
        <w:t>3.1投标文件的组成</w:t>
      </w:r>
      <w:bookmarkEnd w:id="66"/>
    </w:p>
    <w:p w14:paraId="49A07D98">
      <w:pPr>
        <w:pageBreakBefore w:val="0"/>
        <w:widowControl w:val="0"/>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投标人操作指南》。</w:t>
      </w:r>
    </w:p>
    <w:p w14:paraId="03A49455">
      <w:pPr>
        <w:pageBreakBefore w:val="0"/>
        <w:widowControl w:val="0"/>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3.1.1投标文件包含投标报价书、商务标书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技术标书</w:t>
      </w:r>
      <w:r>
        <w:rPr>
          <w:rFonts w:hint="eastAsia" w:ascii="宋体" w:hAnsi="宋体" w:eastAsia="宋体" w:cs="宋体"/>
          <w:color w:val="auto"/>
          <w:sz w:val="24"/>
          <w:szCs w:val="24"/>
          <w:highlight w:val="none"/>
          <w:lang w:val="en-US" w:eastAsia="zh-CN"/>
        </w:rPr>
        <w:t>及定标文件</w:t>
      </w:r>
      <w:r>
        <w:rPr>
          <w:rFonts w:hint="eastAsia" w:ascii="宋体" w:hAnsi="宋体" w:eastAsia="宋体" w:cs="宋体"/>
          <w:color w:val="auto"/>
          <w:sz w:val="24"/>
          <w:szCs w:val="24"/>
          <w:highlight w:val="none"/>
        </w:rPr>
        <w:t>。</w:t>
      </w:r>
    </w:p>
    <w:p w14:paraId="1BCD7DDC">
      <w:pPr>
        <w:pageBreakBefore w:val="0"/>
        <w:widowControl w:val="0"/>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3.1.1.1投标报价书包含投标报价书（详见第八章投标文件格式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格式1）。</w:t>
      </w:r>
    </w:p>
    <w:p w14:paraId="1CA9E368">
      <w:pPr>
        <w:pageBreakBefore w:val="0"/>
        <w:widowControl w:val="0"/>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3.1.1.2商务标书应包含以下内容（详见第八章投标文件格式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格式2）：</w:t>
      </w:r>
    </w:p>
    <w:p w14:paraId="6C9219AD">
      <w:pPr>
        <w:pageBreakBefore w:val="0"/>
        <w:widowControl w:val="0"/>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（l）投标函及投标函附录；</w:t>
      </w:r>
    </w:p>
    <w:p w14:paraId="7F4EEC0B">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（2）法定代表人证明书；</w:t>
      </w:r>
    </w:p>
    <w:p w14:paraId="72CDDA11">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605B5212">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（4）项目管理机构表；</w:t>
      </w:r>
    </w:p>
    <w:p w14:paraId="5CE5961F">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（5）资格审查资料；</w:t>
      </w:r>
    </w:p>
    <w:p w14:paraId="015D6334">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val="0"/>
          <w:bCs w:val="0"/>
          <w:color w:val="auto"/>
          <w:sz w:val="24"/>
          <w:szCs w:val="24"/>
          <w:highlight w:val="none"/>
        </w:rPr>
        <w:t>缴纳投标保</w:t>
      </w:r>
      <w:r>
        <w:rPr>
          <w:rFonts w:hint="eastAsia" w:ascii="宋体" w:hAnsi="宋体" w:eastAsia="宋体" w:cs="宋体"/>
          <w:b w:val="0"/>
          <w:bCs w:val="0"/>
          <w:color w:val="auto"/>
          <w:sz w:val="24"/>
          <w:szCs w:val="24"/>
          <w:highlight w:val="none"/>
          <w:lang w:eastAsia="zh-CN"/>
        </w:rPr>
        <w:t>证金</w:t>
      </w:r>
      <w:r>
        <w:rPr>
          <w:rFonts w:hint="eastAsia" w:ascii="宋体" w:hAnsi="宋体" w:eastAsia="宋体" w:cs="宋体"/>
          <w:b w:val="0"/>
          <w:bCs w:val="0"/>
          <w:color w:val="auto"/>
          <w:sz w:val="24"/>
          <w:szCs w:val="24"/>
          <w:highlight w:val="none"/>
        </w:rPr>
        <w:t>的凭证</w:t>
      </w:r>
      <w:r>
        <w:rPr>
          <w:rFonts w:hint="eastAsia" w:ascii="宋体" w:hAnsi="宋体" w:eastAsia="宋体" w:cs="宋体"/>
          <w:color w:val="auto"/>
          <w:sz w:val="24"/>
          <w:szCs w:val="24"/>
          <w:highlight w:val="none"/>
        </w:rPr>
        <w:t>；</w:t>
      </w:r>
    </w:p>
    <w:p w14:paraId="342C6F2E">
      <w:pPr>
        <w:pStyle w:val="9"/>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（7）投标承诺书；</w:t>
      </w:r>
    </w:p>
    <w:p w14:paraId="73C0D730">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（8）其他材料（若有）。</w:t>
      </w:r>
    </w:p>
    <w:p w14:paraId="7D641340">
      <w:pPr>
        <w:pageBreakBefore w:val="0"/>
        <w:widowControl w:val="0"/>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3.1.1.3技术标书包含以下内容（详见第八章投标文件格式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格式3）</w:t>
      </w:r>
      <w:r>
        <w:rPr>
          <w:rFonts w:hint="eastAsia" w:ascii="宋体" w:hAnsi="宋体" w:eastAsia="宋体" w:cs="宋体"/>
          <w:color w:val="auto"/>
          <w:sz w:val="24"/>
          <w:szCs w:val="24"/>
          <w:highlight w:val="none"/>
          <w:lang w:eastAsia="zh-CN"/>
        </w:rPr>
        <w:t>：</w:t>
      </w:r>
    </w:p>
    <w:p w14:paraId="5EA99B5F">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bookmarkStart w:id="67" w:name="_Toc263413165"/>
      <w:r>
        <w:rPr>
          <w:rFonts w:hint="eastAsia" w:ascii="宋体" w:hAnsi="宋体" w:eastAsia="宋体" w:cs="宋体"/>
          <w:color w:val="auto"/>
          <w:sz w:val="24"/>
          <w:szCs w:val="24"/>
          <w:highlight w:val="none"/>
        </w:rPr>
        <w:t>一、施工组织设计内容完整性和编制水平</w:t>
      </w:r>
    </w:p>
    <w:p w14:paraId="222D8AA8">
      <w:pPr>
        <w:pStyle w:val="9"/>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二、施工方案与技术措施的合理性、科学性与可行性</w:t>
      </w:r>
    </w:p>
    <w:p w14:paraId="648E8EA9">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三、质量管理体系与措施</w:t>
      </w:r>
    </w:p>
    <w:p w14:paraId="78F3D188">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四、安全管理体系与措施</w:t>
      </w:r>
    </w:p>
    <w:p w14:paraId="11F9C37A">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五、环境保护管理体系与措施</w:t>
      </w:r>
    </w:p>
    <w:p w14:paraId="0A3C4AED">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六、工程建设进度计划与措施</w:t>
      </w:r>
    </w:p>
    <w:p w14:paraId="5B5A85F4">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七、资源配备计划</w:t>
      </w:r>
    </w:p>
    <w:p w14:paraId="083992F7">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3.1.1.4定标文件</w:t>
      </w:r>
      <w:r>
        <w:rPr>
          <w:rFonts w:hint="eastAsia" w:ascii="宋体" w:hAnsi="宋体" w:eastAsia="宋体" w:cs="宋体"/>
          <w:color w:val="auto"/>
          <w:sz w:val="24"/>
          <w:szCs w:val="24"/>
          <w:highlight w:val="none"/>
        </w:rPr>
        <w:t>包含以下内容（详见第八章投标文件格式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495C3CE">
      <w:pPr>
        <w:pageBreakBefore w:val="0"/>
        <w:widowControl w:val="0"/>
        <w:kinsoku/>
        <w:wordWrap/>
        <w:overflowPunct/>
        <w:topLinePunct w:val="0"/>
        <w:autoSpaceDE/>
        <w:autoSpaceDN/>
        <w:bidi w:val="0"/>
        <w:spacing w:line="440" w:lineRule="atLeas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）定标因素评审资料。</w:t>
      </w:r>
    </w:p>
    <w:p w14:paraId="2A62A172">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3.2投标报价</w:t>
      </w:r>
      <w:bookmarkEnd w:id="67"/>
    </w:p>
    <w:p w14:paraId="2C89B90F">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3.2.1投标人应按“投标函及投标函附录”的要求填写相应表格。</w:t>
      </w:r>
    </w:p>
    <w:p w14:paraId="75AE1054">
      <w:pPr>
        <w:pageBreakBefore w:val="0"/>
        <w:widowControl w:val="0"/>
        <w:kinsoku/>
        <w:wordWrap/>
        <w:overflowPunct/>
        <w:topLinePunct w:val="0"/>
        <w:autoSpaceDE/>
        <w:autoSpaceDN/>
        <w:bidi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3.2.2本项目</w:t>
      </w:r>
      <w:r>
        <w:rPr>
          <w:rFonts w:hint="eastAsia" w:ascii="宋体" w:hAnsi="宋体" w:eastAsia="宋体" w:cs="宋体"/>
          <w:color w:val="auto"/>
          <w:sz w:val="24"/>
          <w:szCs w:val="24"/>
          <w:highlight w:val="none"/>
          <w:lang w:eastAsia="zh-CN"/>
        </w:rPr>
        <w:t>最高投标限价</w:t>
      </w:r>
      <w:r>
        <w:rPr>
          <w:rFonts w:hint="eastAsia" w:ascii="宋体" w:hAnsi="宋体" w:eastAsia="宋体" w:cs="宋体"/>
          <w:color w:val="auto"/>
          <w:sz w:val="24"/>
          <w:szCs w:val="24"/>
          <w:highlight w:val="none"/>
        </w:rPr>
        <w:t>见投标人须知前附表。</w:t>
      </w:r>
    </w:p>
    <w:p w14:paraId="6DD2FF01">
      <w:pPr>
        <w:pageBreakBefore w:val="0"/>
        <w:widowControl w:val="0"/>
        <w:kinsoku/>
        <w:wordWrap/>
        <w:overflowPunct/>
        <w:topLinePunct w:val="0"/>
        <w:autoSpaceDE/>
        <w:autoSpaceDN/>
        <w:bidi w:val="0"/>
        <w:snapToGrid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本项目采用下浮率方式进行报价，有效投标报价下浮率为≥0.000%，保留至小数点后三位，不在此范围内的投标报价均为无效投标报价。投标人的投标报价包括所有税收、单位应交的保险、应承担的风险及应提供的服务。</w:t>
      </w:r>
    </w:p>
    <w:p w14:paraId="7010DE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bookmarkStart w:id="68" w:name="_Toc263413166"/>
      <w:r>
        <w:rPr>
          <w:rFonts w:hint="eastAsia" w:ascii="宋体" w:hAnsi="宋体" w:eastAsia="宋体" w:cs="宋体"/>
          <w:color w:val="auto"/>
          <w:sz w:val="24"/>
          <w:szCs w:val="24"/>
          <w:highlight w:val="none"/>
        </w:rPr>
        <w:t>本项目主体工程采用综合单价承包（综合单价为财政审核控制单价×（1-中标下浮率）为中标的综合单价，合同总价为</w:t>
      </w:r>
      <w:r>
        <w:rPr>
          <w:rFonts w:hint="eastAsia" w:ascii="宋体" w:hAnsi="宋体" w:eastAsia="宋体" w:cs="宋体"/>
          <w:color w:val="auto"/>
          <w:sz w:val="24"/>
          <w:szCs w:val="24"/>
          <w:highlight w:val="none"/>
          <w:lang w:eastAsia="zh-CN"/>
        </w:rPr>
        <w:t>（最高投标限价-安全生产措施费、其他临时工程费）</w:t>
      </w:r>
      <w:r>
        <w:rPr>
          <w:rFonts w:hint="eastAsia" w:ascii="宋体" w:hAnsi="宋体" w:eastAsia="宋体" w:cs="宋体"/>
          <w:color w:val="auto"/>
          <w:sz w:val="24"/>
          <w:szCs w:val="24"/>
          <w:highlight w:val="none"/>
        </w:rPr>
        <w:t>×（1-中标下浮率）+</w:t>
      </w:r>
      <w:r>
        <w:rPr>
          <w:rFonts w:hint="eastAsia" w:ascii="宋体" w:hAnsi="宋体" w:eastAsia="宋体" w:cs="宋体"/>
          <w:color w:val="auto"/>
          <w:sz w:val="24"/>
          <w:szCs w:val="24"/>
          <w:highlight w:val="none"/>
          <w:lang w:eastAsia="zh-CN"/>
        </w:rPr>
        <w:t>安全生产措施费</w:t>
      </w:r>
      <w:r>
        <w:rPr>
          <w:rFonts w:hint="eastAsia" w:ascii="宋体" w:hAnsi="宋体" w:eastAsia="宋体" w:cs="宋体"/>
          <w:color w:val="auto"/>
          <w:sz w:val="24"/>
          <w:szCs w:val="24"/>
          <w:highlight w:val="none"/>
        </w:rPr>
        <w:t>、其他临时工程费</w:t>
      </w:r>
      <w:r>
        <w:rPr>
          <w:rFonts w:hint="eastAsia" w:ascii="宋体" w:hAnsi="宋体" w:eastAsia="宋体" w:cs="宋体"/>
          <w:color w:val="auto"/>
          <w:sz w:val="24"/>
          <w:szCs w:val="24"/>
          <w:highlight w:val="none"/>
          <w:lang w:eastAsia="zh-CN"/>
        </w:rPr>
        <w:t>（安全生产措施费、其他临时工程费控制价不下浮）。</w:t>
      </w:r>
    </w:p>
    <w:p w14:paraId="460A5B0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投标人的投标有效投标报价不得高于</w:t>
      </w:r>
      <w:r>
        <w:rPr>
          <w:rFonts w:hint="eastAsia" w:ascii="宋体" w:hAnsi="宋体" w:eastAsia="宋体" w:cs="宋体"/>
          <w:color w:val="auto"/>
          <w:sz w:val="24"/>
          <w:szCs w:val="24"/>
          <w:highlight w:val="none"/>
          <w:lang w:eastAsia="zh-CN"/>
        </w:rPr>
        <w:t>最高投标限价</w:t>
      </w:r>
      <w:r>
        <w:rPr>
          <w:rFonts w:hint="eastAsia" w:ascii="宋体" w:hAnsi="宋体" w:eastAsia="宋体" w:cs="宋体"/>
          <w:color w:val="auto"/>
          <w:sz w:val="24"/>
          <w:szCs w:val="24"/>
          <w:highlight w:val="none"/>
        </w:rPr>
        <w:t>，也不得低于工程成本。如果投标人的投标报价下浮率高于15%时，投标人必须在投标文件中专项作出详细合理的书面说明并提供以往类似工程详细成本分析报告供评标委员会审查。</w:t>
      </w:r>
    </w:p>
    <w:p w14:paraId="6CB66D3B">
      <w:pPr>
        <w:pageBreakBefore w:val="0"/>
        <w:widowControl w:val="0"/>
        <w:kinsoku/>
        <w:wordWrap/>
        <w:overflowPunct/>
        <w:topLinePunct w:val="0"/>
        <w:autoSpaceDE/>
        <w:autoSpaceDN/>
        <w:bidi w:val="0"/>
        <w:spacing w:line="440" w:lineRule="atLeast"/>
        <w:ind w:left="178" w:leftChars="85"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3.3投标有效期</w:t>
      </w:r>
      <w:bookmarkEnd w:id="68"/>
    </w:p>
    <w:p w14:paraId="3B4F193B">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3.3.1在投标人须知前附表规定的投标有效期内，投标人不得要求撤销或修改其投标文件。</w:t>
      </w:r>
    </w:p>
    <w:p w14:paraId="644D15A9">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出现特殊情况需要延长投标有效期的，招标人以网上答疑形式告知所有投标人延长投标有效期。投标人同意延长的，应相应延长其投标保证金的有效期，但不得要求或被允许修改或撤销其投标文件；投标人拒绝延长的，其投标失效，但投标人有权收回其投标保证金。</w:t>
      </w:r>
    </w:p>
    <w:p w14:paraId="4FEAAD9A">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bookmarkStart w:id="69" w:name="_Toc263413167"/>
      <w:r>
        <w:rPr>
          <w:rFonts w:hint="eastAsia" w:ascii="宋体" w:hAnsi="宋体" w:eastAsia="宋体" w:cs="宋体"/>
          <w:b/>
          <w:color w:val="auto"/>
          <w:sz w:val="24"/>
          <w:szCs w:val="24"/>
          <w:highlight w:val="none"/>
        </w:rPr>
        <w:t>3.4投标保证</w:t>
      </w:r>
      <w:bookmarkEnd w:id="69"/>
    </w:p>
    <w:p w14:paraId="705EC0A9">
      <w:pPr>
        <w:pageBreakBefore w:val="0"/>
        <w:widowControl w:val="0"/>
        <w:kinsoku/>
        <w:wordWrap/>
        <w:overflowPunct/>
        <w:topLinePunct w:val="0"/>
        <w:autoSpaceDE/>
        <w:autoSpaceDN/>
        <w:bidi w:val="0"/>
        <w:spacing w:line="440" w:lineRule="atLeast"/>
        <w:ind w:left="178" w:leftChars="85"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3.4.1投标人应按投标人须知前附表规定递交投标保证。</w:t>
      </w:r>
    </w:p>
    <w:p w14:paraId="0CD60BD4">
      <w:pPr>
        <w:pageBreakBefore w:val="0"/>
        <w:widowControl w:val="0"/>
        <w:kinsoku/>
        <w:wordWrap/>
        <w:overflowPunct/>
        <w:topLinePunct w:val="0"/>
        <w:autoSpaceDE/>
        <w:autoSpaceDN/>
        <w:bidi w:val="0"/>
        <w:spacing w:line="440" w:lineRule="atLeast"/>
        <w:ind w:left="178" w:leftChars="85"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3.4.2待中标公示结束且无异议后，投标项目保证金由韶关市公共资源交易中心通过建设工程交易系统退回投标人缴纳账号。中标人的投标保证金退还需在建设工程交易系统上传合同，在韶关市公共资源交易中心工程交易部办理退回手续。如韶关市公共资源交易中心关于投标保证的退回有新规定的，则按新规定执行。</w:t>
      </w:r>
    </w:p>
    <w:p w14:paraId="683A56ED">
      <w:pPr>
        <w:pageBreakBefore w:val="0"/>
        <w:widowControl w:val="0"/>
        <w:kinsoku/>
        <w:wordWrap/>
        <w:overflowPunct/>
        <w:topLinePunct w:val="0"/>
        <w:autoSpaceDE/>
        <w:autoSpaceDN/>
        <w:bidi w:val="0"/>
        <w:spacing w:line="440" w:lineRule="atLeast"/>
        <w:ind w:left="178" w:leftChars="85"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3.4.3投标人不按本章第3.4.1项要求提交投标保证的，其投标文件作无效标书处理。</w:t>
      </w:r>
    </w:p>
    <w:p w14:paraId="120C5E06">
      <w:pPr>
        <w:pageBreakBefore w:val="0"/>
        <w:widowControl w:val="0"/>
        <w:kinsoku/>
        <w:wordWrap/>
        <w:overflowPunct/>
        <w:topLinePunct w:val="0"/>
        <w:autoSpaceDE/>
        <w:autoSpaceDN/>
        <w:bidi w:val="0"/>
        <w:spacing w:line="440" w:lineRule="atLeast"/>
        <w:ind w:left="178" w:leftChars="85"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3.4.4有下列情形之一的，投标保证将不予退还：</w:t>
      </w:r>
    </w:p>
    <w:p w14:paraId="7EE41A0B">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（1）投标人在规定的投标有效期内撤销或修改其投标文件；</w:t>
      </w:r>
    </w:p>
    <w:p w14:paraId="69424BC9">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（2）中标人在收到中标通知书后，无正当理由拒签合同协议书。</w:t>
      </w:r>
    </w:p>
    <w:p w14:paraId="1690E5E7">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3.5资格审查资料</w:t>
      </w:r>
    </w:p>
    <w:p w14:paraId="1A5CC6A7">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3.5.1按投标人须知前附表1.4.1的规定。</w:t>
      </w:r>
    </w:p>
    <w:p w14:paraId="7FCA566B">
      <w:pPr>
        <w:pageBreakBefore w:val="0"/>
        <w:widowControl w:val="0"/>
        <w:tabs>
          <w:tab w:val="left" w:pos="3018"/>
        </w:tabs>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3.6备选投标方案</w:t>
      </w:r>
    </w:p>
    <w:p w14:paraId="09C314E3">
      <w:pPr>
        <w:pageBreakBefore w:val="0"/>
        <w:widowControl w:val="0"/>
        <w:kinsoku/>
        <w:wordWrap/>
        <w:overflowPunct/>
        <w:topLinePunct w:val="0"/>
        <w:autoSpaceDE/>
        <w:autoSpaceDN/>
        <w:bidi w:val="0"/>
        <w:spacing w:line="440" w:lineRule="atLeast"/>
        <w:ind w:left="178" w:leftChars="85"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不接受备选投标方案。</w:t>
      </w:r>
    </w:p>
    <w:p w14:paraId="78F13B6D">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3.7投标文件的编制</w:t>
      </w:r>
    </w:p>
    <w:p w14:paraId="7AECF798">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020C8560">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3.7.2投标文件包括第一册（投标报价书）、第二册（商务标书）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第三册（技术标书）</w:t>
      </w:r>
      <w:r>
        <w:rPr>
          <w:rFonts w:hint="eastAsia" w:ascii="宋体" w:hAnsi="宋体" w:eastAsia="宋体" w:cs="宋体"/>
          <w:color w:val="auto"/>
          <w:sz w:val="24"/>
          <w:szCs w:val="24"/>
          <w:highlight w:val="none"/>
          <w:lang w:val="en-US" w:eastAsia="zh-CN"/>
        </w:rPr>
        <w:t>和第四册（定标文件）四</w:t>
      </w:r>
      <w:r>
        <w:rPr>
          <w:rFonts w:hint="eastAsia" w:ascii="宋体" w:hAnsi="宋体" w:eastAsia="宋体" w:cs="宋体"/>
          <w:color w:val="auto"/>
          <w:sz w:val="24"/>
          <w:szCs w:val="24"/>
          <w:highlight w:val="none"/>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1DFF5A09">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70" w:name="_Toc256773142"/>
      <w:bookmarkStart w:id="71" w:name="_Toc3397"/>
      <w:bookmarkStart w:id="72" w:name="_Toc7255"/>
      <w:bookmarkStart w:id="73" w:name="_Toc11059"/>
      <w:bookmarkStart w:id="74" w:name="_Toc21836"/>
      <w:r>
        <w:rPr>
          <w:rFonts w:hint="eastAsia" w:ascii="宋体" w:hAnsi="宋体" w:eastAsia="宋体" w:cs="宋体"/>
          <w:color w:val="auto"/>
          <w:sz w:val="28"/>
          <w:szCs w:val="28"/>
        </w:rPr>
        <w:t>4投标</w:t>
      </w:r>
      <w:bookmarkEnd w:id="70"/>
      <w:bookmarkEnd w:id="71"/>
      <w:bookmarkEnd w:id="72"/>
      <w:bookmarkEnd w:id="73"/>
      <w:bookmarkEnd w:id="74"/>
    </w:p>
    <w:p w14:paraId="6FA63F0E">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4.1电子投标</w:t>
      </w:r>
    </w:p>
    <w:p w14:paraId="6F300ED9">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1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336A284F">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17490AAF">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4.1.3 </w:t>
      </w:r>
      <w:r>
        <w:rPr>
          <w:rFonts w:hint="eastAsia" w:ascii="宋体" w:hAnsi="宋体" w:eastAsia="宋体" w:cs="宋体"/>
          <w:color w:val="auto"/>
          <w:sz w:val="24"/>
          <w:szCs w:val="24"/>
          <w:highlight w:val="none"/>
        </w:rPr>
        <w:t>电子投标解密失败及突发情况的补救</w:t>
      </w:r>
    </w:p>
    <w:p w14:paraId="22FE2494">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4F837BED">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4.1.4</w:t>
      </w:r>
      <w:r>
        <w:rPr>
          <w:rFonts w:hint="eastAsia" w:ascii="宋体" w:hAnsi="宋体" w:eastAsia="宋体" w:cs="宋体"/>
          <w:color w:val="auto"/>
          <w:sz w:val="24"/>
          <w:szCs w:val="24"/>
          <w:highlight w:val="none"/>
        </w:rPr>
        <w:t>补救方案：</w:t>
      </w:r>
    </w:p>
    <w:p w14:paraId="632DF47F">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投标文件解密失败的补救方案：在规定时间内，因投标人之外原因(指网络瘫痪、服务器损坏、交易系统故障短期无法恢复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等导致的电子投标文件解密失败，在开标现场解密环节由代理授权后，解密失败投标人可在建设工程交易系统在规定时间（代理机构授权后30分钟内）内重新提交投标文件继续开标程序。</w:t>
      </w:r>
    </w:p>
    <w:p w14:paraId="5077C13F">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0CB83670">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（3）除发生上述情况外，开标评标均以投标人通过交易平台网上提交的电子投标文件为准。</w:t>
      </w:r>
    </w:p>
    <w:p w14:paraId="56C3785D">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4.2电子投标文件的修改、撤回</w:t>
      </w:r>
    </w:p>
    <w:p w14:paraId="251CEEB6">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28032055">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4.3投标文件的</w:t>
      </w:r>
      <w:r>
        <w:rPr>
          <w:rFonts w:hint="eastAsia" w:ascii="宋体" w:hAnsi="宋体" w:eastAsia="宋体" w:cs="宋体"/>
          <w:b/>
          <w:color w:val="auto"/>
          <w:sz w:val="24"/>
          <w:szCs w:val="24"/>
          <w:highlight w:val="none"/>
          <w:lang w:val="en-US" w:eastAsia="zh-CN"/>
        </w:rPr>
        <w:t>提交</w:t>
      </w:r>
    </w:p>
    <w:p w14:paraId="5C07AC80">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投标人必须在规定的截止时间前使用交易系统完成缴纳投标保</w:t>
      </w:r>
      <w:r>
        <w:rPr>
          <w:rFonts w:hint="eastAsia" w:ascii="宋体" w:hAnsi="宋体" w:eastAsia="宋体" w:cs="宋体"/>
          <w:color w:val="auto"/>
          <w:sz w:val="24"/>
          <w:szCs w:val="24"/>
          <w:highlight w:val="none"/>
          <w:lang w:eastAsia="zh-CN"/>
        </w:rPr>
        <w:t>证金</w:t>
      </w:r>
      <w:r>
        <w:rPr>
          <w:rFonts w:hint="eastAsia" w:ascii="宋体" w:hAnsi="宋体" w:eastAsia="宋体" w:cs="宋体"/>
          <w:color w:val="auto"/>
          <w:sz w:val="24"/>
          <w:szCs w:val="24"/>
          <w:highlight w:val="none"/>
        </w:rPr>
        <w:t>和全流程电子投标，只有满足以上所有条件，方为有效投标。</w:t>
      </w:r>
    </w:p>
    <w:p w14:paraId="308AECE5">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.1在电子投标截止时间前，投标人通过全国公共资源交易平台（广东省·韶关市）提交已加密投标文件。逾期提交的电子投标文件，全国公共资源交易平台（广东省·韶关市）将予以拒收。</w:t>
      </w:r>
    </w:p>
    <w:p w14:paraId="144F4B09">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.2投标文件提交截止时间（同电子投标截止时间）：见“重要事项时间地点一览表”。</w:t>
      </w:r>
    </w:p>
    <w:p w14:paraId="617A8ACB">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 xml:space="preserve">.3代理机构对因不可抗力事件造成的投标文件的损坏、丢失的，不承担责任。  </w:t>
      </w:r>
    </w:p>
    <w:p w14:paraId="49D94632">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.4 投标人法定代表人或其委托代理人（以下简称“投标人代表”）应在指定的时间和地点递交</w:t>
      </w:r>
      <w:r>
        <w:rPr>
          <w:rFonts w:hint="eastAsia" w:ascii="宋体" w:hAnsi="宋体" w:eastAsia="宋体" w:cs="宋体"/>
          <w:color w:val="auto"/>
          <w:sz w:val="24"/>
          <w:szCs w:val="24"/>
          <w:highlight w:val="none"/>
          <w:lang w:eastAsia="zh-CN"/>
        </w:rPr>
        <w:t>以下</w:t>
      </w:r>
      <w:r>
        <w:rPr>
          <w:rFonts w:hint="eastAsia" w:ascii="宋体" w:hAnsi="宋体" w:eastAsia="宋体" w:cs="宋体"/>
          <w:color w:val="auto"/>
          <w:sz w:val="24"/>
          <w:szCs w:val="24"/>
          <w:highlight w:val="none"/>
        </w:rPr>
        <w:t>资料（如有）：招标文件要求提交的用于评审的证书、证件、证明原件（附一式 两 份清单）。</w:t>
      </w:r>
    </w:p>
    <w:p w14:paraId="3814CC3E">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.5出现下述情形之一，属于未成功提交投标文件，按无效投标处理：</w:t>
      </w:r>
    </w:p>
    <w:p w14:paraId="249C58AC">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（1）至电子投标截止时间时，投标文件未完整上传或未提交投标；</w:t>
      </w:r>
    </w:p>
    <w:p w14:paraId="4697E0F8">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（2）解密失败且在规定时间内未重新提交投标文件的；</w:t>
      </w:r>
    </w:p>
    <w:p w14:paraId="0D66E649">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（3）投标文件损坏或格式不正确的。</w:t>
      </w:r>
    </w:p>
    <w:p w14:paraId="5448AA08">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75" w:name="_Toc3237"/>
      <w:bookmarkStart w:id="76" w:name="_Toc19087"/>
      <w:bookmarkStart w:id="77" w:name="_Toc25263"/>
      <w:bookmarkStart w:id="78" w:name="_Toc20841"/>
      <w:bookmarkStart w:id="79" w:name="_Toc256773143"/>
      <w:r>
        <w:rPr>
          <w:rFonts w:hint="eastAsia" w:ascii="宋体" w:hAnsi="宋体" w:eastAsia="宋体" w:cs="宋体"/>
          <w:color w:val="auto"/>
          <w:sz w:val="28"/>
          <w:szCs w:val="28"/>
        </w:rPr>
        <w:t>5开标</w:t>
      </w:r>
      <w:bookmarkEnd w:id="75"/>
      <w:bookmarkEnd w:id="76"/>
      <w:bookmarkEnd w:id="77"/>
      <w:bookmarkEnd w:id="78"/>
      <w:bookmarkEnd w:id="79"/>
    </w:p>
    <w:p w14:paraId="41EA1660">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5.1开标时间和地点</w:t>
      </w:r>
    </w:p>
    <w:p w14:paraId="3D8CE61B">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bookmarkStart w:id="80" w:name="_Toc256773144"/>
      <w:r>
        <w:rPr>
          <w:rFonts w:hint="eastAsia" w:ascii="宋体" w:hAnsi="宋体" w:eastAsia="宋体" w:cs="宋体"/>
          <w:color w:val="auto"/>
          <w:sz w:val="24"/>
          <w:szCs w:val="24"/>
          <w:highlight w:val="none"/>
          <w:lang w:val="en-US" w:eastAsia="zh-CN"/>
        </w:rPr>
        <w:t>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699CD5C6">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 开标时间和地点：见“重要事项时间地点一览表”。</w:t>
      </w:r>
    </w:p>
    <w:p w14:paraId="5E70B92D">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 开标前24小时，若建设工程交易系统显示缴纳投标保证（包括投标保证金、投标保证担保、投标保证保险）的投标人数量不足3个时，招标人将取消原定于次日召开的开标活动。投标人可在投标保证缴纳截止时间（见“重要事项时间地点一览表”）至电子投标截止时间（见“重要事项时间地点一览表”）期间登录全国公共资源交易平台（广东省·韶关市）（https://ygp.gdzwfw.gov.cn/ggzy-portal/#/440200/index）查询是否发布了取消开标活动的相关信息。</w:t>
      </w:r>
    </w:p>
    <w:p w14:paraId="79533206">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5.1.3本项目实行全流程电子化招标投标，投标人在交易平台按要求上传加盖电子印章并经加密的电子投标文件，并在交易平台录入准确的页码信息即可完成在线投标。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251C65D">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5.2开标程序</w:t>
      </w:r>
    </w:p>
    <w:p w14:paraId="5C006894">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bookmarkStart w:id="81" w:name="_Toc48665968"/>
      <w:r>
        <w:rPr>
          <w:rFonts w:hint="eastAsia" w:ascii="宋体" w:hAnsi="宋体" w:eastAsia="宋体" w:cs="宋体"/>
          <w:color w:val="auto"/>
          <w:sz w:val="24"/>
          <w:szCs w:val="24"/>
          <w:highlight w:val="none"/>
          <w:lang w:val="en-US" w:eastAsia="zh-CN"/>
        </w:rPr>
        <w:t>（1）主持人（招标人代表或招标人授权的招标代理机构人员）宣读开标纪律。</w:t>
      </w:r>
    </w:p>
    <w:p w14:paraId="1E6A6726">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（2）主持人宣布唱标人、记录人、见证人、监督人等有关人员姓名。</w:t>
      </w:r>
    </w:p>
    <w:p w14:paraId="2B1753E1">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（3）招标代理机构在交易场所工作人员见证下对投标人的电子投标信息进行解密，建设工程交易系统自动生成《投标保证缴纳情况表》和《开标一览表》。</w:t>
      </w:r>
    </w:p>
    <w:p w14:paraId="3586AC4E">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（4）唱标人检查《投标保证缴纳情况表》中各投标人所缴纳投标保证的金额、有效期是否符合招标文件规定。若不符合规定，该投标人的投标无效。将有关情形在《投标保证缴纳情况表》“备注”栏中注明。</w:t>
      </w:r>
    </w:p>
    <w:p w14:paraId="31A9BC4B">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（5）唱标人检查《开标一览表》中各投标人的投标总价、质量标准、工期是否符合招标文件规定。若不符合规定，招标代理机构应将有关情形在《开标一览表》“备注”栏中注明。</w:t>
      </w:r>
    </w:p>
    <w:p w14:paraId="6DF6021C">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（6）投标人代表、招标人代表、唱标人、记录人等有关人员在《投标保证缴纳情况表》以及《开标一览表》上签字确认。</w:t>
      </w:r>
    </w:p>
    <w:p w14:paraId="6327F40C">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（7）主持人宣布有关注意事项后，宣布开标结束。</w:t>
      </w:r>
    </w:p>
    <w:p w14:paraId="248490E6">
      <w:pPr>
        <w:pageBreakBefore w:val="0"/>
        <w:widowControl w:val="0"/>
        <w:kinsoku/>
        <w:wordWrap/>
        <w:overflowPunct/>
        <w:topLinePunct w:val="0"/>
        <w:autoSpaceDE/>
        <w:autoSpaceDN/>
        <w:bidi w:val="0"/>
        <w:spacing w:line="440" w:lineRule="atLeas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bookmarkEnd w:id="81"/>
      <w:r>
        <w:rPr>
          <w:rFonts w:hint="eastAsia" w:ascii="宋体" w:hAnsi="宋体" w:eastAsia="宋体" w:cs="宋体"/>
          <w:b/>
          <w:bCs/>
          <w:color w:val="auto"/>
          <w:sz w:val="24"/>
          <w:szCs w:val="24"/>
          <w:highlight w:val="none"/>
          <w:lang w:val="en-US" w:eastAsia="zh-CN"/>
        </w:rPr>
        <w:t>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19089AE2">
      <w:pPr>
        <w:pageBreakBefore w:val="0"/>
        <w:widowControl w:val="0"/>
        <w:kinsoku/>
        <w:wordWrap/>
        <w:overflowPunct/>
        <w:topLinePunct w:val="0"/>
        <w:autoSpaceDE/>
        <w:autoSpaceDN/>
        <w:bidi w:val="0"/>
        <w:spacing w:line="440" w:lineRule="atLeast"/>
        <w:ind w:firstLine="480" w:firstLineChars="200"/>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.3 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4EF875EE">
      <w:pPr>
        <w:pageBreakBefore w:val="0"/>
        <w:widowControl w:val="0"/>
        <w:kinsoku/>
        <w:wordWrap/>
        <w:overflowPunct/>
        <w:topLinePunct w:val="0"/>
        <w:autoSpaceDE/>
        <w:autoSpaceDN/>
        <w:bidi w:val="0"/>
        <w:spacing w:line="440" w:lineRule="atLeast"/>
        <w:ind w:firstLine="480" w:firstLineChars="200"/>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.4 招标代理机构将资料原件（如有）、《开标一览表》以及其他有关资料移交评标委员会。</w:t>
      </w:r>
    </w:p>
    <w:p w14:paraId="30893C02">
      <w:pPr>
        <w:pStyle w:val="3"/>
        <w:keepNext/>
        <w:keepLines/>
        <w:pageBreakBefore w:val="0"/>
        <w:widowControl w:val="0"/>
        <w:kinsoku/>
        <w:wordWrap/>
        <w:overflowPunct/>
        <w:topLinePunct w:val="0"/>
        <w:autoSpaceDE/>
        <w:autoSpaceDN/>
        <w:bidi w:val="0"/>
        <w:adjustRightInd/>
        <w:snapToGrid/>
        <w:spacing w:before="20" w:after="20" w:line="420" w:lineRule="atLeast"/>
        <w:jc w:val="left"/>
        <w:textAlignment w:val="auto"/>
        <w:rPr>
          <w:rFonts w:hint="eastAsia" w:ascii="宋体" w:hAnsi="宋体" w:eastAsia="宋体" w:cs="宋体"/>
          <w:color w:val="auto"/>
          <w:sz w:val="28"/>
          <w:szCs w:val="28"/>
        </w:rPr>
      </w:pPr>
      <w:bookmarkStart w:id="82" w:name="_Toc9811"/>
      <w:bookmarkStart w:id="83" w:name="_Toc11450"/>
      <w:bookmarkStart w:id="84" w:name="_Toc20121"/>
      <w:bookmarkStart w:id="85" w:name="_Toc27384"/>
      <w:r>
        <w:rPr>
          <w:rFonts w:hint="eastAsia" w:ascii="宋体" w:hAnsi="宋体" w:eastAsia="宋体" w:cs="宋体"/>
          <w:color w:val="auto"/>
          <w:sz w:val="28"/>
          <w:szCs w:val="28"/>
        </w:rPr>
        <w:t>6评标</w:t>
      </w:r>
      <w:bookmarkEnd w:id="80"/>
      <w:bookmarkEnd w:id="82"/>
      <w:bookmarkEnd w:id="83"/>
      <w:bookmarkEnd w:id="84"/>
      <w:bookmarkEnd w:id="85"/>
    </w:p>
    <w:p w14:paraId="219E280F">
      <w:pPr>
        <w:pageBreakBefore w:val="0"/>
        <w:widowControl w:val="0"/>
        <w:kinsoku/>
        <w:wordWrap/>
        <w:overflowPunct/>
        <w:topLinePunct w:val="0"/>
        <w:autoSpaceDE/>
        <w:autoSpaceDN/>
        <w:bidi w:val="0"/>
        <w:spacing w:line="420" w:lineRule="atLeas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6.1评标委员会</w:t>
      </w:r>
    </w:p>
    <w:p w14:paraId="2F6473C7">
      <w:pPr>
        <w:pageBreakBefore w:val="0"/>
        <w:widowControl w:val="0"/>
        <w:kinsoku/>
        <w:wordWrap/>
        <w:overflowPunct/>
        <w:topLinePunct w:val="0"/>
        <w:autoSpaceDE/>
        <w:autoSpaceDN/>
        <w:bidi w:val="0"/>
        <w:spacing w:line="420" w:lineRule="atLeas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6.1.1评标由招标人依法组建的评标委员会负责。评标委员会由有关技术、经济等方面的专家组成，专家的确定方式见投标人须知前附表。</w:t>
      </w:r>
    </w:p>
    <w:p w14:paraId="2C4A6911">
      <w:pPr>
        <w:pageBreakBefore w:val="0"/>
        <w:widowControl w:val="0"/>
        <w:kinsoku/>
        <w:wordWrap/>
        <w:overflowPunct/>
        <w:topLinePunct w:val="0"/>
        <w:autoSpaceDE/>
        <w:autoSpaceDN/>
        <w:bidi w:val="0"/>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6.1.2评标委员会成员有下列情形之一的，应当回避：</w:t>
      </w:r>
    </w:p>
    <w:p w14:paraId="111D8181">
      <w:pPr>
        <w:pageBreakBefore w:val="0"/>
        <w:widowControl w:val="0"/>
        <w:kinsoku/>
        <w:wordWrap/>
        <w:overflowPunct/>
        <w:topLinePunct w:val="0"/>
        <w:autoSpaceDE/>
        <w:autoSpaceDN/>
        <w:bidi w:val="0"/>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（1）招标人或投标人的主要负责人的近亲属；</w:t>
      </w:r>
    </w:p>
    <w:p w14:paraId="1631FCF7">
      <w:pPr>
        <w:pageBreakBefore w:val="0"/>
        <w:widowControl w:val="0"/>
        <w:kinsoku/>
        <w:wordWrap/>
        <w:overflowPunct/>
        <w:topLinePunct w:val="0"/>
        <w:autoSpaceDE/>
        <w:autoSpaceDN/>
        <w:bidi w:val="0"/>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51E5DBFD">
      <w:pPr>
        <w:pageBreakBefore w:val="0"/>
        <w:widowControl w:val="0"/>
        <w:kinsoku/>
        <w:wordWrap/>
        <w:overflowPunct/>
        <w:topLinePunct w:val="0"/>
        <w:autoSpaceDE/>
        <w:autoSpaceDN/>
        <w:bidi w:val="0"/>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（3）与投标人有经济利益关系，可能影响对投标公正评审的；</w:t>
      </w:r>
    </w:p>
    <w:p w14:paraId="578F8A50">
      <w:pPr>
        <w:pageBreakBefore w:val="0"/>
        <w:widowControl w:val="0"/>
        <w:kinsoku/>
        <w:wordWrap/>
        <w:overflowPunct/>
        <w:topLinePunct w:val="0"/>
        <w:autoSpaceDE/>
        <w:autoSpaceDN/>
        <w:bidi w:val="0"/>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2142B057">
      <w:pPr>
        <w:pageBreakBefore w:val="0"/>
        <w:widowControl w:val="0"/>
        <w:kinsoku/>
        <w:wordWrap/>
        <w:overflowPunct/>
        <w:topLinePunct w:val="0"/>
        <w:autoSpaceDE/>
        <w:autoSpaceDN/>
        <w:bidi w:val="0"/>
        <w:adjustRightInd w:val="0"/>
        <w:snapToGrid w:val="0"/>
        <w:spacing w:line="420" w:lineRule="atLeas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14:paraId="3DE36C61">
      <w:pPr>
        <w:pageBreakBefore w:val="0"/>
        <w:widowControl w:val="0"/>
        <w:kinsoku/>
        <w:wordWrap/>
        <w:overflowPunct/>
        <w:topLinePunct w:val="0"/>
        <w:autoSpaceDE/>
        <w:autoSpaceDN/>
        <w:bidi w:val="0"/>
        <w:spacing w:line="420" w:lineRule="atLeas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6.2评标原则</w:t>
      </w:r>
    </w:p>
    <w:p w14:paraId="233CBF92">
      <w:pPr>
        <w:pageBreakBefore w:val="0"/>
        <w:widowControl w:val="0"/>
        <w:kinsoku/>
        <w:wordWrap/>
        <w:overflowPunct/>
        <w:topLinePunct w:val="0"/>
        <w:autoSpaceDE/>
        <w:autoSpaceDN/>
        <w:bidi w:val="0"/>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090228D4">
      <w:pPr>
        <w:pageBreakBefore w:val="0"/>
        <w:widowControl w:val="0"/>
        <w:kinsoku/>
        <w:wordWrap/>
        <w:overflowPunct/>
        <w:topLinePunct w:val="0"/>
        <w:autoSpaceDE/>
        <w:autoSpaceDN/>
        <w:bidi w:val="0"/>
        <w:spacing w:line="420" w:lineRule="atLeas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6.3评标</w:t>
      </w:r>
    </w:p>
    <w:p w14:paraId="010C1940">
      <w:pPr>
        <w:pageBreakBefore w:val="0"/>
        <w:widowControl w:val="0"/>
        <w:kinsoku/>
        <w:wordWrap/>
        <w:overflowPunct/>
        <w:topLinePunct w:val="0"/>
        <w:autoSpaceDE/>
        <w:autoSpaceDN/>
        <w:bidi w:val="0"/>
        <w:adjustRightInd w:val="0"/>
        <w:snapToGrid w:val="0"/>
        <w:spacing w:line="420" w:lineRule="atLeast"/>
        <w:ind w:left="210" w:leftChars="1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评标委员会按照第三章“</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评标办法”规定的方法、评审因素、标准和程序对投标文件进行评审。第三章“</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评标办法”没有规定的方法、评审因素和标准，不作为评标依据。</w:t>
      </w:r>
    </w:p>
    <w:p w14:paraId="6E68DC90">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lang w:val="en-US" w:eastAsia="zh-CN"/>
        </w:rPr>
      </w:pPr>
      <w:bookmarkStart w:id="86" w:name="_Toc16165"/>
      <w:r>
        <w:rPr>
          <w:rFonts w:hint="eastAsia" w:ascii="宋体" w:hAnsi="宋体" w:eastAsia="宋体" w:cs="宋体"/>
          <w:color w:val="auto"/>
          <w:sz w:val="28"/>
          <w:szCs w:val="28"/>
          <w:lang w:val="en-US" w:eastAsia="zh-CN"/>
        </w:rPr>
        <w:t>7 定标</w:t>
      </w:r>
      <w:bookmarkEnd w:id="86"/>
    </w:p>
    <w:p w14:paraId="75BF1224">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 组建招标监督小组</w:t>
      </w:r>
      <w:r>
        <w:rPr>
          <w:rFonts w:hint="eastAsia" w:ascii="宋体" w:hAnsi="宋体" w:eastAsia="宋体" w:cs="宋体"/>
          <w:b/>
          <w:color w:val="auto"/>
          <w:sz w:val="24"/>
          <w:szCs w:val="24"/>
          <w:highlight w:val="none"/>
          <w:lang w:val="en-US" w:eastAsia="zh-CN"/>
        </w:rPr>
        <w:tab/>
      </w:r>
    </w:p>
    <w:p w14:paraId="4E74C9A1">
      <w:pPr>
        <w:pageBreakBefore w:val="0"/>
        <w:widowControl w:val="0"/>
        <w:kinsoku/>
        <w:wordWrap/>
        <w:overflowPunct/>
        <w:topLinePunct w:val="0"/>
        <w:autoSpaceDE/>
        <w:autoSpaceDN/>
        <w:bidi w:val="0"/>
        <w:adjustRightInd w:val="0"/>
        <w:snapToGrid w:val="0"/>
        <w:spacing w:line="440" w:lineRule="atLeast"/>
        <w:ind w:left="210" w:leftChars="100"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4C5EF26A">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7.2定标委员会</w:t>
      </w:r>
    </w:p>
    <w:p w14:paraId="0C0A2F32">
      <w:pPr>
        <w:pageBreakBefore w:val="0"/>
        <w:widowControl w:val="0"/>
        <w:kinsoku/>
        <w:wordWrap/>
        <w:overflowPunct/>
        <w:topLinePunct w:val="0"/>
        <w:autoSpaceDE/>
        <w:autoSpaceDN/>
        <w:bidi w:val="0"/>
        <w:adjustRightInd w:val="0"/>
        <w:snapToGrid w:val="0"/>
        <w:spacing w:line="440" w:lineRule="atLeast"/>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定标委员会成员数量在本投标人须知前附表中约定。</w:t>
      </w:r>
    </w:p>
    <w:p w14:paraId="40CA501E">
      <w:pPr>
        <w:pageBreakBefore w:val="0"/>
        <w:widowControl w:val="0"/>
        <w:kinsoku/>
        <w:wordWrap/>
        <w:overflowPunct/>
        <w:topLinePunct w:val="0"/>
        <w:autoSpaceDE/>
        <w:autoSpaceDN/>
        <w:bidi w:val="0"/>
        <w:adjustRightInd w:val="0"/>
        <w:snapToGrid w:val="0"/>
        <w:spacing w:line="440" w:lineRule="atLeast"/>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.2定标委员会应当根据招标文件规定的定标方法和细则，对定标候选人进行系统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470E8FC7">
      <w:pPr>
        <w:pageBreakBefore w:val="0"/>
        <w:widowControl w:val="0"/>
        <w:kinsoku/>
        <w:wordWrap/>
        <w:overflowPunct/>
        <w:topLinePunct w:val="0"/>
        <w:autoSpaceDE/>
        <w:autoSpaceDN/>
        <w:bidi w:val="0"/>
        <w:adjustRightInd w:val="0"/>
        <w:snapToGrid w:val="0"/>
        <w:spacing w:line="440" w:lineRule="atLeast"/>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40D5CE47">
      <w:pPr>
        <w:pageBreakBefore w:val="0"/>
        <w:widowControl w:val="0"/>
        <w:kinsoku/>
        <w:wordWrap/>
        <w:overflowPunct/>
        <w:topLinePunct w:val="0"/>
        <w:autoSpaceDE/>
        <w:autoSpaceDN/>
        <w:bidi w:val="0"/>
        <w:spacing w:line="420" w:lineRule="atLeast"/>
        <w:ind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7.3确定定标时间</w:t>
      </w:r>
      <w:r>
        <w:rPr>
          <w:rFonts w:hint="eastAsia" w:ascii="宋体" w:hAnsi="宋体" w:eastAsia="宋体" w:cs="宋体"/>
          <w:b/>
          <w:color w:val="auto"/>
          <w:sz w:val="24"/>
          <w:szCs w:val="24"/>
          <w:highlight w:val="none"/>
          <w:lang w:val="en-US" w:eastAsia="zh-CN"/>
        </w:rPr>
        <w:tab/>
      </w:r>
    </w:p>
    <w:p w14:paraId="0E13B40B">
      <w:pPr>
        <w:pageBreakBefore w:val="0"/>
        <w:widowControl w:val="0"/>
        <w:kinsoku/>
        <w:wordWrap/>
        <w:overflowPunct/>
        <w:topLinePunct w:val="0"/>
        <w:autoSpaceDE/>
        <w:autoSpaceDN/>
        <w:bidi w:val="0"/>
        <w:adjustRightInd w:val="0"/>
        <w:snapToGrid w:val="0"/>
        <w:spacing w:line="420" w:lineRule="atLeast"/>
        <w:ind w:left="210" w:leftChars="1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205AA330">
      <w:pPr>
        <w:pageBreakBefore w:val="0"/>
        <w:widowControl w:val="0"/>
        <w:kinsoku/>
        <w:wordWrap/>
        <w:overflowPunct/>
        <w:topLinePunct w:val="0"/>
        <w:autoSpaceDE/>
        <w:autoSpaceDN/>
        <w:bidi w:val="0"/>
        <w:spacing w:line="420" w:lineRule="atLeast"/>
        <w:ind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7.4定标原则</w:t>
      </w:r>
    </w:p>
    <w:p w14:paraId="129E5A7E">
      <w:pPr>
        <w:pageBreakBefore w:val="0"/>
        <w:widowControl w:val="0"/>
        <w:kinsoku/>
        <w:wordWrap/>
        <w:overflowPunct/>
        <w:topLinePunct w:val="0"/>
        <w:autoSpaceDE/>
        <w:autoSpaceDN/>
        <w:bidi w:val="0"/>
        <w:adjustRightInd w:val="0"/>
        <w:snapToGrid w:val="0"/>
        <w:spacing w:line="420" w:lineRule="atLeast"/>
        <w:ind w:left="210" w:leftChars="1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活动遵循公平、公正、科学和择优的原则。</w:t>
      </w:r>
    </w:p>
    <w:p w14:paraId="0192E625">
      <w:pPr>
        <w:pageBreakBefore w:val="0"/>
        <w:widowControl w:val="0"/>
        <w:kinsoku/>
        <w:wordWrap/>
        <w:overflowPunct/>
        <w:topLinePunct w:val="0"/>
        <w:autoSpaceDE/>
        <w:autoSpaceDN/>
        <w:bidi w:val="0"/>
        <w:spacing w:line="420" w:lineRule="atLeast"/>
        <w:ind w:firstLine="482" w:firstLineChars="200"/>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7.5定标方法</w:t>
      </w:r>
    </w:p>
    <w:p w14:paraId="2A7ACF22">
      <w:pPr>
        <w:pageBreakBefore w:val="0"/>
        <w:widowControl w:val="0"/>
        <w:kinsoku/>
        <w:wordWrap/>
        <w:overflowPunct/>
        <w:topLinePunct w:val="0"/>
        <w:autoSpaceDE/>
        <w:autoSpaceDN/>
        <w:bidi w:val="0"/>
        <w:adjustRightInd w:val="0"/>
        <w:snapToGrid w:val="0"/>
        <w:spacing w:line="420" w:lineRule="atLeast"/>
        <w:ind w:left="210" w:leftChars="1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委员会按照第三章“</w:t>
      </w:r>
      <w:r>
        <w:rPr>
          <w:rFonts w:hint="eastAsia" w:ascii="宋体" w:hAnsi="宋体" w:eastAsia="宋体" w:cs="宋体"/>
          <w:color w:val="auto"/>
          <w:sz w:val="24"/>
          <w:szCs w:val="24"/>
          <w:highlight w:val="none"/>
          <w:lang w:val="en-US" w:eastAsia="zh-CN"/>
        </w:rPr>
        <w:t>八、定标办法</w:t>
      </w:r>
      <w:r>
        <w:rPr>
          <w:rFonts w:hint="eastAsia" w:ascii="宋体" w:hAnsi="宋体" w:eastAsia="宋体" w:cs="宋体"/>
          <w:color w:val="auto"/>
          <w:sz w:val="24"/>
          <w:szCs w:val="24"/>
          <w:highlight w:val="none"/>
        </w:rPr>
        <w:t>”规定的方法、</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因素、标准和程序对投标文件进行评审。</w:t>
      </w:r>
    </w:p>
    <w:p w14:paraId="784E814A">
      <w:pPr>
        <w:pStyle w:val="3"/>
        <w:keepNext/>
        <w:keepLines/>
        <w:pageBreakBefore w:val="0"/>
        <w:widowControl w:val="0"/>
        <w:kinsoku/>
        <w:wordWrap/>
        <w:overflowPunct/>
        <w:topLinePunct w:val="0"/>
        <w:autoSpaceDE/>
        <w:autoSpaceDN/>
        <w:bidi w:val="0"/>
        <w:adjustRightInd/>
        <w:snapToGrid/>
        <w:spacing w:before="20" w:after="20" w:line="420" w:lineRule="atLeast"/>
        <w:jc w:val="left"/>
        <w:textAlignment w:val="auto"/>
        <w:rPr>
          <w:rFonts w:hint="eastAsia" w:ascii="宋体" w:hAnsi="宋体" w:eastAsia="宋体" w:cs="宋体"/>
          <w:color w:val="auto"/>
          <w:sz w:val="28"/>
          <w:szCs w:val="28"/>
        </w:rPr>
      </w:pPr>
      <w:bookmarkStart w:id="87" w:name="_Toc15670"/>
      <w:bookmarkStart w:id="88" w:name="_Toc256773145"/>
      <w:bookmarkStart w:id="89" w:name="_Toc20419"/>
      <w:bookmarkStart w:id="90" w:name="_Toc2573"/>
      <w:bookmarkStart w:id="91" w:name="_Toc32590"/>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合同授予</w:t>
      </w:r>
      <w:bookmarkEnd w:id="87"/>
      <w:bookmarkEnd w:id="88"/>
      <w:bookmarkEnd w:id="89"/>
      <w:bookmarkEnd w:id="90"/>
      <w:bookmarkEnd w:id="91"/>
    </w:p>
    <w:p w14:paraId="6D7F113A">
      <w:pPr>
        <w:pageBreakBefore w:val="0"/>
        <w:widowControl w:val="0"/>
        <w:kinsoku/>
        <w:wordWrap/>
        <w:overflowPunct/>
        <w:topLinePunct w:val="0"/>
        <w:autoSpaceDE/>
        <w:autoSpaceDN/>
        <w:bidi w:val="0"/>
        <w:spacing w:line="420" w:lineRule="atLeas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.1定标方式</w:t>
      </w:r>
    </w:p>
    <w:p w14:paraId="00F8C525">
      <w:pPr>
        <w:pageBreakBefore w:val="0"/>
        <w:widowControl w:val="0"/>
        <w:kinsoku/>
        <w:wordWrap/>
        <w:overflowPunct/>
        <w:topLinePunct w:val="0"/>
        <w:autoSpaceDE/>
        <w:autoSpaceDN/>
        <w:bidi w:val="0"/>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val="en-US" w:eastAsia="zh-CN"/>
        </w:rPr>
        <w:t>从评标委员会推荐的定标候选人（不排序）中</w:t>
      </w:r>
      <w:r>
        <w:rPr>
          <w:rFonts w:hint="eastAsia" w:ascii="宋体" w:hAnsi="宋体" w:eastAsia="宋体" w:cs="宋体"/>
          <w:color w:val="auto"/>
          <w:sz w:val="24"/>
          <w:szCs w:val="24"/>
          <w:highlight w:val="none"/>
        </w:rPr>
        <w:t>推荐3名中标候选人，并标明推荐顺序。招标人依据</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委员会推荐的中标候选人确定中标人。</w:t>
      </w:r>
    </w:p>
    <w:p w14:paraId="27455F05">
      <w:pPr>
        <w:pageBreakBefore w:val="0"/>
        <w:widowControl w:val="0"/>
        <w:kinsoku/>
        <w:wordWrap/>
        <w:overflowPunct/>
        <w:topLinePunct w:val="0"/>
        <w:autoSpaceDE/>
        <w:autoSpaceDN/>
        <w:bidi w:val="0"/>
        <w:spacing w:line="420" w:lineRule="atLeas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.2中标通知</w:t>
      </w:r>
    </w:p>
    <w:p w14:paraId="07A6F7F5">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在本章第3.3款规定的投标有效期内，招标人以书面形式向中标人发出中标通知书，由于对评标结果以网上形式进行了公示，因此招标人向中标人发出中标通知时，不再将中标结果通知未中标的投标人。</w:t>
      </w:r>
    </w:p>
    <w:p w14:paraId="6B2A342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签订合同</w:t>
      </w:r>
    </w:p>
    <w:p w14:paraId="57060358">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w:t>
      </w:r>
      <w:r>
        <w:rPr>
          <w:rFonts w:hint="eastAsia" w:ascii="宋体" w:hAnsi="宋体" w:eastAsia="宋体" w:cs="宋体"/>
          <w:color w:val="auto"/>
          <w:sz w:val="24"/>
          <w:szCs w:val="24"/>
          <w:highlight w:val="none"/>
          <w:lang w:val="en-US" w:eastAsia="zh-CN"/>
        </w:rPr>
        <w:t>金额和</w:t>
      </w:r>
      <w:r>
        <w:rPr>
          <w:rFonts w:hint="eastAsia" w:ascii="宋体" w:hAnsi="宋体" w:eastAsia="宋体" w:cs="宋体"/>
          <w:color w:val="auto"/>
          <w:sz w:val="24"/>
          <w:szCs w:val="24"/>
          <w:highlight w:val="none"/>
        </w:rPr>
        <w:t>形式向招标人提交履约担保。</w:t>
      </w:r>
    </w:p>
    <w:p w14:paraId="3B93D1C8">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8.3.2</w:t>
      </w:r>
      <w:r>
        <w:rPr>
          <w:rFonts w:hint="eastAsia" w:ascii="宋体" w:hAnsi="宋体" w:eastAsia="宋体" w:cs="宋体"/>
          <w:color w:val="auto"/>
          <w:sz w:val="24"/>
          <w:szCs w:val="24"/>
          <w:highlight w:val="none"/>
        </w:rPr>
        <w:t>招标人和中标人应当自中标通知书发出之日起15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A9FC2A1">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发出中标通知书后，招标人无正当理由拒签合同的，招标人向中标人退还投标保证金，并按投标保证金双倍的金额补偿投标人损失。</w:t>
      </w:r>
    </w:p>
    <w:p w14:paraId="172631B5">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92" w:name="_Toc19650"/>
      <w:bookmarkStart w:id="93" w:name="_Toc9216"/>
      <w:bookmarkStart w:id="94" w:name="_Toc26467"/>
      <w:bookmarkStart w:id="95" w:name="_Toc256773146"/>
      <w:bookmarkStart w:id="96" w:name="_Toc8077"/>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重新招标和不再招标</w:t>
      </w:r>
      <w:bookmarkEnd w:id="92"/>
      <w:bookmarkEnd w:id="93"/>
      <w:bookmarkEnd w:id="94"/>
      <w:bookmarkEnd w:id="95"/>
      <w:bookmarkEnd w:id="96"/>
    </w:p>
    <w:p w14:paraId="290F9B3A">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.1重新招标</w:t>
      </w:r>
    </w:p>
    <w:p w14:paraId="2D1E1DE4">
      <w:pPr>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有下列情形之一的，招标人将重新招标：</w:t>
      </w:r>
    </w:p>
    <w:p w14:paraId="73F86ABC">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（1）获取招标文件截止时间止，投标人少于3个的；</w:t>
      </w:r>
    </w:p>
    <w:p w14:paraId="1C379373">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（2）投标截止时间止，投标人少于3个的；</w:t>
      </w:r>
    </w:p>
    <w:p w14:paraId="2832AFD8">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（3）通过资格审查的投标人少于3个的；</w:t>
      </w:r>
    </w:p>
    <w:p w14:paraId="5572729F">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（4）经评标委员会评审后否决所有投标的；</w:t>
      </w:r>
    </w:p>
    <w:p w14:paraId="714BBF3C">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（5）评标委员会否决不合格投标或者界定为废标后因有效投标不足3个使得投标明显缺乏竞争，评标委员会决定否决全部投标的；</w:t>
      </w:r>
    </w:p>
    <w:p w14:paraId="55DF7959">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（6）同意延长投标有效期的投标人少于3个的；</w:t>
      </w:r>
    </w:p>
    <w:p w14:paraId="7284FA76">
      <w:pPr>
        <w:keepNext w:val="0"/>
        <w:keepLines w:val="0"/>
        <w:pageBreakBefore w:val="0"/>
        <w:widowControl w:val="0"/>
        <w:kinsoku/>
        <w:wordWrap/>
        <w:overflowPunct/>
        <w:topLinePunct w:val="0"/>
        <w:autoSpaceDE/>
        <w:autoSpaceDN/>
        <w:bidi w:val="0"/>
        <w:adjustRightInd/>
        <w:snapToGrid/>
        <w:spacing w:line="420" w:lineRule="atLeast"/>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（7）中标候选人均未与招标人签订合同的。</w:t>
      </w:r>
    </w:p>
    <w:p w14:paraId="1E092305">
      <w:pPr>
        <w:pageBreakBefore w:val="0"/>
        <w:widowControl w:val="0"/>
        <w:kinsoku/>
        <w:wordWrap/>
        <w:overflowPunct/>
        <w:topLinePunct w:val="0"/>
        <w:autoSpaceDE/>
        <w:autoSpaceDN/>
        <w:bidi w:val="0"/>
        <w:spacing w:line="44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.2不再招标</w:t>
      </w:r>
    </w:p>
    <w:p w14:paraId="7974B479">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重新招标后，仍出现本章第8.1条规定情形之一的，属于必须审批的水利工程建设项目，经行政监督部门批准后不再进行招标。</w:t>
      </w:r>
    </w:p>
    <w:p w14:paraId="4452EA9A">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97" w:name="_Toc9611"/>
      <w:bookmarkStart w:id="98" w:name="_Toc12616"/>
      <w:bookmarkStart w:id="99" w:name="_Toc29862"/>
      <w:bookmarkStart w:id="100" w:name="_Toc18483"/>
      <w:bookmarkStart w:id="101" w:name="_Toc256773147"/>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纪律和监督</w:t>
      </w:r>
      <w:bookmarkEnd w:id="97"/>
      <w:bookmarkEnd w:id="98"/>
      <w:bookmarkEnd w:id="99"/>
      <w:bookmarkEnd w:id="100"/>
      <w:bookmarkEnd w:id="101"/>
    </w:p>
    <w:p w14:paraId="7DCF3720">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.1对招标人的纪律要求</w:t>
      </w:r>
    </w:p>
    <w:p w14:paraId="49BBCB41">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招标人不得泄漏招标投标活动中应当保密的情况和资料，不得与投标人串通损害国家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社会公共利益或者他人合法权益。</w:t>
      </w:r>
    </w:p>
    <w:p w14:paraId="139B05F2">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下列行为均属招标人与投标人串通投标：</w:t>
      </w:r>
    </w:p>
    <w:p w14:paraId="1D980678">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（1）招标人在开标前开启投标文件，并将投标情况告知其他投标人，或者协助投标人撤换投标文件，更改报价；</w:t>
      </w:r>
    </w:p>
    <w:p w14:paraId="74799FC8">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（2）招标人向投标人泄露标底；</w:t>
      </w:r>
    </w:p>
    <w:p w14:paraId="267E21D5">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（3）招标人与投标人商定，投标时压低或抬高标价，中标后再给投标人或招标人额外补偿；</w:t>
      </w:r>
    </w:p>
    <w:p w14:paraId="3169959C">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（4）招标人预先内定中标人；</w:t>
      </w:r>
    </w:p>
    <w:p w14:paraId="46198583">
      <w:pPr>
        <w:pageBreakBefore w:val="0"/>
        <w:widowControl w:val="0"/>
        <w:kinsoku/>
        <w:wordWrap/>
        <w:overflowPunct/>
        <w:topLinePunct w:val="0"/>
        <w:autoSpaceDE/>
        <w:autoSpaceDN/>
        <w:bidi w:val="0"/>
        <w:spacing w:line="440" w:lineRule="atLeast"/>
        <w:ind w:left="178" w:leftChars="8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（5）其他串通投标行为。</w:t>
      </w:r>
    </w:p>
    <w:p w14:paraId="1984E924">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.2对投标人的纪律要求</w:t>
      </w:r>
    </w:p>
    <w:p w14:paraId="59ECD88A">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69D2450">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.2.1下列行为均属以他人名义投标，按无效标书处理：</w:t>
      </w:r>
    </w:p>
    <w:p w14:paraId="4F416399">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（1）投标人挂靠</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施工单位；</w:t>
      </w:r>
    </w:p>
    <w:p w14:paraId="53448083">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w:t>
      </w:r>
      <w:r>
        <w:rPr>
          <w:rFonts w:hint="eastAsia" w:ascii="宋体" w:hAnsi="宋体" w:eastAsia="宋体" w:cs="宋体"/>
          <w:color w:val="auto"/>
          <w:sz w:val="24"/>
          <w:szCs w:val="24"/>
          <w:highlight w:val="none"/>
          <w:lang w:eastAsia="zh-CN"/>
        </w:rPr>
        <w:t>从其他</w:t>
      </w:r>
      <w:r>
        <w:rPr>
          <w:rFonts w:hint="eastAsia" w:ascii="宋体" w:hAnsi="宋体" w:eastAsia="宋体" w:cs="宋体"/>
          <w:color w:val="auto"/>
          <w:sz w:val="24"/>
          <w:szCs w:val="24"/>
          <w:highlight w:val="none"/>
        </w:rPr>
        <w:t>施工单位通过转让或租借的方式获取资格或资质证书；</w:t>
      </w:r>
    </w:p>
    <w:p w14:paraId="5EF538F0">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由其他</w:t>
      </w:r>
      <w:r>
        <w:rPr>
          <w:rFonts w:hint="eastAsia" w:ascii="宋体" w:hAnsi="宋体" w:eastAsia="宋体" w:cs="宋体"/>
          <w:color w:val="auto"/>
          <w:sz w:val="24"/>
          <w:szCs w:val="24"/>
          <w:highlight w:val="none"/>
        </w:rPr>
        <w:t>单位及法定代表人在自己编制的投标文件上加盖印章或签字的行为。</w:t>
      </w:r>
    </w:p>
    <w:p w14:paraId="742775D0">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.2.2下列行为，视为允许他人以本单位名义承揽工程，按无效标书处理：</w:t>
      </w:r>
    </w:p>
    <w:p w14:paraId="49EB5511">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（1）投标人的法定代表人的授权委托人不是投标人本单位人员；</w:t>
      </w:r>
    </w:p>
    <w:p w14:paraId="76E9F63C">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（2）投标人拟在施工现场所设项目管理机构的项目经理、技术负责人、专职安全员、质检员、资料员、材料员、施工员不是本单位人员。</w:t>
      </w:r>
    </w:p>
    <w:p w14:paraId="0623495B">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.2.3下列行为均属投标人串通投标报价，按无效标书处理：</w:t>
      </w:r>
    </w:p>
    <w:p w14:paraId="61EBCDD7">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（1）投标人之间相互约定抬高或压低投标报价；</w:t>
      </w:r>
    </w:p>
    <w:p w14:paraId="1634B4D6">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（2）投标人之间相互约定，在招标项目中分别以高、中、低价位报价；</w:t>
      </w:r>
    </w:p>
    <w:p w14:paraId="25D41FC6">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（3）投标人之间先进行内部竞价，内定中标人，然后再参加投标；</w:t>
      </w:r>
    </w:p>
    <w:p w14:paraId="160EBF23">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（4）投标人之间</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串通投标报价的行为。</w:t>
      </w:r>
    </w:p>
    <w:p w14:paraId="63F1E02C">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.3对评标、定标委员会成员的纪律要求</w:t>
      </w:r>
    </w:p>
    <w:p w14:paraId="2660DC5C">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评标、定标委员会成员不得收受他人的财物或者其他好处，不得向他人</w:t>
      </w:r>
      <w:r>
        <w:rPr>
          <w:rFonts w:hint="eastAsia" w:ascii="宋体" w:hAnsi="宋体" w:eastAsia="宋体" w:cs="宋体"/>
          <w:color w:val="auto"/>
          <w:sz w:val="24"/>
          <w:szCs w:val="24"/>
          <w:highlight w:val="none"/>
          <w:lang w:eastAsia="zh-CN"/>
        </w:rPr>
        <w:t>透露</w:t>
      </w:r>
      <w:r>
        <w:rPr>
          <w:rFonts w:hint="eastAsia" w:ascii="宋体" w:hAnsi="宋体" w:eastAsia="宋体" w:cs="宋体"/>
          <w:color w:val="auto"/>
          <w:sz w:val="24"/>
          <w:szCs w:val="24"/>
          <w:highlight w:val="none"/>
        </w:rPr>
        <w:t>对投标文件的评审和比较、</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中标候选人的推荐情况以及评标、定标</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的其他情况。在评标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活动中，评标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委员会成员不得擅离职守，影响评标程序正常进行，不得使用第三章“评标</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办法”没有规定的评审因素和标准进行评标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w:t>
      </w:r>
    </w:p>
    <w:p w14:paraId="5EB167A1">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.4对与评标</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定标</w:t>
      </w:r>
      <w:r>
        <w:rPr>
          <w:rFonts w:hint="eastAsia" w:ascii="宋体" w:hAnsi="宋体" w:eastAsia="宋体" w:cs="宋体"/>
          <w:b/>
          <w:color w:val="auto"/>
          <w:sz w:val="24"/>
          <w:szCs w:val="24"/>
          <w:highlight w:val="none"/>
        </w:rPr>
        <w:t>活动有关的工作人员的纪律要求</w:t>
      </w:r>
    </w:p>
    <w:p w14:paraId="22839A3E">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与评标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活动有关的工作人员不得收受他人的财物或者其他好处，不得向他人</w:t>
      </w:r>
      <w:r>
        <w:rPr>
          <w:rFonts w:hint="eastAsia" w:ascii="宋体" w:hAnsi="宋体" w:eastAsia="宋体" w:cs="宋体"/>
          <w:color w:val="auto"/>
          <w:sz w:val="24"/>
          <w:szCs w:val="24"/>
          <w:highlight w:val="none"/>
          <w:lang w:eastAsia="zh-CN"/>
        </w:rPr>
        <w:t>透露</w:t>
      </w:r>
      <w:r>
        <w:rPr>
          <w:rFonts w:hint="eastAsia" w:ascii="宋体" w:hAnsi="宋体" w:eastAsia="宋体" w:cs="宋体"/>
          <w:color w:val="auto"/>
          <w:sz w:val="24"/>
          <w:szCs w:val="24"/>
          <w:highlight w:val="none"/>
        </w:rPr>
        <w:t>对投标文件的评审和比较、</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中标候选人的推荐情况以及评标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有关的其他情况。在评标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活动中，与评标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活动有关的工作人员不得擅离职守，影响评标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程序正常进行。</w:t>
      </w:r>
    </w:p>
    <w:p w14:paraId="0B83740D">
      <w:pPr>
        <w:pageBreakBefore w:val="0"/>
        <w:widowControl w:val="0"/>
        <w:kinsoku/>
        <w:wordWrap/>
        <w:overflowPunct/>
        <w:topLinePunct w:val="0"/>
        <w:autoSpaceDE/>
        <w:autoSpaceDN/>
        <w:bidi w:val="0"/>
        <w:spacing w:line="440" w:lineRule="atLeast"/>
        <w:ind w:firstLine="482" w:firstLineChars="200"/>
        <w:outlineLvl w:val="2"/>
        <w:rPr>
          <w:rFonts w:hint="eastAsia" w:ascii="宋体" w:hAnsi="宋体" w:eastAsia="宋体" w:cs="宋体"/>
          <w:b/>
          <w:color w:val="auto"/>
          <w:sz w:val="24"/>
          <w:szCs w:val="24"/>
          <w:highlight w:val="none"/>
        </w:rPr>
      </w:pPr>
      <w:bookmarkStart w:id="102" w:name="_Toc256773148"/>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.5异议</w:t>
      </w:r>
    </w:p>
    <w:p w14:paraId="1ED701D2">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投标人和其他利害关系人认为本次招标活动违反</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和规章规定的，有权向有关行政监督部门投诉。</w:t>
      </w:r>
    </w:p>
    <w:p w14:paraId="06DC2BDA">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103" w:name="_Toc297"/>
      <w:bookmarkStart w:id="104" w:name="_Toc32592"/>
      <w:bookmarkStart w:id="105" w:name="_Toc4942"/>
      <w:bookmarkStart w:id="106" w:name="_Toc6589"/>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需要补充的其他内容</w:t>
      </w:r>
      <w:bookmarkEnd w:id="102"/>
      <w:bookmarkEnd w:id="103"/>
      <w:bookmarkEnd w:id="104"/>
      <w:bookmarkEnd w:id="105"/>
      <w:bookmarkEnd w:id="106"/>
    </w:p>
    <w:p w14:paraId="269EE46B">
      <w:pPr>
        <w:pageBreakBefore w:val="0"/>
        <w:widowControl w:val="0"/>
        <w:kinsoku/>
        <w:wordWrap/>
        <w:overflowPunct/>
        <w:topLinePunct w:val="0"/>
        <w:autoSpaceDE/>
        <w:autoSpaceDN/>
        <w:bidi w:val="0"/>
        <w:spacing w:line="440" w:lineRule="atLeast"/>
        <w:ind w:firstLine="480" w:firstLineChars="200"/>
        <w:rPr>
          <w:rFonts w:hint="eastAsia" w:ascii="宋体" w:hAnsi="宋体" w:eastAsia="宋体" w:cs="宋体"/>
          <w:color w:val="auto"/>
          <w:sz w:val="21"/>
          <w:szCs w:val="21"/>
          <w:highlight w:val="none"/>
        </w:rPr>
        <w:sectPr>
          <w:footerReference r:id="rId6" w:type="default"/>
          <w:pgSz w:w="11906" w:h="16838"/>
          <w:pgMar w:top="993" w:right="1134" w:bottom="505" w:left="1134" w:header="851" w:footer="737" w:gutter="0"/>
          <w:pgBorders w:offsetFrom="page">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color w:val="auto"/>
          <w:sz w:val="24"/>
          <w:szCs w:val="24"/>
          <w:highlight w:val="none"/>
        </w:rPr>
        <w:t>见投标人须知前附表。</w:t>
      </w:r>
      <w:bookmarkStart w:id="107" w:name="_Toc256773171"/>
      <w:bookmarkStart w:id="108" w:name="_Toc263675349"/>
      <w:bookmarkStart w:id="109" w:name="_Toc263675430"/>
      <w:bookmarkStart w:id="110" w:name="_Toc263674958"/>
      <w:bookmarkStart w:id="111" w:name="_Toc263413199"/>
    </w:p>
    <w:p w14:paraId="12E43161">
      <w:pPr>
        <w:pStyle w:val="2"/>
        <w:bidi w:val="0"/>
        <w:jc w:val="center"/>
        <w:rPr>
          <w:rFonts w:hint="eastAsia" w:ascii="宋体" w:hAnsi="宋体" w:eastAsia="宋体" w:cs="宋体"/>
          <w:color w:val="auto"/>
        </w:rPr>
      </w:pPr>
      <w:bookmarkStart w:id="112" w:name="_Toc11659"/>
      <w:bookmarkStart w:id="113" w:name="_Toc25756"/>
      <w:bookmarkStart w:id="114" w:name="_Toc1334"/>
      <w:r>
        <w:rPr>
          <w:rFonts w:hint="eastAsia" w:ascii="宋体" w:hAnsi="宋体" w:eastAsia="宋体" w:cs="宋体"/>
          <w:color w:val="auto"/>
        </w:rPr>
        <w:t>第三章</w:t>
      </w:r>
      <w:r>
        <w:rPr>
          <w:rFonts w:hint="eastAsia" w:ascii="宋体" w:hAnsi="宋体" w:eastAsia="宋体" w:cs="宋体"/>
          <w:color w:val="auto"/>
          <w:lang w:val="en-US" w:eastAsia="zh-CN"/>
        </w:rPr>
        <w:t xml:space="preserve"> </w:t>
      </w:r>
      <w:r>
        <w:rPr>
          <w:rFonts w:hint="eastAsia" w:ascii="宋体" w:hAnsi="宋体" w:eastAsia="宋体" w:cs="宋体"/>
          <w:color w:val="auto"/>
        </w:rPr>
        <w:t>评标</w:t>
      </w:r>
      <w:r>
        <w:rPr>
          <w:rFonts w:hint="eastAsia" w:ascii="宋体" w:hAnsi="宋体" w:eastAsia="宋体" w:cs="宋体"/>
          <w:color w:val="auto"/>
          <w:lang w:val="en-US" w:eastAsia="zh-CN"/>
        </w:rPr>
        <w:t>定标</w:t>
      </w:r>
      <w:r>
        <w:rPr>
          <w:rFonts w:hint="eastAsia" w:ascii="宋体" w:hAnsi="宋体" w:eastAsia="宋体" w:cs="宋体"/>
          <w:color w:val="auto"/>
        </w:rPr>
        <w:t>办法</w:t>
      </w:r>
      <w:bookmarkEnd w:id="112"/>
      <w:bookmarkEnd w:id="113"/>
      <w:bookmarkEnd w:id="114"/>
    </w:p>
    <w:p w14:paraId="59C81326">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115" w:name="_Toc13109"/>
      <w:r>
        <w:rPr>
          <w:rFonts w:hint="eastAsia" w:ascii="宋体" w:hAnsi="宋体" w:eastAsia="宋体" w:cs="宋体"/>
          <w:color w:val="auto"/>
          <w:sz w:val="28"/>
          <w:szCs w:val="28"/>
        </w:rPr>
        <w:t>一、评标依据</w:t>
      </w:r>
      <w:bookmarkEnd w:id="115"/>
    </w:p>
    <w:p w14:paraId="2A85507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(1)《中华人民共和国招标投标法》；</w:t>
      </w:r>
    </w:p>
    <w:p w14:paraId="48980C2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(2)《中华人民共和国招标投标法实施条例》；</w:t>
      </w:r>
    </w:p>
    <w:p w14:paraId="071DC52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(3）广东省实施《中华人民共和国招标投标法》办法；</w:t>
      </w:r>
    </w:p>
    <w:p w14:paraId="3C39F79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(4）国家计划发展委员</w:t>
      </w:r>
      <w:r>
        <w:rPr>
          <w:rFonts w:hint="eastAsia" w:ascii="宋体" w:hAnsi="宋体" w:eastAsia="宋体" w:cs="宋体"/>
          <w:color w:val="auto"/>
          <w:sz w:val="24"/>
          <w:szCs w:val="24"/>
          <w:highlight w:val="none"/>
          <w:lang w:eastAsia="zh-CN"/>
        </w:rPr>
        <w:t>会第</w:t>
      </w:r>
      <w:r>
        <w:rPr>
          <w:rFonts w:hint="eastAsia" w:ascii="宋体" w:hAnsi="宋体" w:eastAsia="宋体" w:cs="宋体"/>
          <w:color w:val="auto"/>
          <w:sz w:val="24"/>
          <w:szCs w:val="24"/>
          <w:highlight w:val="none"/>
        </w:rPr>
        <w:t>3号令《工程建设项目招标范围和规模标准规定》；</w:t>
      </w:r>
    </w:p>
    <w:p w14:paraId="3E95BC1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(5）国家计委等七部委30号令《工程建设项目施工招标投标办法》；</w:t>
      </w:r>
    </w:p>
    <w:p w14:paraId="0EA0A42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(6）国务院办公厅国办发〔2000〕34号《国务院办公厅印发国务院有关部门实施招投标活动行政监督的职责分工意见的通知》；</w:t>
      </w:r>
    </w:p>
    <w:p w14:paraId="6D2E0CE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(7）国家计委计政策[2001]1400号《关于进一步贯彻〈中华人民共和国招标投标法〉的通知》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水利部发布的第14号令《水利工程建设项目招标投标管理规定》；</w:t>
      </w:r>
    </w:p>
    <w:p w14:paraId="7CDADE8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(8）广东省</w:t>
      </w:r>
      <w:r>
        <w:rPr>
          <w:rFonts w:hint="eastAsia" w:ascii="宋体" w:hAnsi="宋体" w:eastAsia="宋体" w:cs="宋体"/>
          <w:color w:val="auto"/>
          <w:sz w:val="24"/>
          <w:szCs w:val="24"/>
          <w:highlight w:val="none"/>
          <w:lang w:eastAsia="zh-CN"/>
        </w:rPr>
        <w:t>人民政府办公厅</w:t>
      </w:r>
      <w:r>
        <w:rPr>
          <w:rFonts w:hint="eastAsia" w:ascii="宋体" w:hAnsi="宋体" w:eastAsia="宋体" w:cs="宋体"/>
          <w:color w:val="auto"/>
          <w:sz w:val="24"/>
          <w:szCs w:val="24"/>
          <w:highlight w:val="none"/>
        </w:rPr>
        <w:t>颁发的《广东省综合评标评审专家和评标评审专家库管理办法的通知》；</w:t>
      </w:r>
    </w:p>
    <w:p w14:paraId="6DA9AA4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(9）国家和部及地方</w:t>
      </w:r>
      <w:r>
        <w:rPr>
          <w:rFonts w:hint="eastAsia" w:ascii="宋体" w:hAnsi="宋体" w:eastAsia="宋体" w:cs="宋体"/>
          <w:color w:val="auto"/>
          <w:sz w:val="24"/>
          <w:szCs w:val="24"/>
          <w:highlight w:val="none"/>
          <w:lang w:eastAsia="zh-CN"/>
        </w:rPr>
        <w:t>颁布</w:t>
      </w:r>
      <w:r>
        <w:rPr>
          <w:rFonts w:hint="eastAsia" w:ascii="宋体" w:hAnsi="宋体" w:eastAsia="宋体" w:cs="宋体"/>
          <w:color w:val="auto"/>
          <w:sz w:val="24"/>
          <w:szCs w:val="24"/>
          <w:highlight w:val="none"/>
        </w:rPr>
        <w:t>有关技术规范和管理规定；</w:t>
      </w:r>
    </w:p>
    <w:p w14:paraId="7C8E8E6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(10）本项目招标文件等。</w:t>
      </w:r>
    </w:p>
    <w:p w14:paraId="05F52B39">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116" w:name="_Toc17915"/>
      <w:r>
        <w:rPr>
          <w:rFonts w:hint="eastAsia" w:ascii="宋体" w:hAnsi="宋体" w:eastAsia="宋体" w:cs="宋体"/>
          <w:color w:val="auto"/>
          <w:sz w:val="28"/>
          <w:szCs w:val="28"/>
        </w:rPr>
        <w:t>二、评标委员会组成</w:t>
      </w:r>
      <w:bookmarkEnd w:id="116"/>
    </w:p>
    <w:p w14:paraId="2A54F1A7">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评标委员会根据国家计委、水利部等七部委12号令规定组建，招标代理机构负责组织工作。评标委员会由有关技术、经济等方面的专家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人组成，其中经济类专家2人，招标人代表0人，技术类专家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人；评标专家确定方式：开标前</w:t>
      </w:r>
      <w:r>
        <w:rPr>
          <w:rFonts w:hint="eastAsia" w:ascii="宋体" w:hAnsi="宋体" w:eastAsia="宋体" w:cs="宋体"/>
          <w:b/>
          <w:bCs/>
          <w:color w:val="auto"/>
          <w:sz w:val="24"/>
          <w:szCs w:val="24"/>
          <w:highlight w:val="none"/>
        </w:rPr>
        <w:t>从广东省综合评标评审专家库-韶关区域</w:t>
      </w:r>
      <w:r>
        <w:rPr>
          <w:rFonts w:hint="eastAsia" w:ascii="宋体" w:hAnsi="宋体" w:eastAsia="宋体" w:cs="宋体"/>
          <w:b/>
          <w:bCs/>
          <w:color w:val="auto"/>
          <w:sz w:val="24"/>
          <w:szCs w:val="24"/>
          <w:highlight w:val="none"/>
          <w:lang w:eastAsia="zh-CN"/>
        </w:rPr>
        <w:t>中</w:t>
      </w:r>
      <w:r>
        <w:rPr>
          <w:rFonts w:hint="eastAsia" w:ascii="宋体" w:hAnsi="宋体" w:eastAsia="宋体" w:cs="宋体"/>
          <w:b/>
          <w:bCs/>
          <w:color w:val="auto"/>
          <w:sz w:val="24"/>
          <w:szCs w:val="24"/>
          <w:highlight w:val="none"/>
        </w:rPr>
        <w:t>随机抽取专家</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名</w:t>
      </w:r>
      <w:r>
        <w:rPr>
          <w:rFonts w:hint="eastAsia" w:ascii="宋体" w:hAnsi="宋体" w:eastAsia="宋体" w:cs="宋体"/>
          <w:color w:val="auto"/>
          <w:spacing w:val="2"/>
          <w:kern w:val="0"/>
          <w:sz w:val="24"/>
          <w:szCs w:val="24"/>
          <w:highlight w:val="none"/>
        </w:rPr>
        <w:t>。</w:t>
      </w:r>
    </w:p>
    <w:p w14:paraId="346DF4BB">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117" w:name="_Toc11625"/>
      <w:r>
        <w:rPr>
          <w:rFonts w:hint="eastAsia" w:ascii="宋体" w:hAnsi="宋体" w:eastAsia="宋体" w:cs="宋体"/>
          <w:color w:val="auto"/>
          <w:sz w:val="28"/>
          <w:szCs w:val="28"/>
        </w:rPr>
        <w:t>三、投标报价</w:t>
      </w:r>
      <w:bookmarkEnd w:id="117"/>
    </w:p>
    <w:p w14:paraId="1BA081B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投标人可根据自身实力及市场情况填报投标报价下浮率，有效投标报价下浮率为≥0.000%，保留至小数点后三位，不在此范围内的投标报价均为无效投标报价。</w:t>
      </w:r>
    </w:p>
    <w:p w14:paraId="05927B6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本项目主体工程采用综合单价承包（综合单价为财政审核控制单价×（1-中标下浮率）为中标的综合单价，合同总价为</w:t>
      </w:r>
      <w:r>
        <w:rPr>
          <w:rFonts w:hint="eastAsia" w:ascii="宋体" w:hAnsi="宋体" w:eastAsia="宋体" w:cs="宋体"/>
          <w:color w:val="auto"/>
          <w:sz w:val="24"/>
          <w:szCs w:val="24"/>
          <w:highlight w:val="none"/>
          <w:lang w:eastAsia="zh-CN"/>
        </w:rPr>
        <w:t>（最高投标限价-安全生产措施费、其他临时工程费）</w:t>
      </w:r>
      <w:r>
        <w:rPr>
          <w:rFonts w:hint="eastAsia" w:ascii="宋体" w:hAnsi="宋体" w:eastAsia="宋体" w:cs="宋体"/>
          <w:color w:val="auto"/>
          <w:sz w:val="24"/>
          <w:szCs w:val="24"/>
          <w:highlight w:val="none"/>
        </w:rPr>
        <w:t>×（1-中标下浮率）+</w:t>
      </w:r>
      <w:r>
        <w:rPr>
          <w:rFonts w:hint="eastAsia" w:ascii="宋体" w:hAnsi="宋体" w:eastAsia="宋体" w:cs="宋体"/>
          <w:color w:val="auto"/>
          <w:sz w:val="24"/>
          <w:szCs w:val="24"/>
          <w:highlight w:val="none"/>
          <w:lang w:eastAsia="zh-CN"/>
        </w:rPr>
        <w:t>安全生产措施费</w:t>
      </w:r>
      <w:r>
        <w:rPr>
          <w:rFonts w:hint="eastAsia" w:ascii="宋体" w:hAnsi="宋体" w:eastAsia="宋体" w:cs="宋体"/>
          <w:color w:val="auto"/>
          <w:sz w:val="24"/>
          <w:szCs w:val="24"/>
          <w:highlight w:val="none"/>
        </w:rPr>
        <w:t>、其他临时工程费</w:t>
      </w:r>
      <w:r>
        <w:rPr>
          <w:rFonts w:hint="eastAsia" w:ascii="宋体" w:hAnsi="宋体" w:eastAsia="宋体" w:cs="宋体"/>
          <w:color w:val="auto"/>
          <w:sz w:val="24"/>
          <w:szCs w:val="24"/>
          <w:highlight w:val="none"/>
          <w:lang w:eastAsia="zh-CN"/>
        </w:rPr>
        <w:t>（安全生产措施费、其他临时工程费</w:t>
      </w:r>
      <w:r>
        <w:rPr>
          <w:rFonts w:hint="eastAsia" w:ascii="宋体" w:hAnsi="宋体" w:eastAsia="宋体" w:cs="宋体"/>
          <w:color w:val="auto"/>
          <w:kern w:val="0"/>
          <w:sz w:val="24"/>
          <w:szCs w:val="24"/>
          <w:highlight w:val="none"/>
          <w:lang w:eastAsia="zh-CN"/>
        </w:rPr>
        <w:t>控制价不下浮）。</w:t>
      </w:r>
    </w:p>
    <w:p w14:paraId="1B48573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投标人的投标有效投标报价不得高于</w:t>
      </w:r>
      <w:r>
        <w:rPr>
          <w:rFonts w:hint="eastAsia" w:ascii="宋体" w:hAnsi="宋体" w:eastAsia="宋体" w:cs="宋体"/>
          <w:color w:val="auto"/>
          <w:kern w:val="0"/>
          <w:sz w:val="24"/>
          <w:szCs w:val="24"/>
          <w:highlight w:val="none"/>
          <w:lang w:eastAsia="zh-CN"/>
        </w:rPr>
        <w:t>最高投标限价</w:t>
      </w:r>
      <w:r>
        <w:rPr>
          <w:rFonts w:hint="eastAsia" w:ascii="宋体" w:hAnsi="宋体" w:eastAsia="宋体" w:cs="宋体"/>
          <w:color w:val="auto"/>
          <w:kern w:val="0"/>
          <w:sz w:val="24"/>
          <w:szCs w:val="24"/>
          <w:highlight w:val="none"/>
        </w:rPr>
        <w:t>，也不得低于工程成本。如果投标人的投标报价下浮率高于15%时，投标人必须在投标文件中专项作出详细合理的书面说明并提供以往类似工程详细成本分析报告供评标委员会审查。</w:t>
      </w:r>
    </w:p>
    <w:p w14:paraId="1063B857">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118" w:name="_Toc1423"/>
      <w:r>
        <w:rPr>
          <w:rFonts w:hint="eastAsia" w:ascii="宋体" w:hAnsi="宋体" w:eastAsia="宋体" w:cs="宋体"/>
          <w:color w:val="auto"/>
          <w:sz w:val="28"/>
          <w:szCs w:val="28"/>
        </w:rPr>
        <w:t>四、评标纪律</w:t>
      </w:r>
      <w:bookmarkEnd w:id="118"/>
    </w:p>
    <w:p w14:paraId="5EBD56ED">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1、参加评标的所有评标委员均不代表原来各自的单位和组织，评标委员的名单在中标结果确定前保密。</w:t>
      </w:r>
    </w:p>
    <w:p w14:paraId="33B389F8">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2、评标委员会和与评标活动有关的工作人员不得透露对投标文件的评审和比较、中标候选人的推荐情况以及与评标有关的其他情况。</w:t>
      </w:r>
    </w:p>
    <w:p w14:paraId="13328C56">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3、评标委员会成员对所提出的评审意见承担个人责任，评标委</w:t>
      </w:r>
      <w:r>
        <w:rPr>
          <w:rFonts w:hint="eastAsia" w:ascii="宋体" w:hAnsi="宋体" w:eastAsia="宋体" w:cs="宋体"/>
          <w:color w:val="auto"/>
          <w:sz w:val="24"/>
          <w:szCs w:val="24"/>
          <w:highlight w:val="none"/>
          <w:lang w:eastAsia="zh-CN"/>
        </w:rPr>
        <w:t>员会</w:t>
      </w:r>
      <w:r>
        <w:rPr>
          <w:rFonts w:hint="eastAsia" w:ascii="宋体" w:hAnsi="宋体" w:eastAsia="宋体" w:cs="宋体"/>
          <w:color w:val="auto"/>
          <w:sz w:val="24"/>
          <w:szCs w:val="24"/>
          <w:highlight w:val="none"/>
        </w:rPr>
        <w:t>不得与任何投标人或者与招标结果有利害关系的人进行私下接触。</w:t>
      </w:r>
    </w:p>
    <w:p w14:paraId="5FBBD746">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4、评标委员应站在公平、公正的立场，严格按照评标办法、招标文件和国家有关技术规范的规定进行，不得随意修改评标办法。</w:t>
      </w:r>
    </w:p>
    <w:p w14:paraId="1EE09213">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119" w:name="_Toc18620"/>
      <w:r>
        <w:rPr>
          <w:rFonts w:hint="eastAsia" w:ascii="宋体" w:hAnsi="宋体" w:eastAsia="宋体" w:cs="宋体"/>
          <w:color w:val="auto"/>
          <w:sz w:val="28"/>
          <w:szCs w:val="28"/>
        </w:rPr>
        <w:t>五、评标监督管理</w:t>
      </w:r>
      <w:bookmarkEnd w:id="119"/>
    </w:p>
    <w:p w14:paraId="43A6D2A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招标评标活动在招标人和有关行政监督部门、上级行政主管部门的监督下进行。</w:t>
      </w:r>
    </w:p>
    <w:p w14:paraId="5B39BCC3">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120" w:name="_Toc30605"/>
      <w:r>
        <w:rPr>
          <w:rFonts w:hint="eastAsia" w:ascii="宋体" w:hAnsi="宋体" w:eastAsia="宋体" w:cs="宋体"/>
          <w:color w:val="auto"/>
          <w:sz w:val="28"/>
          <w:szCs w:val="28"/>
        </w:rPr>
        <w:t>六、评标程序</w:t>
      </w:r>
      <w:bookmarkEnd w:id="120"/>
    </w:p>
    <w:p w14:paraId="3A1B0844">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1、评委召开预备会，宣布评标纪律，签订评标保密承诺书，熟悉招标文件，学习评标办法，选举评标委员会主任。</w:t>
      </w:r>
    </w:p>
    <w:p w14:paraId="4807B788">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2、评委在有关监督部门的监督下封闭评标，按照评标方法进行评审。</w:t>
      </w:r>
    </w:p>
    <w:p w14:paraId="199765E0">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3、评审结果由工作人员汇总复核。</w:t>
      </w:r>
    </w:p>
    <w:p w14:paraId="60776575">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4、提交评标报告。</w:t>
      </w:r>
    </w:p>
    <w:p w14:paraId="62B0F712">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r>
        <w:rPr>
          <w:rFonts w:hint="eastAsia" w:ascii="宋体" w:hAnsi="宋体" w:eastAsia="宋体" w:cs="宋体"/>
          <w:color w:val="auto"/>
          <w:sz w:val="21"/>
          <w:szCs w:val="21"/>
          <w:highlight w:val="none"/>
        </w:rPr>
        <w:br w:type="page"/>
      </w:r>
      <w:bookmarkStart w:id="121" w:name="_Toc12414"/>
      <w:r>
        <w:rPr>
          <w:rFonts w:hint="eastAsia" w:ascii="宋体" w:hAnsi="宋体" w:eastAsia="宋体" w:cs="宋体"/>
          <w:color w:val="auto"/>
          <w:sz w:val="28"/>
          <w:szCs w:val="28"/>
        </w:rPr>
        <w:t>七、评标办法</w:t>
      </w:r>
      <w:bookmarkEnd w:id="121"/>
    </w:p>
    <w:p w14:paraId="60E7781B">
      <w:pPr>
        <w:pStyle w:val="3"/>
        <w:keepNext/>
        <w:keepLines/>
        <w:pageBreakBefore w:val="0"/>
        <w:widowControl w:val="0"/>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color w:val="auto"/>
          <w:sz w:val="28"/>
          <w:szCs w:val="28"/>
        </w:rPr>
      </w:pPr>
      <w:bookmarkStart w:id="122" w:name="_Toc27178"/>
      <w:bookmarkStart w:id="123" w:name="_Toc23727"/>
      <w:r>
        <w:rPr>
          <w:rFonts w:hint="eastAsia" w:ascii="宋体" w:hAnsi="宋体" w:eastAsia="宋体" w:cs="宋体"/>
          <w:color w:val="auto"/>
          <w:sz w:val="28"/>
          <w:szCs w:val="28"/>
        </w:rPr>
        <w:t>评标办法前附表</w:t>
      </w:r>
      <w:bookmarkEnd w:id="122"/>
      <w:bookmarkEnd w:id="123"/>
    </w:p>
    <w:tbl>
      <w:tblPr>
        <w:tblStyle w:val="30"/>
        <w:tblW w:w="93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6"/>
        <w:gridCol w:w="112"/>
        <w:gridCol w:w="930"/>
        <w:gridCol w:w="1370"/>
        <w:gridCol w:w="727"/>
        <w:gridCol w:w="5415"/>
      </w:tblGrid>
      <w:tr w14:paraId="2BC73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58" w:type="dxa"/>
            <w:gridSpan w:val="3"/>
            <w:noWrap w:val="0"/>
            <w:vAlign w:val="center"/>
          </w:tcPr>
          <w:p w14:paraId="62A3BD8E">
            <w:pPr>
              <w:spacing w:line="400" w:lineRule="exact"/>
              <w:jc w:val="center"/>
              <w:rPr>
                <w:rFonts w:hint="eastAsia" w:ascii="宋体" w:hAnsi="宋体" w:eastAsia="宋体" w:cs="宋体"/>
                <w:b/>
                <w:color w:val="auto"/>
                <w:sz w:val="24"/>
                <w:szCs w:val="24"/>
                <w:highlight w:val="none"/>
              </w:rPr>
            </w:pPr>
            <w:bookmarkStart w:id="124" w:name="_Toc3271"/>
            <w:bookmarkStart w:id="125" w:name="_Toc12695"/>
            <w:bookmarkStart w:id="126" w:name="_Toc19675"/>
            <w:bookmarkStart w:id="127" w:name="_Toc7761"/>
            <w:r>
              <w:rPr>
                <w:rFonts w:hint="eastAsia" w:ascii="宋体" w:hAnsi="宋体" w:eastAsia="宋体" w:cs="宋体"/>
                <w:b/>
                <w:color w:val="auto"/>
                <w:sz w:val="24"/>
                <w:szCs w:val="24"/>
                <w:highlight w:val="none"/>
              </w:rPr>
              <w:t>条款号</w:t>
            </w:r>
          </w:p>
        </w:tc>
        <w:tc>
          <w:tcPr>
            <w:tcW w:w="2097" w:type="dxa"/>
            <w:gridSpan w:val="2"/>
            <w:noWrap w:val="0"/>
            <w:vAlign w:val="center"/>
          </w:tcPr>
          <w:p w14:paraId="2B6E9E33">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5415" w:type="dxa"/>
            <w:noWrap w:val="0"/>
            <w:vAlign w:val="center"/>
          </w:tcPr>
          <w:p w14:paraId="101F2D01">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DF14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restart"/>
            <w:noWrap w:val="0"/>
            <w:vAlign w:val="center"/>
          </w:tcPr>
          <w:p w14:paraId="24F9407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930" w:type="dxa"/>
            <w:vMerge w:val="restart"/>
            <w:noWrap w:val="0"/>
            <w:vAlign w:val="center"/>
          </w:tcPr>
          <w:p w14:paraId="37D3AE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2097" w:type="dxa"/>
            <w:gridSpan w:val="2"/>
            <w:noWrap w:val="0"/>
            <w:vAlign w:val="center"/>
          </w:tcPr>
          <w:p w14:paraId="7F02B2D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5415" w:type="dxa"/>
            <w:noWrap w:val="0"/>
            <w:vAlign w:val="center"/>
          </w:tcPr>
          <w:p w14:paraId="0ED7E47E">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与营业执照、资质证书、安全生产许可证等一致</w:t>
            </w:r>
          </w:p>
        </w:tc>
      </w:tr>
      <w:tr w14:paraId="0206B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6F9BA72F">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3E47AA4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1DDD6E8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签字盖章</w:t>
            </w:r>
          </w:p>
        </w:tc>
        <w:tc>
          <w:tcPr>
            <w:tcW w:w="5415" w:type="dxa"/>
            <w:noWrap w:val="0"/>
            <w:vAlign w:val="center"/>
          </w:tcPr>
          <w:p w14:paraId="51776812">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款规定</w:t>
            </w:r>
          </w:p>
        </w:tc>
      </w:tr>
      <w:tr w14:paraId="68A28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28" w:type="dxa"/>
            <w:gridSpan w:val="2"/>
            <w:vMerge w:val="continue"/>
            <w:noWrap w:val="0"/>
            <w:vAlign w:val="center"/>
          </w:tcPr>
          <w:p w14:paraId="22B18EC5">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19D9066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61B46B7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5415" w:type="dxa"/>
            <w:noWrap w:val="0"/>
            <w:vAlign w:val="center"/>
          </w:tcPr>
          <w:p w14:paraId="04CD6038">
            <w:pPr>
              <w:keepNext w:val="0"/>
              <w:keepLines w:val="0"/>
              <w:suppressLineNumbers w:val="0"/>
              <w:tabs>
                <w:tab w:val="left" w:pos="3882"/>
              </w:tabs>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符合第八章“投标文件格式”的要求</w:t>
            </w:r>
            <w:r>
              <w:rPr>
                <w:rFonts w:hint="eastAsia" w:ascii="宋体" w:hAnsi="宋体" w:eastAsia="宋体" w:cs="宋体"/>
                <w:color w:val="auto"/>
                <w:sz w:val="24"/>
                <w:szCs w:val="24"/>
                <w:highlight w:val="none"/>
                <w:lang w:eastAsia="zh-CN"/>
              </w:rPr>
              <w:tab/>
            </w:r>
          </w:p>
        </w:tc>
      </w:tr>
      <w:tr w14:paraId="5C0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2AE08C32">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1A8E097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6CE67AF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415" w:type="dxa"/>
            <w:noWrap w:val="0"/>
            <w:vAlign w:val="center"/>
          </w:tcPr>
          <w:p w14:paraId="6B5BD75A">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028ED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restart"/>
            <w:noWrap w:val="0"/>
            <w:vAlign w:val="center"/>
          </w:tcPr>
          <w:p w14:paraId="6A02372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930" w:type="dxa"/>
            <w:vMerge w:val="restart"/>
            <w:noWrap w:val="0"/>
            <w:vAlign w:val="center"/>
          </w:tcPr>
          <w:p w14:paraId="3DD3C0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2097" w:type="dxa"/>
            <w:gridSpan w:val="2"/>
            <w:noWrap w:val="0"/>
            <w:vAlign w:val="center"/>
          </w:tcPr>
          <w:p w14:paraId="66F6CB5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415" w:type="dxa"/>
            <w:noWrap w:val="0"/>
            <w:vAlign w:val="center"/>
          </w:tcPr>
          <w:p w14:paraId="2C6631E6">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具备有效的营业执照</w:t>
            </w:r>
          </w:p>
        </w:tc>
      </w:tr>
      <w:tr w14:paraId="2DCA9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3CCF046A">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57906BE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238B5A0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val="en-US" w:eastAsia="zh-CN"/>
              </w:rPr>
              <w:t>证书及</w:t>
            </w:r>
            <w:r>
              <w:rPr>
                <w:rFonts w:hint="eastAsia" w:ascii="宋体" w:hAnsi="宋体" w:eastAsia="宋体" w:cs="宋体"/>
                <w:color w:val="auto"/>
                <w:sz w:val="24"/>
                <w:szCs w:val="24"/>
                <w:highlight w:val="none"/>
              </w:rPr>
              <w:t>等级</w:t>
            </w:r>
          </w:p>
        </w:tc>
        <w:tc>
          <w:tcPr>
            <w:tcW w:w="5415" w:type="dxa"/>
            <w:noWrap w:val="0"/>
            <w:vAlign w:val="center"/>
          </w:tcPr>
          <w:p w14:paraId="59C77EED">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7B3BD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36BF983F">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2B7E609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1A6DF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安全生产许可证</w:t>
            </w:r>
          </w:p>
        </w:tc>
        <w:tc>
          <w:tcPr>
            <w:tcW w:w="5415" w:type="dxa"/>
            <w:noWrap w:val="0"/>
            <w:vAlign w:val="center"/>
          </w:tcPr>
          <w:p w14:paraId="2B979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3B83C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59FDDDE7">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11B7E81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02563D5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5415" w:type="dxa"/>
            <w:noWrap w:val="0"/>
            <w:vAlign w:val="center"/>
          </w:tcPr>
          <w:p w14:paraId="054E430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64125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0CD9F46E">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403DD2D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4A1CA32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5415" w:type="dxa"/>
            <w:noWrap w:val="0"/>
            <w:vAlign w:val="center"/>
          </w:tcPr>
          <w:p w14:paraId="0C182B9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6D15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6DA34820">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4BD5A2F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53C9CAB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w:t>
            </w:r>
          </w:p>
        </w:tc>
        <w:tc>
          <w:tcPr>
            <w:tcW w:w="5415" w:type="dxa"/>
            <w:noWrap w:val="0"/>
            <w:vAlign w:val="center"/>
          </w:tcPr>
          <w:p w14:paraId="38193A7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61772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54A0BD81">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3A5DEB4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45D2496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415" w:type="dxa"/>
            <w:noWrap w:val="0"/>
            <w:vAlign w:val="center"/>
          </w:tcPr>
          <w:p w14:paraId="324249F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符合第二章“投标人须知”第1.4项规定</w:t>
            </w:r>
          </w:p>
        </w:tc>
      </w:tr>
      <w:tr w14:paraId="0454D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restart"/>
            <w:noWrap w:val="0"/>
            <w:vAlign w:val="center"/>
          </w:tcPr>
          <w:p w14:paraId="30A8B1E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930" w:type="dxa"/>
            <w:vMerge w:val="restart"/>
            <w:noWrap w:val="0"/>
            <w:vAlign w:val="center"/>
          </w:tcPr>
          <w:p w14:paraId="5F65ED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14:paraId="79BE6CE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2097" w:type="dxa"/>
            <w:gridSpan w:val="2"/>
            <w:noWrap w:val="0"/>
            <w:vAlign w:val="center"/>
          </w:tcPr>
          <w:p w14:paraId="0CB7A00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投标范围</w:t>
            </w:r>
          </w:p>
        </w:tc>
        <w:tc>
          <w:tcPr>
            <w:tcW w:w="5415" w:type="dxa"/>
            <w:noWrap w:val="0"/>
            <w:vAlign w:val="center"/>
          </w:tcPr>
          <w:p w14:paraId="5E75A6D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符合第二章“投标人须知前附表”第1.3.1项规定</w:t>
            </w:r>
          </w:p>
        </w:tc>
      </w:tr>
      <w:tr w14:paraId="7A7BB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53751528">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16078E1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7808016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5415" w:type="dxa"/>
            <w:noWrap w:val="0"/>
            <w:vAlign w:val="center"/>
          </w:tcPr>
          <w:p w14:paraId="069FBDF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符合第二章“投标人须知前附表”第1.3.2项规定</w:t>
            </w:r>
          </w:p>
        </w:tc>
      </w:tr>
      <w:tr w14:paraId="1D61B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5B272F02">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175D04A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571C0E5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5415" w:type="dxa"/>
            <w:noWrap w:val="0"/>
            <w:vAlign w:val="center"/>
          </w:tcPr>
          <w:p w14:paraId="6ECDA56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符合第二章“投标人须知前附表”第1.3.3项规定</w:t>
            </w:r>
          </w:p>
        </w:tc>
      </w:tr>
      <w:tr w14:paraId="265CE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5249B08D">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2878C0B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5BF2E31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投标承诺函</w:t>
            </w:r>
          </w:p>
        </w:tc>
        <w:tc>
          <w:tcPr>
            <w:tcW w:w="5415" w:type="dxa"/>
            <w:noWrap w:val="0"/>
            <w:vAlign w:val="center"/>
          </w:tcPr>
          <w:p w14:paraId="3B82858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符合第八章“投标文件格式”投标承诺</w:t>
            </w:r>
            <w:r>
              <w:rPr>
                <w:rFonts w:hint="eastAsia" w:ascii="宋体" w:hAnsi="宋体" w:eastAsia="宋体" w:cs="宋体"/>
                <w:color w:val="auto"/>
                <w:sz w:val="24"/>
                <w:szCs w:val="24"/>
                <w:highlight w:val="none"/>
                <w:lang w:val="en-US" w:eastAsia="zh-CN"/>
              </w:rPr>
              <w:t>函</w:t>
            </w:r>
            <w:r>
              <w:rPr>
                <w:rFonts w:hint="eastAsia" w:ascii="宋体" w:hAnsi="宋体" w:eastAsia="宋体" w:cs="宋体"/>
                <w:color w:val="auto"/>
                <w:sz w:val="24"/>
                <w:szCs w:val="24"/>
                <w:highlight w:val="none"/>
              </w:rPr>
              <w:t>的规定</w:t>
            </w:r>
          </w:p>
        </w:tc>
      </w:tr>
      <w:tr w14:paraId="08D51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2B2D1608">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70E6F23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2A82041D">
            <w:pPr>
              <w:keepNext w:val="0"/>
              <w:keepLines w:val="0"/>
              <w:pageBreakBefore w:val="0"/>
              <w:suppressLineNumbers w:val="0"/>
              <w:tabs>
                <w:tab w:val="center" w:pos="1104"/>
              </w:tabs>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415" w:type="dxa"/>
            <w:noWrap w:val="0"/>
            <w:vAlign w:val="center"/>
          </w:tcPr>
          <w:p w14:paraId="78FBA1F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符合第二章“投标人须知前附表”第3.3.1项规定</w:t>
            </w:r>
          </w:p>
        </w:tc>
      </w:tr>
      <w:tr w14:paraId="5ECC4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79358F07">
            <w:pPr>
              <w:spacing w:line="400" w:lineRule="exact"/>
              <w:rPr>
                <w:rFonts w:hint="eastAsia" w:ascii="宋体" w:hAnsi="宋体" w:eastAsia="宋体" w:cs="宋体"/>
                <w:color w:val="auto"/>
                <w:sz w:val="24"/>
                <w:szCs w:val="24"/>
                <w:highlight w:val="none"/>
              </w:rPr>
            </w:pPr>
          </w:p>
        </w:tc>
        <w:tc>
          <w:tcPr>
            <w:tcW w:w="930" w:type="dxa"/>
            <w:vMerge w:val="continue"/>
            <w:noWrap w:val="0"/>
            <w:vAlign w:val="center"/>
          </w:tcPr>
          <w:p w14:paraId="011F673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34DAD91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415" w:type="dxa"/>
            <w:noWrap w:val="0"/>
            <w:vAlign w:val="center"/>
          </w:tcPr>
          <w:p w14:paraId="2B8D481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符合第二章“投标人须知前附表”第3.4.1款规定</w:t>
            </w:r>
          </w:p>
        </w:tc>
      </w:tr>
      <w:tr w14:paraId="11D45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49962A0D">
            <w:pPr>
              <w:spacing w:line="400" w:lineRule="exact"/>
              <w:jc w:val="center"/>
              <w:rPr>
                <w:rFonts w:hint="eastAsia" w:ascii="宋体" w:hAnsi="宋体" w:eastAsia="宋体" w:cs="宋体"/>
                <w:color w:val="auto"/>
                <w:sz w:val="24"/>
                <w:szCs w:val="24"/>
                <w:highlight w:val="none"/>
              </w:rPr>
            </w:pPr>
          </w:p>
        </w:tc>
        <w:tc>
          <w:tcPr>
            <w:tcW w:w="930" w:type="dxa"/>
            <w:vMerge w:val="continue"/>
            <w:noWrap w:val="0"/>
            <w:vAlign w:val="center"/>
          </w:tcPr>
          <w:p w14:paraId="3DF5E22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1ECED27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投标报价有效性</w:t>
            </w:r>
          </w:p>
        </w:tc>
        <w:tc>
          <w:tcPr>
            <w:tcW w:w="5415" w:type="dxa"/>
            <w:noWrap w:val="0"/>
            <w:vAlign w:val="center"/>
          </w:tcPr>
          <w:p w14:paraId="777EF16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项规定</w:t>
            </w:r>
            <w:r>
              <w:rPr>
                <w:rFonts w:hint="eastAsia" w:ascii="宋体" w:hAnsi="宋体" w:eastAsia="宋体" w:cs="宋体"/>
                <w:color w:val="auto"/>
                <w:sz w:val="24"/>
                <w:szCs w:val="24"/>
                <w:highlight w:val="none"/>
                <w:lang w:val="en-US" w:eastAsia="zh-CN"/>
              </w:rPr>
              <w:t xml:space="preserve"> </w:t>
            </w:r>
          </w:p>
        </w:tc>
      </w:tr>
      <w:tr w14:paraId="6B87C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0C4BF5D5">
            <w:pPr>
              <w:spacing w:line="400" w:lineRule="exact"/>
              <w:jc w:val="center"/>
              <w:rPr>
                <w:rFonts w:hint="eastAsia" w:ascii="宋体" w:hAnsi="宋体" w:eastAsia="宋体" w:cs="宋体"/>
                <w:color w:val="auto"/>
                <w:sz w:val="24"/>
                <w:szCs w:val="24"/>
                <w:highlight w:val="none"/>
              </w:rPr>
            </w:pPr>
          </w:p>
        </w:tc>
        <w:tc>
          <w:tcPr>
            <w:tcW w:w="930" w:type="dxa"/>
            <w:vMerge w:val="continue"/>
            <w:noWrap w:val="0"/>
            <w:vAlign w:val="center"/>
          </w:tcPr>
          <w:p w14:paraId="5B2053E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2B94F5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人员社保</w:t>
            </w:r>
          </w:p>
        </w:tc>
        <w:tc>
          <w:tcPr>
            <w:tcW w:w="5415" w:type="dxa"/>
            <w:noWrap w:val="0"/>
            <w:vAlign w:val="center"/>
          </w:tcPr>
          <w:p w14:paraId="4940BC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授权委托人及拟投入本项目的所有人员应是投标人本单位人员</w:t>
            </w:r>
            <w:r>
              <w:rPr>
                <w:rFonts w:hint="eastAsia" w:ascii="宋体" w:hAnsi="宋体" w:eastAsia="宋体" w:cs="宋体"/>
                <w:b/>
                <w:bCs/>
                <w:color w:val="auto"/>
                <w:sz w:val="24"/>
                <w:szCs w:val="24"/>
                <w:highlight w:val="none"/>
              </w:rPr>
              <w:t>（投标单位近3个月（其中必须有2026年4月）社保证明的扫描件，退休人员提供退休证书及</w:t>
            </w:r>
            <w:r>
              <w:rPr>
                <w:rFonts w:hint="eastAsia" w:ascii="宋体" w:hAnsi="宋体" w:eastAsia="宋体" w:cs="宋体"/>
                <w:b/>
                <w:bCs/>
                <w:color w:val="auto"/>
                <w:sz w:val="24"/>
                <w:szCs w:val="24"/>
                <w:highlight w:val="none"/>
                <w:lang w:eastAsia="zh-CN"/>
              </w:rPr>
              <w:t>返聘</w:t>
            </w:r>
            <w:r>
              <w:rPr>
                <w:rFonts w:hint="eastAsia" w:ascii="宋体" w:hAnsi="宋体" w:eastAsia="宋体" w:cs="宋体"/>
                <w:b/>
                <w:bCs/>
                <w:color w:val="auto"/>
                <w:sz w:val="24"/>
                <w:szCs w:val="24"/>
                <w:highlight w:val="none"/>
              </w:rPr>
              <w:t>证明材料，复印件加盖聘用单位公章）</w:t>
            </w:r>
          </w:p>
        </w:tc>
      </w:tr>
      <w:tr w14:paraId="6B411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28" w:type="dxa"/>
            <w:gridSpan w:val="2"/>
            <w:vMerge w:val="continue"/>
            <w:noWrap w:val="0"/>
            <w:vAlign w:val="center"/>
          </w:tcPr>
          <w:p w14:paraId="1A9E97AB">
            <w:pPr>
              <w:spacing w:line="400" w:lineRule="exact"/>
              <w:jc w:val="center"/>
              <w:rPr>
                <w:rFonts w:hint="eastAsia" w:ascii="宋体" w:hAnsi="宋体" w:eastAsia="宋体" w:cs="宋体"/>
                <w:color w:val="auto"/>
                <w:sz w:val="24"/>
                <w:szCs w:val="24"/>
                <w:highlight w:val="none"/>
              </w:rPr>
            </w:pPr>
          </w:p>
        </w:tc>
        <w:tc>
          <w:tcPr>
            <w:tcW w:w="930" w:type="dxa"/>
            <w:vMerge w:val="continue"/>
            <w:noWrap w:val="0"/>
            <w:vAlign w:val="center"/>
          </w:tcPr>
          <w:p w14:paraId="5D307953">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c>
          <w:tcPr>
            <w:tcW w:w="2097" w:type="dxa"/>
            <w:gridSpan w:val="2"/>
            <w:noWrap w:val="0"/>
            <w:vAlign w:val="center"/>
          </w:tcPr>
          <w:p w14:paraId="53BD405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其他</w:t>
            </w:r>
          </w:p>
        </w:tc>
        <w:tc>
          <w:tcPr>
            <w:tcW w:w="5415" w:type="dxa"/>
            <w:noWrap w:val="0"/>
            <w:vAlign w:val="center"/>
          </w:tcPr>
          <w:p w14:paraId="5B1CA7E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lang w:val="en-US" w:eastAsia="zh-CN"/>
              </w:rPr>
              <w:t>规定的其他要求。</w:t>
            </w:r>
          </w:p>
        </w:tc>
      </w:tr>
      <w:tr w14:paraId="4275D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858" w:type="dxa"/>
            <w:gridSpan w:val="3"/>
            <w:noWrap w:val="0"/>
            <w:vAlign w:val="center"/>
          </w:tcPr>
          <w:p w14:paraId="6ABF58C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1370" w:type="dxa"/>
            <w:tcBorders>
              <w:right w:val="single" w:color="auto" w:sz="4" w:space="0"/>
            </w:tcBorders>
            <w:noWrap w:val="0"/>
            <w:vAlign w:val="center"/>
          </w:tcPr>
          <w:p w14:paraId="25755CE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142" w:type="dxa"/>
            <w:gridSpan w:val="2"/>
            <w:tcBorders>
              <w:left w:val="single" w:color="auto" w:sz="4" w:space="0"/>
            </w:tcBorders>
            <w:noWrap w:val="0"/>
            <w:vAlign w:val="center"/>
          </w:tcPr>
          <w:p w14:paraId="357B589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r>
      <w:tr w14:paraId="7BBFD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58" w:type="dxa"/>
            <w:gridSpan w:val="3"/>
            <w:noWrap w:val="0"/>
            <w:vAlign w:val="center"/>
          </w:tcPr>
          <w:p w14:paraId="2CA86A16">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2.2.1</w:t>
            </w:r>
          </w:p>
        </w:tc>
        <w:tc>
          <w:tcPr>
            <w:tcW w:w="1370" w:type="dxa"/>
            <w:tcBorders>
              <w:right w:val="single" w:color="auto" w:sz="4" w:space="0"/>
            </w:tcBorders>
            <w:noWrap w:val="0"/>
            <w:vAlign w:val="center"/>
          </w:tcPr>
          <w:p w14:paraId="6EC77CF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63DCED70">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（总分100分）</w:t>
            </w:r>
          </w:p>
        </w:tc>
        <w:tc>
          <w:tcPr>
            <w:tcW w:w="6142" w:type="dxa"/>
            <w:gridSpan w:val="2"/>
            <w:tcBorders>
              <w:left w:val="single" w:color="auto" w:sz="4" w:space="0"/>
            </w:tcBorders>
            <w:noWrap w:val="0"/>
            <w:vAlign w:val="center"/>
          </w:tcPr>
          <w:p w14:paraId="4B1DA1FE">
            <w:pPr>
              <w:pStyle w:val="124"/>
              <w:spacing w:before="80" w:line="240" w:lineRule="auto"/>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信用等级</w:t>
            </w:r>
            <w:r>
              <w:rPr>
                <w:rFonts w:hint="eastAsia" w:ascii="宋体" w:hAnsi="宋体" w:eastAsia="宋体" w:cs="宋体"/>
                <w:b w:val="0"/>
                <w:bCs/>
                <w:color w:val="auto"/>
                <w:sz w:val="24"/>
                <w:szCs w:val="24"/>
                <w:highlight w:val="none"/>
                <w:lang w:val="en-US" w:eastAsia="zh-CN"/>
              </w:rPr>
              <w:t>A</w:t>
            </w:r>
            <w:r>
              <w:rPr>
                <w:rFonts w:hint="eastAsia" w:ascii="宋体" w:hAnsi="宋体" w:eastAsia="宋体" w:cs="宋体"/>
                <w:b w:val="0"/>
                <w:bCs/>
                <w:color w:val="auto"/>
                <w:sz w:val="24"/>
                <w:szCs w:val="24"/>
                <w:highlight w:val="none"/>
                <w:lang w:eastAsia="zh-CN"/>
              </w:rPr>
              <w:t>：10分</w:t>
            </w:r>
          </w:p>
          <w:p w14:paraId="5BBB6D4F">
            <w:pPr>
              <w:pStyle w:val="124"/>
              <w:spacing w:before="80" w:line="240" w:lineRule="auto"/>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商务部分</w:t>
            </w:r>
            <w:r>
              <w:rPr>
                <w:rFonts w:hint="eastAsia" w:ascii="宋体" w:hAnsi="宋体" w:eastAsia="宋体" w:cs="宋体"/>
                <w:b w:val="0"/>
                <w:bCs/>
                <w:color w:val="auto"/>
                <w:sz w:val="24"/>
                <w:szCs w:val="24"/>
                <w:highlight w:val="none"/>
                <w:lang w:val="en-US" w:eastAsia="zh-CN"/>
              </w:rPr>
              <w:t>B</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lang w:eastAsia="zh-CN"/>
              </w:rPr>
              <w:t>分</w:t>
            </w:r>
          </w:p>
          <w:p w14:paraId="7B0BB220">
            <w:pPr>
              <w:pStyle w:val="124"/>
              <w:spacing w:before="80" w:line="240" w:lineRule="auto"/>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技术部分</w:t>
            </w:r>
            <w:r>
              <w:rPr>
                <w:rFonts w:hint="eastAsia" w:ascii="宋体" w:hAnsi="宋体" w:eastAsia="宋体" w:cs="宋体"/>
                <w:b w:val="0"/>
                <w:bCs/>
                <w:color w:val="auto"/>
                <w:sz w:val="24"/>
                <w:szCs w:val="24"/>
                <w:highlight w:val="none"/>
                <w:lang w:val="en-US" w:eastAsia="zh-CN"/>
              </w:rPr>
              <w:t>C</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lang w:eastAsia="zh-CN"/>
              </w:rPr>
              <w:t>分</w:t>
            </w:r>
          </w:p>
          <w:p w14:paraId="45AF199A">
            <w:pPr>
              <w:pStyle w:val="124"/>
              <w:spacing w:before="80" w:line="240" w:lineRule="auto"/>
              <w:jc w:val="both"/>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lang w:eastAsia="zh-CN"/>
              </w:rPr>
              <w:t>报价部分</w:t>
            </w:r>
            <w:r>
              <w:rPr>
                <w:rFonts w:hint="eastAsia" w:ascii="宋体" w:hAnsi="宋体" w:eastAsia="宋体" w:cs="宋体"/>
                <w:b w:val="0"/>
                <w:bCs/>
                <w:color w:val="auto"/>
                <w:sz w:val="24"/>
                <w:szCs w:val="24"/>
                <w:highlight w:val="none"/>
                <w:lang w:val="en-US" w:eastAsia="zh-CN"/>
              </w:rPr>
              <w:t>D</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分</w:t>
            </w:r>
          </w:p>
        </w:tc>
      </w:tr>
      <w:tr w14:paraId="35E8E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6" w:type="dxa"/>
            <w:noWrap w:val="0"/>
            <w:vAlign w:val="center"/>
          </w:tcPr>
          <w:p w14:paraId="0E802A8A">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2.2.1（1）</w:t>
            </w:r>
          </w:p>
        </w:tc>
        <w:tc>
          <w:tcPr>
            <w:tcW w:w="1042" w:type="dxa"/>
            <w:gridSpan w:val="2"/>
            <w:noWrap w:val="0"/>
            <w:vAlign w:val="center"/>
          </w:tcPr>
          <w:p w14:paraId="381FA322">
            <w:pPr>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信用部分得分</w:t>
            </w:r>
          </w:p>
          <w:p w14:paraId="645AC288">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（10分）</w:t>
            </w:r>
          </w:p>
        </w:tc>
        <w:tc>
          <w:tcPr>
            <w:tcW w:w="1370" w:type="dxa"/>
            <w:tcBorders>
              <w:right w:val="single" w:color="auto" w:sz="4" w:space="0"/>
            </w:tcBorders>
            <w:noWrap w:val="0"/>
            <w:vAlign w:val="center"/>
          </w:tcPr>
          <w:p w14:paraId="672C3B90">
            <w:pPr>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信用信息评价</w:t>
            </w:r>
          </w:p>
          <w:p w14:paraId="04B171E1">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（10分）</w:t>
            </w:r>
          </w:p>
        </w:tc>
        <w:tc>
          <w:tcPr>
            <w:tcW w:w="6142" w:type="dxa"/>
            <w:gridSpan w:val="2"/>
            <w:tcBorders>
              <w:left w:val="single" w:color="auto" w:sz="4" w:space="0"/>
            </w:tcBorders>
            <w:noWrap w:val="0"/>
            <w:vAlign w:val="center"/>
          </w:tcPr>
          <w:p w14:paraId="3C7F8467">
            <w:pPr>
              <w:spacing w:line="288"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根据广东省水利厅关于印发《广东省水利厅关于水利建设市场信用的管理办法》的通知[粤水规范字</w:t>
            </w:r>
            <w:r>
              <w:rPr>
                <w:rFonts w:hint="eastAsia" w:ascii="宋体" w:hAnsi="宋体" w:eastAsia="宋体" w:cs="宋体"/>
                <w:bCs/>
                <w:color w:val="auto"/>
                <w:sz w:val="24"/>
                <w:szCs w:val="24"/>
                <w:highlight w:val="none"/>
                <w:lang w:eastAsia="zh-CN"/>
              </w:rPr>
              <w:t>〔2019〕1号</w:t>
            </w:r>
            <w:r>
              <w:rPr>
                <w:rFonts w:hint="eastAsia" w:ascii="宋体" w:hAnsi="宋体" w:eastAsia="宋体" w:cs="宋体"/>
                <w:bCs/>
                <w:color w:val="auto"/>
                <w:sz w:val="24"/>
                <w:szCs w:val="24"/>
                <w:highlight w:val="none"/>
              </w:rPr>
              <w:t>]，在广东省内依法建立了信用档案的水利建设市场主体初始信用分为100分，分值权重为10%，并按照开标时的信用分值（超100分的按100分计算）乘以10%计算所得最终信用得分。</w:t>
            </w:r>
          </w:p>
          <w:p w14:paraId="56D96D01">
            <w:pPr>
              <w:spacing w:line="288"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备注：提供（“广东省水利厅”网站(首页-政府服务-水利建设市场主体信用信息档案系统-广东省水利建设市场信用信息平台-信用信息公开）栏信息及企业信用分值的网页截图）。</w:t>
            </w:r>
          </w:p>
          <w:p w14:paraId="20D0F434">
            <w:pPr>
              <w:widowControl/>
              <w:spacing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rPr>
              <w:t>注：以开标当天招标代理机构在招标单位或监督单位的见证下并在交易中心网上实时</w:t>
            </w:r>
            <w:r>
              <w:rPr>
                <w:rFonts w:hint="eastAsia" w:ascii="宋体" w:hAnsi="宋体" w:eastAsia="宋体" w:cs="宋体"/>
                <w:b/>
                <w:bCs/>
                <w:color w:val="auto"/>
                <w:kern w:val="0"/>
                <w:sz w:val="24"/>
                <w:szCs w:val="24"/>
                <w:highlight w:val="none"/>
                <w:lang w:val="en-US" w:eastAsia="zh-CN"/>
              </w:rPr>
              <w:t>查询</w:t>
            </w:r>
            <w:r>
              <w:rPr>
                <w:rFonts w:hint="eastAsia" w:ascii="宋体" w:hAnsi="宋体" w:eastAsia="宋体" w:cs="宋体"/>
                <w:b/>
                <w:bCs/>
                <w:color w:val="auto"/>
                <w:kern w:val="0"/>
                <w:sz w:val="24"/>
                <w:szCs w:val="24"/>
                <w:highlight w:val="none"/>
              </w:rPr>
              <w:t>截图打印的为准。</w:t>
            </w:r>
          </w:p>
        </w:tc>
      </w:tr>
      <w:tr w14:paraId="441EE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6" w:type="dxa"/>
            <w:vMerge w:val="restart"/>
            <w:noWrap w:val="0"/>
            <w:vAlign w:val="center"/>
          </w:tcPr>
          <w:p w14:paraId="760497B1">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2.2.1（2）</w:t>
            </w:r>
          </w:p>
        </w:tc>
        <w:tc>
          <w:tcPr>
            <w:tcW w:w="1042" w:type="dxa"/>
            <w:gridSpan w:val="2"/>
            <w:vMerge w:val="restart"/>
            <w:noWrap w:val="0"/>
            <w:vAlign w:val="center"/>
          </w:tcPr>
          <w:p w14:paraId="3DE4BCAB">
            <w:pPr>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商务部分得分</w:t>
            </w:r>
          </w:p>
          <w:p w14:paraId="4AF1931E">
            <w:pPr>
              <w:spacing w:line="400" w:lineRule="exact"/>
              <w:jc w:val="both"/>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en-US" w:eastAsia="zh-CN"/>
              </w:rPr>
              <w:t>40</w:t>
            </w:r>
            <w:r>
              <w:rPr>
                <w:rFonts w:hint="eastAsia" w:ascii="宋体" w:hAnsi="宋体" w:eastAsia="宋体" w:cs="宋体"/>
                <w:bCs/>
                <w:color w:val="auto"/>
                <w:sz w:val="24"/>
                <w:szCs w:val="24"/>
                <w:highlight w:val="none"/>
              </w:rPr>
              <w:t>分）</w:t>
            </w:r>
          </w:p>
        </w:tc>
        <w:tc>
          <w:tcPr>
            <w:tcW w:w="1370" w:type="dxa"/>
            <w:tcBorders>
              <w:right w:val="single" w:color="auto" w:sz="4" w:space="0"/>
            </w:tcBorders>
            <w:noWrap w:val="0"/>
            <w:vAlign w:val="center"/>
          </w:tcPr>
          <w:p w14:paraId="586216C2">
            <w:pPr>
              <w:pStyle w:val="10"/>
              <w:adjustRightInd w:val="0"/>
              <w:snapToGrid w:val="0"/>
              <w:spacing w:after="0"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类似工程业绩</w:t>
            </w:r>
          </w:p>
          <w:p w14:paraId="1774ADC0">
            <w:pPr>
              <w:pStyle w:val="10"/>
              <w:adjustRightInd w:val="0"/>
              <w:snapToGrid w:val="0"/>
              <w:spacing w:after="0"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w:t>
            </w:r>
          </w:p>
        </w:tc>
        <w:tc>
          <w:tcPr>
            <w:tcW w:w="6142" w:type="dxa"/>
            <w:gridSpan w:val="2"/>
            <w:tcBorders>
              <w:left w:val="single" w:color="auto" w:sz="4" w:space="0"/>
            </w:tcBorders>
            <w:noWrap w:val="0"/>
            <w:vAlign w:val="center"/>
          </w:tcPr>
          <w:p w14:paraId="0C010404">
            <w:pPr>
              <w:pStyle w:val="10"/>
              <w:adjustRightInd w:val="0"/>
              <w:snapToGrid w:val="0"/>
              <w:spacing w:after="0" w:line="24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投标人近年来（指202</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年1月1日至今），承接过类似工程业绩的</w:t>
            </w:r>
            <w:r>
              <w:rPr>
                <w:rFonts w:hint="eastAsia" w:ascii="宋体" w:hAnsi="宋体" w:eastAsia="宋体" w:cs="宋体"/>
                <w:color w:val="auto"/>
                <w:kern w:val="2"/>
                <w:sz w:val="24"/>
                <w:szCs w:val="24"/>
                <w:highlight w:val="none"/>
                <w:lang w:val="en-US" w:eastAsia="zh-CN"/>
              </w:rPr>
              <w:t>每个得2分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共4</w:t>
            </w:r>
            <w:r>
              <w:rPr>
                <w:rFonts w:hint="eastAsia" w:ascii="宋体" w:hAnsi="宋体" w:eastAsia="宋体" w:cs="宋体"/>
                <w:color w:val="auto"/>
                <w:kern w:val="2"/>
                <w:sz w:val="24"/>
                <w:szCs w:val="24"/>
                <w:highlight w:val="none"/>
              </w:rPr>
              <w:t>分。</w:t>
            </w:r>
          </w:p>
          <w:p w14:paraId="3F13B4A2">
            <w:pPr>
              <w:pStyle w:val="10"/>
              <w:adjustRightInd w:val="0"/>
              <w:snapToGrid w:val="0"/>
              <w:spacing w:after="0" w:line="24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类似工程指：单项合同金额≥</w:t>
            </w:r>
            <w:r>
              <w:rPr>
                <w:rFonts w:hint="eastAsia" w:ascii="宋体" w:hAnsi="宋体" w:eastAsia="宋体" w:cs="宋体"/>
                <w:color w:val="auto"/>
                <w:kern w:val="2"/>
                <w:sz w:val="24"/>
                <w:szCs w:val="24"/>
                <w:highlight w:val="none"/>
                <w:u w:val="single"/>
                <w:lang w:val="en-US" w:eastAsia="zh-CN"/>
              </w:rPr>
              <w:t>400</w:t>
            </w:r>
            <w:r>
              <w:rPr>
                <w:rFonts w:hint="eastAsia" w:ascii="宋体" w:hAnsi="宋体" w:eastAsia="宋体" w:cs="宋体"/>
                <w:color w:val="auto"/>
                <w:kern w:val="2"/>
                <w:sz w:val="24"/>
                <w:szCs w:val="24"/>
                <w:highlight w:val="none"/>
              </w:rPr>
              <w:t>万元的</w:t>
            </w:r>
            <w:r>
              <w:rPr>
                <w:rFonts w:hint="eastAsia" w:ascii="宋体" w:hAnsi="宋体" w:eastAsia="宋体" w:cs="宋体"/>
                <w:color w:val="auto"/>
                <w:kern w:val="2"/>
                <w:sz w:val="24"/>
                <w:szCs w:val="24"/>
                <w:highlight w:val="none"/>
                <w:lang w:val="en-US" w:eastAsia="zh-CN"/>
              </w:rPr>
              <w:t>农田整治类或</w:t>
            </w:r>
            <w:r>
              <w:rPr>
                <w:rFonts w:hint="eastAsia" w:ascii="宋体" w:hAnsi="宋体" w:eastAsia="宋体" w:cs="宋体"/>
                <w:color w:val="auto"/>
                <w:kern w:val="2"/>
                <w:sz w:val="24"/>
                <w:szCs w:val="24"/>
                <w:highlight w:val="none"/>
              </w:rPr>
              <w:t>水利工程。</w:t>
            </w:r>
          </w:p>
          <w:p w14:paraId="20824005">
            <w:pPr>
              <w:pStyle w:val="10"/>
              <w:adjustRightInd w:val="0"/>
              <w:snapToGrid w:val="0"/>
              <w:spacing w:after="0" w:line="24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注：需提供中标通知书或合同协议书关键页扫描页，</w:t>
            </w:r>
            <w:r>
              <w:rPr>
                <w:rFonts w:hint="eastAsia" w:ascii="宋体" w:hAnsi="宋体" w:eastAsia="宋体" w:cs="宋体"/>
                <w:snapToGrid w:val="0"/>
                <w:color w:val="auto"/>
                <w:kern w:val="0"/>
                <w:sz w:val="24"/>
                <w:szCs w:val="24"/>
                <w:highlight w:val="none"/>
                <w:lang w:val="en-US" w:eastAsia="zh-CN"/>
              </w:rPr>
              <w:t>同时提供原件核对。</w:t>
            </w:r>
            <w:r>
              <w:rPr>
                <w:rFonts w:hint="eastAsia" w:ascii="宋体" w:hAnsi="宋体" w:eastAsia="宋体" w:cs="宋体"/>
                <w:color w:val="auto"/>
                <w:kern w:val="2"/>
                <w:sz w:val="24"/>
                <w:szCs w:val="24"/>
                <w:highlight w:val="none"/>
              </w:rPr>
              <w:t>否则不得分。</w:t>
            </w:r>
          </w:p>
        </w:tc>
      </w:tr>
      <w:tr w14:paraId="64F0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6" w:type="dxa"/>
            <w:vMerge w:val="continue"/>
            <w:noWrap w:val="0"/>
            <w:vAlign w:val="center"/>
          </w:tcPr>
          <w:p w14:paraId="3A3E2FBC">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0EC59072">
            <w:pPr>
              <w:spacing w:line="400" w:lineRule="exact"/>
              <w:jc w:val="both"/>
              <w:rPr>
                <w:rFonts w:hint="eastAsia" w:ascii="宋体" w:hAnsi="宋体" w:eastAsia="宋体" w:cs="宋体"/>
                <w:bCs/>
                <w:color w:val="auto"/>
                <w:sz w:val="24"/>
                <w:szCs w:val="24"/>
                <w:highlight w:val="none"/>
                <w:lang w:val="en-US" w:eastAsia="zh-CN"/>
              </w:rPr>
            </w:pPr>
          </w:p>
        </w:tc>
        <w:tc>
          <w:tcPr>
            <w:tcW w:w="1370" w:type="dxa"/>
            <w:tcBorders>
              <w:right w:val="single" w:color="auto" w:sz="4" w:space="0"/>
            </w:tcBorders>
            <w:noWrap w:val="0"/>
            <w:vAlign w:val="center"/>
          </w:tcPr>
          <w:p w14:paraId="3944F219">
            <w:pPr>
              <w:pStyle w:val="10"/>
              <w:adjustRightInd w:val="0"/>
              <w:snapToGrid w:val="0"/>
              <w:spacing w:after="0"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体系认证</w:t>
            </w:r>
          </w:p>
          <w:p w14:paraId="03564DF7">
            <w:pPr>
              <w:pStyle w:val="1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c>
          <w:tcPr>
            <w:tcW w:w="6142" w:type="dxa"/>
            <w:gridSpan w:val="2"/>
            <w:tcBorders>
              <w:left w:val="single" w:color="auto" w:sz="4" w:space="0"/>
            </w:tcBorders>
            <w:noWrap w:val="0"/>
            <w:vAlign w:val="center"/>
          </w:tcPr>
          <w:p w14:paraId="7D889C40">
            <w:pPr>
              <w:pStyle w:val="10"/>
              <w:numPr>
                <w:ilvl w:val="0"/>
                <w:numId w:val="1"/>
              </w:numPr>
              <w:adjustRightInd w:val="0"/>
              <w:snapToGrid w:val="0"/>
              <w:spacing w:after="0" w:line="360" w:lineRule="auto"/>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投标人在本项目招标公告发布前获得以下证书：（1）质量管理体系认证证书、（2）职业健康安全管理体系认证证书、（3）环境管理体系认证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建筑工程合同管理规范体系认证、</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工程施工现场监管信息系统体系认证证书</w:t>
            </w:r>
            <w:r>
              <w:rPr>
                <w:rFonts w:hint="eastAsia" w:ascii="宋体" w:hAnsi="宋体" w:eastAsia="宋体" w:cs="宋体"/>
                <w:color w:val="auto"/>
                <w:kern w:val="2"/>
                <w:sz w:val="24"/>
                <w:szCs w:val="24"/>
                <w:highlight w:val="none"/>
              </w:rPr>
              <w:t>并在有效期内的</w:t>
            </w:r>
            <w:r>
              <w:rPr>
                <w:rFonts w:hint="eastAsia" w:ascii="宋体" w:hAnsi="宋体" w:eastAsia="宋体" w:cs="宋体"/>
                <w:color w:val="auto"/>
                <w:kern w:val="2"/>
                <w:sz w:val="24"/>
                <w:szCs w:val="24"/>
                <w:highlight w:val="none"/>
                <w:lang w:eastAsia="zh-CN"/>
              </w:rPr>
              <w:t>：</w:t>
            </w:r>
          </w:p>
          <w:p w14:paraId="05C8EC7A">
            <w:pPr>
              <w:autoSpaceDE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（1）投标人获得全部5项证书的得8分；</w:t>
            </w:r>
          </w:p>
          <w:p w14:paraId="4E4CCBF5">
            <w:pPr>
              <w:autoSpaceDE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（2）投标人获得其中4项证书的得5分；</w:t>
            </w:r>
          </w:p>
          <w:p w14:paraId="264CAEF2">
            <w:pPr>
              <w:autoSpaceDE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（3）投标人获得其中3项证书的得2分；</w:t>
            </w:r>
          </w:p>
          <w:p w14:paraId="307A7513">
            <w:pPr>
              <w:autoSpaceDE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（4）未提供3项及以上，不予计分。</w:t>
            </w:r>
          </w:p>
          <w:p w14:paraId="2E6F7B06">
            <w:pPr>
              <w:pStyle w:val="10"/>
              <w:numPr>
                <w:ilvl w:val="0"/>
                <w:numId w:val="1"/>
              </w:numPr>
              <w:adjustRightInd w:val="0"/>
              <w:snapToGrid w:val="0"/>
              <w:spacing w:after="0"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本项最高得</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p w14:paraId="5C7646CA">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注：1.须提供有关证书彩色扫描件，同时提供原件核对。</w:t>
            </w:r>
          </w:p>
          <w:p w14:paraId="0714322A">
            <w:pPr>
              <w:pStyle w:val="10"/>
              <w:adjustRightInd w:val="0"/>
              <w:snapToGrid w:val="0"/>
              <w:spacing w:after="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以上证书需提供“全国认证认可信息公共服务平台”（网址：http://cx.cnca.cn）网上查询网页截图及认证证书扫描件，否则不得分。</w:t>
            </w:r>
          </w:p>
        </w:tc>
      </w:tr>
      <w:tr w14:paraId="235B3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6" w:type="dxa"/>
            <w:vMerge w:val="continue"/>
            <w:noWrap w:val="0"/>
            <w:vAlign w:val="center"/>
          </w:tcPr>
          <w:p w14:paraId="0EBB392E">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4C0DC4DB">
            <w:pPr>
              <w:spacing w:line="400" w:lineRule="exact"/>
              <w:jc w:val="both"/>
              <w:rPr>
                <w:rFonts w:hint="eastAsia" w:ascii="宋体" w:hAnsi="宋体" w:eastAsia="宋体" w:cs="宋体"/>
                <w:bCs/>
                <w:color w:val="auto"/>
                <w:sz w:val="24"/>
                <w:szCs w:val="24"/>
                <w:highlight w:val="none"/>
                <w:lang w:val="en-US" w:eastAsia="zh-CN"/>
              </w:rPr>
            </w:pPr>
          </w:p>
        </w:tc>
        <w:tc>
          <w:tcPr>
            <w:tcW w:w="1370" w:type="dxa"/>
            <w:tcBorders>
              <w:right w:val="single" w:color="auto" w:sz="4" w:space="0"/>
            </w:tcBorders>
            <w:noWrap w:val="0"/>
            <w:vAlign w:val="center"/>
          </w:tcPr>
          <w:p w14:paraId="364DE997">
            <w:pPr>
              <w:spacing w:line="360" w:lineRule="auto"/>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主要施工管理人员资质</w:t>
            </w:r>
          </w:p>
          <w:p w14:paraId="211CA6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分）</w:t>
            </w:r>
          </w:p>
        </w:tc>
        <w:tc>
          <w:tcPr>
            <w:tcW w:w="6142" w:type="dxa"/>
            <w:gridSpan w:val="2"/>
            <w:tcBorders>
              <w:left w:val="single" w:color="auto" w:sz="4" w:space="0"/>
            </w:tcBorders>
            <w:noWrap w:val="0"/>
            <w:vAlign w:val="center"/>
          </w:tcPr>
          <w:p w14:paraId="62AB6953">
            <w:pPr>
              <w:pStyle w:val="128"/>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拟派项目</w:t>
            </w:r>
            <w:r>
              <w:rPr>
                <w:rFonts w:hint="eastAsia" w:ascii="宋体" w:hAnsi="宋体" w:eastAsia="宋体" w:cs="宋体"/>
                <w:snapToGrid w:val="0"/>
                <w:color w:val="auto"/>
                <w:kern w:val="0"/>
                <w:sz w:val="24"/>
                <w:szCs w:val="24"/>
                <w:highlight w:val="none"/>
                <w:lang w:val="en-US" w:eastAsia="zh-CN"/>
              </w:rPr>
              <w:t>技术</w:t>
            </w:r>
            <w:r>
              <w:rPr>
                <w:rFonts w:hint="eastAsia" w:ascii="宋体" w:hAnsi="宋体" w:eastAsia="宋体" w:cs="宋体"/>
                <w:snapToGrid w:val="0"/>
                <w:color w:val="auto"/>
                <w:kern w:val="0"/>
                <w:sz w:val="24"/>
                <w:szCs w:val="24"/>
                <w:highlight w:val="none"/>
              </w:rPr>
              <w:t>负责人具有</w:t>
            </w:r>
            <w:r>
              <w:rPr>
                <w:rFonts w:hint="eastAsia" w:ascii="宋体" w:hAnsi="宋体" w:eastAsia="宋体" w:cs="宋体"/>
                <w:snapToGrid w:val="0"/>
                <w:color w:val="auto"/>
                <w:kern w:val="0"/>
                <w:sz w:val="24"/>
                <w:szCs w:val="24"/>
                <w:highlight w:val="none"/>
                <w:lang w:val="en-US" w:eastAsia="zh-CN"/>
              </w:rPr>
              <w:t>高级工程师</w:t>
            </w:r>
            <w:r>
              <w:rPr>
                <w:rFonts w:hint="eastAsia" w:ascii="宋体" w:hAnsi="宋体" w:eastAsia="宋体" w:cs="宋体"/>
                <w:snapToGrid w:val="0"/>
                <w:color w:val="auto"/>
                <w:kern w:val="0"/>
                <w:sz w:val="24"/>
                <w:szCs w:val="24"/>
                <w:highlight w:val="none"/>
              </w:rPr>
              <w:t>的得</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w:t>
            </w:r>
            <w:r>
              <w:rPr>
                <w:rFonts w:hint="eastAsia" w:ascii="宋体" w:hAnsi="宋体" w:eastAsia="宋体" w:cs="宋体"/>
                <w:snapToGrid w:val="0"/>
                <w:color w:val="auto"/>
                <w:kern w:val="0"/>
                <w:sz w:val="24"/>
                <w:szCs w:val="24"/>
                <w:highlight w:val="none"/>
                <w:lang w:eastAsia="zh-CN"/>
              </w:rPr>
              <w:t>。</w:t>
            </w:r>
          </w:p>
          <w:p w14:paraId="6B908642">
            <w:pPr>
              <w:pStyle w:val="128"/>
              <w:adjustRightInd w:val="0"/>
              <w:snapToGri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snapToGrid w:val="0"/>
                <w:color w:val="auto"/>
                <w:kern w:val="0"/>
                <w:sz w:val="24"/>
                <w:szCs w:val="24"/>
                <w:highlight w:val="none"/>
              </w:rPr>
              <w:t>注：需提供相关证书及在投标单位近3个月（其中必须有202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月）社保证明的扫描件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退休的提供返聘协议</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，否则不得分。</w:t>
            </w:r>
          </w:p>
        </w:tc>
      </w:tr>
      <w:tr w14:paraId="7D907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816" w:type="dxa"/>
            <w:vMerge w:val="continue"/>
            <w:noWrap w:val="0"/>
            <w:vAlign w:val="center"/>
          </w:tcPr>
          <w:p w14:paraId="4FE9826D">
            <w:pPr>
              <w:spacing w:line="400" w:lineRule="exact"/>
              <w:rPr>
                <w:rFonts w:hint="eastAsia" w:ascii="宋体" w:hAnsi="宋体" w:eastAsia="宋体" w:cs="宋体"/>
                <w:color w:val="auto"/>
                <w:sz w:val="24"/>
                <w:szCs w:val="24"/>
                <w:highlight w:val="none"/>
              </w:rPr>
            </w:pPr>
          </w:p>
        </w:tc>
        <w:tc>
          <w:tcPr>
            <w:tcW w:w="1042" w:type="dxa"/>
            <w:gridSpan w:val="2"/>
            <w:vMerge w:val="continue"/>
            <w:noWrap w:val="0"/>
            <w:vAlign w:val="center"/>
          </w:tcPr>
          <w:p w14:paraId="269954D5">
            <w:pPr>
              <w:spacing w:line="400" w:lineRule="exact"/>
              <w:jc w:val="center"/>
              <w:rPr>
                <w:rFonts w:hint="eastAsia" w:ascii="宋体" w:hAnsi="宋体" w:eastAsia="宋体" w:cs="宋体"/>
                <w:bCs/>
                <w:color w:val="auto"/>
                <w:sz w:val="24"/>
                <w:szCs w:val="24"/>
                <w:highlight w:val="none"/>
              </w:rPr>
            </w:pPr>
          </w:p>
        </w:tc>
        <w:tc>
          <w:tcPr>
            <w:tcW w:w="1370" w:type="dxa"/>
            <w:tcBorders>
              <w:right w:val="single" w:color="auto" w:sz="4" w:space="0"/>
            </w:tcBorders>
            <w:shd w:val="clear" w:color="auto" w:fill="auto"/>
            <w:noWrap w:val="0"/>
            <w:vAlign w:val="center"/>
          </w:tcPr>
          <w:p w14:paraId="0FCE84A6">
            <w:pPr>
              <w:pStyle w:val="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其他管理人员（6分）</w:t>
            </w:r>
          </w:p>
        </w:tc>
        <w:tc>
          <w:tcPr>
            <w:tcW w:w="6142" w:type="dxa"/>
            <w:gridSpan w:val="2"/>
            <w:tcBorders>
              <w:left w:val="single" w:color="auto" w:sz="4" w:space="0"/>
            </w:tcBorders>
            <w:shd w:val="clear" w:color="auto" w:fill="auto"/>
            <w:noWrap w:val="0"/>
            <w:vAlign w:val="center"/>
          </w:tcPr>
          <w:p w14:paraId="6143F772">
            <w:pPr>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（1）投标人拟投入的：施工员、质检员、材料员、资料员，具有相应岗位证书的，每人得1分，本小项最高得4分。</w:t>
            </w:r>
          </w:p>
          <w:p w14:paraId="3CE34537">
            <w:pPr>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（2）投标人拟投入造价员具有有效的二级或以上注册造价工程师的，得2分；本小项最高得2分。</w:t>
            </w:r>
          </w:p>
          <w:p w14:paraId="1D4381B9">
            <w:pPr>
              <w:spacing w:line="36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注：本项最高得6分。以上人员不得互相兼任，须提供相关证书证明彩色扫描件及个人近3个月(其中必须有2026年4月)的社保证明彩色扫描件并加盖公章，如投入的人员为退休人员，须提供退休证及返聘证明彩色扫描件并加盖公章。</w:t>
            </w:r>
          </w:p>
        </w:tc>
      </w:tr>
      <w:tr w14:paraId="44423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9" w:hRule="atLeast"/>
          <w:jc w:val="center"/>
        </w:trPr>
        <w:tc>
          <w:tcPr>
            <w:tcW w:w="816" w:type="dxa"/>
            <w:vMerge w:val="continue"/>
            <w:noWrap w:val="0"/>
            <w:vAlign w:val="center"/>
          </w:tcPr>
          <w:p w14:paraId="0F106C02">
            <w:pPr>
              <w:spacing w:line="400" w:lineRule="exact"/>
              <w:rPr>
                <w:rFonts w:hint="eastAsia" w:ascii="宋体" w:hAnsi="宋体" w:eastAsia="宋体" w:cs="宋体"/>
                <w:color w:val="auto"/>
                <w:sz w:val="24"/>
                <w:szCs w:val="24"/>
                <w:highlight w:val="none"/>
              </w:rPr>
            </w:pPr>
          </w:p>
        </w:tc>
        <w:tc>
          <w:tcPr>
            <w:tcW w:w="1042" w:type="dxa"/>
            <w:gridSpan w:val="2"/>
            <w:vMerge w:val="continue"/>
            <w:noWrap w:val="0"/>
            <w:vAlign w:val="center"/>
          </w:tcPr>
          <w:p w14:paraId="3F472BA8">
            <w:pPr>
              <w:spacing w:line="400" w:lineRule="exact"/>
              <w:jc w:val="center"/>
              <w:rPr>
                <w:rFonts w:hint="eastAsia" w:ascii="宋体" w:hAnsi="宋体" w:eastAsia="宋体" w:cs="宋体"/>
                <w:bCs/>
                <w:color w:val="auto"/>
                <w:sz w:val="24"/>
                <w:szCs w:val="24"/>
                <w:highlight w:val="none"/>
              </w:rPr>
            </w:pPr>
          </w:p>
        </w:tc>
        <w:tc>
          <w:tcPr>
            <w:tcW w:w="1370" w:type="dxa"/>
            <w:vMerge w:val="restart"/>
            <w:tcBorders>
              <w:right w:val="single" w:color="auto" w:sz="4" w:space="0"/>
            </w:tcBorders>
            <w:noWrap w:val="0"/>
            <w:vAlign w:val="center"/>
          </w:tcPr>
          <w:p w14:paraId="363D711C">
            <w:pPr>
              <w:pStyle w:val="9"/>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招标人自选项(20分)</w:t>
            </w:r>
          </w:p>
        </w:tc>
        <w:tc>
          <w:tcPr>
            <w:tcW w:w="6142" w:type="dxa"/>
            <w:gridSpan w:val="2"/>
            <w:tcBorders>
              <w:left w:val="single" w:color="auto" w:sz="4" w:space="0"/>
            </w:tcBorders>
            <w:noWrap w:val="0"/>
            <w:vAlign w:val="center"/>
          </w:tcPr>
          <w:p w14:paraId="01B919CE">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投标人从2021 年度至今获得过省级/国级“AAA级信用企业”称号的得5分，本项最高可得5分。</w:t>
            </w:r>
          </w:p>
          <w:p w14:paraId="282CFD0F">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注1．需附相关证书彩色扫描件，同时提供原件供核对。</w:t>
            </w:r>
          </w:p>
          <w:p w14:paraId="197F7CFB">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2．证书须由省级/国级企业联合会和企业家协会（相关协会需经民政部门备案）同时颁发。</w:t>
            </w:r>
          </w:p>
          <w:p w14:paraId="5708515F">
            <w:pPr>
              <w:spacing w:line="360" w:lineRule="auto"/>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3．未提供原件的；颁发机构、获奖时间不符合评分标准和备注规定的，不予得分。</w:t>
            </w:r>
          </w:p>
        </w:tc>
      </w:tr>
      <w:tr w14:paraId="6D09F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816" w:type="dxa"/>
            <w:vMerge w:val="continue"/>
            <w:noWrap w:val="0"/>
            <w:vAlign w:val="center"/>
          </w:tcPr>
          <w:p w14:paraId="1F21A2D8">
            <w:pPr>
              <w:spacing w:line="400" w:lineRule="exact"/>
              <w:rPr>
                <w:rFonts w:hint="eastAsia" w:ascii="宋体" w:hAnsi="宋体" w:eastAsia="宋体" w:cs="宋体"/>
                <w:color w:val="auto"/>
                <w:sz w:val="24"/>
                <w:szCs w:val="24"/>
                <w:highlight w:val="none"/>
              </w:rPr>
            </w:pPr>
          </w:p>
        </w:tc>
        <w:tc>
          <w:tcPr>
            <w:tcW w:w="1042" w:type="dxa"/>
            <w:gridSpan w:val="2"/>
            <w:vMerge w:val="continue"/>
            <w:noWrap w:val="0"/>
            <w:vAlign w:val="center"/>
          </w:tcPr>
          <w:p w14:paraId="4D2DDDB2">
            <w:pPr>
              <w:spacing w:line="400" w:lineRule="exact"/>
              <w:jc w:val="center"/>
              <w:rPr>
                <w:rFonts w:hint="eastAsia" w:ascii="宋体" w:hAnsi="宋体" w:eastAsia="宋体" w:cs="宋体"/>
                <w:bCs/>
                <w:color w:val="auto"/>
                <w:sz w:val="24"/>
                <w:szCs w:val="24"/>
                <w:highlight w:val="none"/>
              </w:rPr>
            </w:pPr>
          </w:p>
        </w:tc>
        <w:tc>
          <w:tcPr>
            <w:tcW w:w="1370" w:type="dxa"/>
            <w:vMerge w:val="continue"/>
            <w:tcBorders>
              <w:right w:val="single" w:color="auto" w:sz="4" w:space="0"/>
            </w:tcBorders>
            <w:noWrap w:val="0"/>
            <w:vAlign w:val="center"/>
          </w:tcPr>
          <w:p w14:paraId="10467E3C">
            <w:pPr>
              <w:pStyle w:val="9"/>
              <w:spacing w:line="360" w:lineRule="auto"/>
              <w:jc w:val="center"/>
              <w:rPr>
                <w:rFonts w:hint="eastAsia" w:ascii="宋体" w:hAnsi="宋体" w:eastAsia="宋体" w:cs="宋体"/>
                <w:color w:val="auto"/>
                <w:kern w:val="2"/>
                <w:sz w:val="24"/>
                <w:szCs w:val="24"/>
                <w:highlight w:val="none"/>
                <w:lang w:val="en-US" w:eastAsia="zh-CN" w:bidi="ar-SA"/>
              </w:rPr>
            </w:pPr>
          </w:p>
        </w:tc>
        <w:tc>
          <w:tcPr>
            <w:tcW w:w="6142" w:type="dxa"/>
            <w:gridSpan w:val="2"/>
            <w:tcBorders>
              <w:left w:val="single" w:color="auto" w:sz="4" w:space="0"/>
            </w:tcBorders>
            <w:noWrap w:val="0"/>
            <w:vAlign w:val="center"/>
          </w:tcPr>
          <w:p w14:paraId="4B614BFC">
            <w:pPr>
              <w:pStyle w:val="128"/>
              <w:numPr>
                <w:ilvl w:val="0"/>
                <w:numId w:val="2"/>
              </w:numPr>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企业近年度（2021年度至今）连续4年或以上获得省级或以上商业联合会颁发的诚信兴商证书的得5分；</w:t>
            </w:r>
          </w:p>
          <w:p w14:paraId="4FA49974">
            <w:pPr>
              <w:pStyle w:val="128"/>
              <w:numPr>
                <w:ilvl w:val="0"/>
                <w:numId w:val="2"/>
              </w:numPr>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企业近年度（2021年度至今）连续3年获得省级或以上商业联合会颁发的诚信兴商证书的得3分；</w:t>
            </w:r>
          </w:p>
          <w:p w14:paraId="6D55108A">
            <w:pPr>
              <w:pStyle w:val="128"/>
              <w:numPr>
                <w:ilvl w:val="0"/>
                <w:numId w:val="2"/>
              </w:numPr>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企业近年度（2021年度至今）连续2年获得省级或以上商业联合会颁发的诚信兴商证书的得1分。</w:t>
            </w:r>
          </w:p>
          <w:p w14:paraId="08F8BAE7">
            <w:pPr>
              <w:pStyle w:val="128"/>
              <w:numPr>
                <w:ilvl w:val="0"/>
                <w:numId w:val="2"/>
              </w:numPr>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本项最高可得5分。</w:t>
            </w:r>
          </w:p>
          <w:p w14:paraId="66669DFF">
            <w:pPr>
              <w:pStyle w:val="128"/>
              <w:numPr>
                <w:ilvl w:val="0"/>
                <w:numId w:val="2"/>
              </w:numPr>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其他情况不得分。</w:t>
            </w:r>
          </w:p>
          <w:p w14:paraId="530A6636">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注：1.证书由省级或以上商业联合会（相关协会需经民政部门备案）颁发，须提供有关证书彩色扫描件，同时提供原件核对。</w:t>
            </w:r>
          </w:p>
          <w:p w14:paraId="5856A045">
            <w:pPr>
              <w:spacing w:line="360" w:lineRule="auto"/>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2.未提供原件的，颁发机构不符合要求的，不得分。</w:t>
            </w:r>
          </w:p>
        </w:tc>
      </w:tr>
      <w:tr w14:paraId="7F0AE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16" w:type="dxa"/>
            <w:vMerge w:val="continue"/>
            <w:noWrap w:val="0"/>
            <w:vAlign w:val="center"/>
          </w:tcPr>
          <w:p w14:paraId="00038AAE">
            <w:pPr>
              <w:spacing w:line="400" w:lineRule="exact"/>
              <w:rPr>
                <w:rFonts w:hint="eastAsia" w:ascii="宋体" w:hAnsi="宋体" w:eastAsia="宋体" w:cs="宋体"/>
                <w:color w:val="auto"/>
                <w:sz w:val="24"/>
                <w:szCs w:val="24"/>
                <w:highlight w:val="none"/>
              </w:rPr>
            </w:pPr>
          </w:p>
        </w:tc>
        <w:tc>
          <w:tcPr>
            <w:tcW w:w="1042" w:type="dxa"/>
            <w:gridSpan w:val="2"/>
            <w:vMerge w:val="continue"/>
            <w:noWrap w:val="0"/>
            <w:vAlign w:val="center"/>
          </w:tcPr>
          <w:p w14:paraId="277DA974">
            <w:pPr>
              <w:spacing w:line="400" w:lineRule="exact"/>
              <w:jc w:val="center"/>
              <w:rPr>
                <w:rFonts w:hint="eastAsia" w:ascii="宋体" w:hAnsi="宋体" w:eastAsia="宋体" w:cs="宋体"/>
                <w:bCs/>
                <w:color w:val="auto"/>
                <w:sz w:val="24"/>
                <w:szCs w:val="24"/>
                <w:highlight w:val="none"/>
              </w:rPr>
            </w:pPr>
          </w:p>
        </w:tc>
        <w:tc>
          <w:tcPr>
            <w:tcW w:w="1370" w:type="dxa"/>
            <w:vMerge w:val="continue"/>
            <w:tcBorders>
              <w:right w:val="single" w:color="auto" w:sz="4" w:space="0"/>
            </w:tcBorders>
            <w:noWrap w:val="0"/>
            <w:vAlign w:val="center"/>
          </w:tcPr>
          <w:p w14:paraId="783F20F7">
            <w:pPr>
              <w:pStyle w:val="9"/>
              <w:spacing w:line="360" w:lineRule="auto"/>
              <w:jc w:val="center"/>
              <w:rPr>
                <w:rFonts w:hint="eastAsia" w:ascii="宋体" w:hAnsi="宋体" w:eastAsia="宋体" w:cs="宋体"/>
                <w:color w:val="auto"/>
                <w:kern w:val="2"/>
                <w:sz w:val="24"/>
                <w:szCs w:val="24"/>
                <w:highlight w:val="none"/>
                <w:lang w:val="en-US" w:eastAsia="zh-CN" w:bidi="ar-SA"/>
              </w:rPr>
            </w:pPr>
          </w:p>
        </w:tc>
        <w:tc>
          <w:tcPr>
            <w:tcW w:w="6142" w:type="dxa"/>
            <w:gridSpan w:val="2"/>
            <w:tcBorders>
              <w:left w:val="single" w:color="auto" w:sz="4" w:space="0"/>
            </w:tcBorders>
            <w:noWrap w:val="0"/>
            <w:vAlign w:val="center"/>
          </w:tcPr>
          <w:p w14:paraId="43B53DFD">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1.企业近年度（2021年至今）连续3年以上或以上获得地级市或以上工程行业协会颁发的“优秀典型施工企业”的得5分；</w:t>
            </w:r>
          </w:p>
          <w:p w14:paraId="5BAE4D44">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2.企业近年度（2021年至今）连续2年获得地级市或以上工程行业协会颁发的“优秀典型施工企业”的得3分；</w:t>
            </w:r>
          </w:p>
          <w:p w14:paraId="433EF6B8">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3.企业近年度（2021年至今）获得过地级市工程行业协会颁发的“优秀典型施工企业”的得1分；</w:t>
            </w:r>
          </w:p>
          <w:p w14:paraId="5742133D">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本项最高可得5分。</w:t>
            </w:r>
          </w:p>
          <w:p w14:paraId="50DE0BB2">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注：1.证书由地级市或以上相关政府部门或地级市及以上工程行业协会（相关协会须经民政部门备案）颁发，须提供有关证书复印件（或打印件），同时提供原件核对。</w:t>
            </w:r>
          </w:p>
          <w:p w14:paraId="7CB72552">
            <w:pPr>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2.未提供原件的，颁发机构不符合的，不得分。</w:t>
            </w:r>
          </w:p>
        </w:tc>
      </w:tr>
      <w:tr w14:paraId="114E1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816" w:type="dxa"/>
            <w:vMerge w:val="continue"/>
            <w:noWrap w:val="0"/>
            <w:vAlign w:val="center"/>
          </w:tcPr>
          <w:p w14:paraId="0477A3DF">
            <w:pPr>
              <w:spacing w:line="400" w:lineRule="exact"/>
              <w:rPr>
                <w:rFonts w:hint="eastAsia" w:ascii="宋体" w:hAnsi="宋体" w:eastAsia="宋体" w:cs="宋体"/>
                <w:color w:val="auto"/>
                <w:sz w:val="24"/>
                <w:szCs w:val="24"/>
                <w:highlight w:val="none"/>
              </w:rPr>
            </w:pPr>
          </w:p>
        </w:tc>
        <w:tc>
          <w:tcPr>
            <w:tcW w:w="1042" w:type="dxa"/>
            <w:gridSpan w:val="2"/>
            <w:vMerge w:val="continue"/>
            <w:noWrap w:val="0"/>
            <w:vAlign w:val="center"/>
          </w:tcPr>
          <w:p w14:paraId="36D5E38E">
            <w:pPr>
              <w:spacing w:line="400" w:lineRule="exact"/>
              <w:jc w:val="center"/>
              <w:rPr>
                <w:rFonts w:hint="eastAsia" w:ascii="宋体" w:hAnsi="宋体" w:eastAsia="宋体" w:cs="宋体"/>
                <w:bCs/>
                <w:color w:val="auto"/>
                <w:sz w:val="24"/>
                <w:szCs w:val="24"/>
                <w:highlight w:val="none"/>
              </w:rPr>
            </w:pPr>
          </w:p>
        </w:tc>
        <w:tc>
          <w:tcPr>
            <w:tcW w:w="1370" w:type="dxa"/>
            <w:vMerge w:val="continue"/>
            <w:tcBorders>
              <w:right w:val="single" w:color="auto" w:sz="4" w:space="0"/>
            </w:tcBorders>
            <w:noWrap w:val="0"/>
            <w:vAlign w:val="center"/>
          </w:tcPr>
          <w:p w14:paraId="36950277">
            <w:pPr>
              <w:pStyle w:val="5"/>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6142" w:type="dxa"/>
            <w:gridSpan w:val="2"/>
            <w:tcBorders>
              <w:left w:val="single" w:color="auto" w:sz="4" w:space="0"/>
            </w:tcBorders>
            <w:noWrap w:val="0"/>
            <w:vAlign w:val="center"/>
          </w:tcPr>
          <w:p w14:paraId="627F9ED8">
            <w:pPr>
              <w:pStyle w:val="128"/>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企业近年度（2021年至今） 获得省级或以上质量协会（相关协会需经民政部门备案）颁发的“用户满意企业”的得5分，本项最高可得5分。</w:t>
            </w:r>
          </w:p>
          <w:p w14:paraId="0D0526EC">
            <w:pPr>
              <w:pStyle w:val="128"/>
              <w:adjustRightInd w:val="0"/>
              <w:snapToGrid w:val="0"/>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注：须提供有关证书彩色扫描件，同时提供原件核对。证书专业及颁发机构不符合要求的，不得分。</w:t>
            </w:r>
          </w:p>
        </w:tc>
      </w:tr>
      <w:tr w14:paraId="2E2D1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6" w:type="dxa"/>
            <w:vMerge w:val="restart"/>
            <w:noWrap w:val="0"/>
            <w:vAlign w:val="center"/>
          </w:tcPr>
          <w:p w14:paraId="4D866D69">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2.2.1（3）</w:t>
            </w:r>
          </w:p>
        </w:tc>
        <w:tc>
          <w:tcPr>
            <w:tcW w:w="1042" w:type="dxa"/>
            <w:gridSpan w:val="2"/>
            <w:vMerge w:val="restart"/>
            <w:noWrap w:val="0"/>
            <w:vAlign w:val="center"/>
          </w:tcPr>
          <w:p w14:paraId="7A05B74E">
            <w:pPr>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技术部分得分</w:t>
            </w:r>
          </w:p>
          <w:p w14:paraId="4DFA27F0">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40</w:t>
            </w:r>
            <w:r>
              <w:rPr>
                <w:rFonts w:hint="eastAsia" w:ascii="宋体" w:hAnsi="宋体" w:eastAsia="宋体" w:cs="宋体"/>
                <w:bCs/>
                <w:color w:val="auto"/>
                <w:sz w:val="24"/>
                <w:szCs w:val="24"/>
                <w:highlight w:val="none"/>
              </w:rPr>
              <w:t>分）</w:t>
            </w:r>
          </w:p>
        </w:tc>
        <w:tc>
          <w:tcPr>
            <w:tcW w:w="1370" w:type="dxa"/>
            <w:tcBorders>
              <w:right w:val="single" w:color="auto" w:sz="4" w:space="0"/>
            </w:tcBorders>
            <w:noWrap w:val="0"/>
            <w:vAlign w:val="center"/>
          </w:tcPr>
          <w:p w14:paraId="178623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施工组织设计内容完整性和编制水平</w:t>
            </w:r>
          </w:p>
          <w:p w14:paraId="39D3FC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6142" w:type="dxa"/>
            <w:gridSpan w:val="2"/>
            <w:tcBorders>
              <w:left w:val="single" w:color="auto" w:sz="4" w:space="0"/>
            </w:tcBorders>
            <w:noWrap w:val="0"/>
            <w:vAlign w:val="center"/>
          </w:tcPr>
          <w:p w14:paraId="69E24AB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（1）施工组织设计内容完整，编制水平较为优秀，得5分；</w:t>
            </w:r>
          </w:p>
          <w:p w14:paraId="7F47ABF7">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（2）施工组织设计内容完整性和编制水平较为良好，得4.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E6123A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（3）施工组织设计内容完整性和编制水平一般，得4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9BFA754">
            <w:pPr>
              <w:pStyle w:val="5"/>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color w:val="auto"/>
                <w:sz w:val="24"/>
                <w:szCs w:val="24"/>
                <w:highlight w:val="none"/>
              </w:rPr>
              <w:t>（4）无此项内容，不得分。</w:t>
            </w:r>
          </w:p>
        </w:tc>
      </w:tr>
      <w:tr w14:paraId="37E5E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6" w:type="dxa"/>
            <w:vMerge w:val="continue"/>
            <w:noWrap w:val="0"/>
            <w:vAlign w:val="center"/>
          </w:tcPr>
          <w:p w14:paraId="0F86E592">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1C02F6AB">
            <w:pPr>
              <w:spacing w:line="400" w:lineRule="exact"/>
              <w:jc w:val="center"/>
              <w:rPr>
                <w:rFonts w:hint="eastAsia" w:ascii="宋体" w:hAnsi="宋体" w:eastAsia="宋体" w:cs="宋体"/>
                <w:bCs/>
                <w:color w:val="auto"/>
                <w:sz w:val="24"/>
                <w:szCs w:val="24"/>
                <w:highlight w:val="none"/>
              </w:rPr>
            </w:pPr>
          </w:p>
        </w:tc>
        <w:tc>
          <w:tcPr>
            <w:tcW w:w="1370" w:type="dxa"/>
            <w:tcBorders>
              <w:right w:val="single" w:color="auto" w:sz="4" w:space="0"/>
            </w:tcBorders>
            <w:noWrap w:val="0"/>
            <w:vAlign w:val="center"/>
          </w:tcPr>
          <w:p w14:paraId="33F86F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施工方案与技术措施的合理性、科学性与可行性</w:t>
            </w:r>
          </w:p>
          <w:p w14:paraId="429AE9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142" w:type="dxa"/>
            <w:gridSpan w:val="2"/>
            <w:tcBorders>
              <w:left w:val="single" w:color="auto" w:sz="4" w:space="0"/>
            </w:tcBorders>
            <w:noWrap w:val="0"/>
            <w:vAlign w:val="center"/>
          </w:tcPr>
          <w:p w14:paraId="3E31F03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（1）施工方案（含</w:t>
            </w:r>
            <w:r>
              <w:rPr>
                <w:rFonts w:hint="eastAsia" w:ascii="宋体" w:hAnsi="宋体" w:eastAsia="宋体" w:cs="宋体"/>
                <w:snapToGrid w:val="0"/>
                <w:color w:val="auto"/>
                <w:kern w:val="0"/>
                <w:sz w:val="24"/>
                <w:szCs w:val="24"/>
                <w:highlight w:val="none"/>
              </w:rPr>
              <w:t>绿色施工</w:t>
            </w:r>
            <w:r>
              <w:rPr>
                <w:rFonts w:hint="eastAsia" w:ascii="宋体" w:hAnsi="宋体" w:eastAsia="宋体" w:cs="宋体"/>
                <w:color w:val="auto"/>
                <w:sz w:val="24"/>
                <w:szCs w:val="24"/>
                <w:highlight w:val="none"/>
              </w:rPr>
              <w:t>）与技术</w:t>
            </w:r>
            <w:r>
              <w:rPr>
                <w:rFonts w:hint="eastAsia" w:ascii="宋体" w:hAnsi="宋体" w:eastAsia="宋体" w:cs="宋体"/>
                <w:color w:val="auto"/>
                <w:sz w:val="24"/>
                <w:szCs w:val="24"/>
                <w:highlight w:val="none"/>
                <w:lang w:eastAsia="zh-CN"/>
              </w:rPr>
              <w:t>措施</w:t>
            </w:r>
            <w:r>
              <w:rPr>
                <w:rFonts w:hint="eastAsia" w:ascii="宋体" w:hAnsi="宋体" w:eastAsia="宋体" w:cs="宋体"/>
                <w:color w:val="auto"/>
                <w:sz w:val="24"/>
                <w:szCs w:val="24"/>
                <w:highlight w:val="none"/>
              </w:rPr>
              <w:t>非常合理、科学、可行，为优秀，得6分；</w:t>
            </w:r>
          </w:p>
          <w:p w14:paraId="5212B35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（2）施工方案（含</w:t>
            </w:r>
            <w:r>
              <w:rPr>
                <w:rFonts w:hint="eastAsia" w:ascii="宋体" w:hAnsi="宋体" w:eastAsia="宋体" w:cs="宋体"/>
                <w:snapToGrid w:val="0"/>
                <w:color w:val="auto"/>
                <w:kern w:val="0"/>
                <w:sz w:val="24"/>
                <w:szCs w:val="24"/>
                <w:highlight w:val="none"/>
              </w:rPr>
              <w:t>绿色施工</w:t>
            </w:r>
            <w:r>
              <w:rPr>
                <w:rFonts w:hint="eastAsia" w:ascii="宋体" w:hAnsi="宋体" w:eastAsia="宋体" w:cs="宋体"/>
                <w:color w:val="auto"/>
                <w:sz w:val="24"/>
                <w:szCs w:val="24"/>
                <w:highlight w:val="none"/>
              </w:rPr>
              <w:t>）与技术措施的基本合理、科学、可行，为良好，得5.</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7B85AA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（3）施工方案（含</w:t>
            </w:r>
            <w:r>
              <w:rPr>
                <w:rFonts w:hint="eastAsia" w:ascii="宋体" w:hAnsi="宋体" w:eastAsia="宋体" w:cs="宋体"/>
                <w:snapToGrid w:val="0"/>
                <w:color w:val="auto"/>
                <w:kern w:val="0"/>
                <w:sz w:val="24"/>
                <w:szCs w:val="24"/>
                <w:highlight w:val="none"/>
              </w:rPr>
              <w:t>绿色施工</w:t>
            </w:r>
            <w:r>
              <w:rPr>
                <w:rFonts w:hint="eastAsia" w:ascii="宋体" w:hAnsi="宋体" w:eastAsia="宋体" w:cs="宋体"/>
                <w:color w:val="auto"/>
                <w:sz w:val="24"/>
                <w:szCs w:val="24"/>
                <w:highlight w:val="none"/>
              </w:rPr>
              <w:t>）与技术措施的合理性、科学性、可行性较差，为一般，得5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326E1DC">
            <w:pPr>
              <w:pStyle w:val="5"/>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rPr>
              <w:t>（4）无此项内容，不得分。</w:t>
            </w:r>
          </w:p>
        </w:tc>
      </w:tr>
      <w:tr w14:paraId="4912C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816" w:type="dxa"/>
            <w:vMerge w:val="continue"/>
            <w:noWrap w:val="0"/>
            <w:vAlign w:val="center"/>
          </w:tcPr>
          <w:p w14:paraId="38577DE8">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5F819B8E">
            <w:pPr>
              <w:spacing w:line="400" w:lineRule="exact"/>
              <w:jc w:val="center"/>
              <w:rPr>
                <w:rFonts w:hint="eastAsia" w:ascii="宋体" w:hAnsi="宋体" w:eastAsia="宋体" w:cs="宋体"/>
                <w:bCs/>
                <w:color w:val="auto"/>
                <w:sz w:val="24"/>
                <w:szCs w:val="24"/>
                <w:highlight w:val="none"/>
              </w:rPr>
            </w:pPr>
          </w:p>
        </w:tc>
        <w:tc>
          <w:tcPr>
            <w:tcW w:w="1370" w:type="dxa"/>
            <w:tcBorders>
              <w:right w:val="single" w:color="auto" w:sz="4" w:space="0"/>
            </w:tcBorders>
            <w:noWrap w:val="0"/>
            <w:vAlign w:val="center"/>
          </w:tcPr>
          <w:p w14:paraId="2F1C62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w:t>
            </w:r>
          </w:p>
          <w:p w14:paraId="4218CF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142" w:type="dxa"/>
            <w:gridSpan w:val="2"/>
            <w:tcBorders>
              <w:left w:val="single" w:color="auto" w:sz="4" w:space="0"/>
            </w:tcBorders>
            <w:noWrap w:val="0"/>
            <w:vAlign w:val="center"/>
          </w:tcPr>
          <w:p w14:paraId="64F2160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（1）质量管理体系与管理措施较优秀，得6分；</w:t>
            </w:r>
          </w:p>
          <w:p w14:paraId="72DF29E1">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（2）质量管理体系与管理措施较良好，得5.</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5E94B9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（3）质量管理体系与管理措施一般，得</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分。</w:t>
            </w:r>
          </w:p>
          <w:p w14:paraId="2E241B64">
            <w:pPr>
              <w:pStyle w:val="5"/>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rPr>
              <w:t>（4）无此项内容，不得分。</w:t>
            </w:r>
          </w:p>
        </w:tc>
      </w:tr>
      <w:tr w14:paraId="54ACA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816" w:type="dxa"/>
            <w:vMerge w:val="continue"/>
            <w:noWrap w:val="0"/>
            <w:vAlign w:val="center"/>
          </w:tcPr>
          <w:p w14:paraId="6199CF1F">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24CAC815">
            <w:pPr>
              <w:spacing w:line="400" w:lineRule="exact"/>
              <w:jc w:val="center"/>
              <w:rPr>
                <w:rFonts w:hint="eastAsia" w:ascii="宋体" w:hAnsi="宋体" w:eastAsia="宋体" w:cs="宋体"/>
                <w:bCs/>
                <w:color w:val="auto"/>
                <w:sz w:val="24"/>
                <w:szCs w:val="24"/>
                <w:highlight w:val="none"/>
              </w:rPr>
            </w:pPr>
          </w:p>
        </w:tc>
        <w:tc>
          <w:tcPr>
            <w:tcW w:w="1370" w:type="dxa"/>
            <w:tcBorders>
              <w:right w:val="single" w:color="auto" w:sz="4" w:space="0"/>
            </w:tcBorders>
            <w:noWrap w:val="0"/>
            <w:vAlign w:val="center"/>
          </w:tcPr>
          <w:p w14:paraId="778B0FFE">
            <w:pPr>
              <w:pStyle w:val="5"/>
              <w:spacing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安全管理体系与措施</w:t>
            </w:r>
          </w:p>
          <w:p w14:paraId="390CE3AB">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(6分）</w:t>
            </w:r>
          </w:p>
        </w:tc>
        <w:tc>
          <w:tcPr>
            <w:tcW w:w="6142" w:type="dxa"/>
            <w:gridSpan w:val="2"/>
            <w:tcBorders>
              <w:left w:val="single" w:color="auto" w:sz="4" w:space="0"/>
            </w:tcBorders>
            <w:noWrap w:val="0"/>
            <w:vAlign w:val="center"/>
          </w:tcPr>
          <w:p w14:paraId="3BA6714C">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（1）安全管理体系与管理措施较优秀，得6分；</w:t>
            </w:r>
          </w:p>
          <w:p w14:paraId="7A906EF6">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（2）安全管理体系与管理措施较良好，得5.</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6FC1B39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（3）安全管理体系与管理措施一般，得5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9374183">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（4）无此项内容，不得分。</w:t>
            </w:r>
          </w:p>
        </w:tc>
      </w:tr>
      <w:tr w14:paraId="5D3C5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6" w:type="dxa"/>
            <w:vMerge w:val="continue"/>
            <w:noWrap w:val="0"/>
            <w:vAlign w:val="center"/>
          </w:tcPr>
          <w:p w14:paraId="2A0E9F4D">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746E25F8">
            <w:pPr>
              <w:spacing w:line="400" w:lineRule="exact"/>
              <w:jc w:val="center"/>
              <w:rPr>
                <w:rFonts w:hint="eastAsia" w:ascii="宋体" w:hAnsi="宋体" w:eastAsia="宋体" w:cs="宋体"/>
                <w:bCs/>
                <w:color w:val="auto"/>
                <w:sz w:val="24"/>
                <w:szCs w:val="24"/>
                <w:highlight w:val="none"/>
              </w:rPr>
            </w:pPr>
          </w:p>
        </w:tc>
        <w:tc>
          <w:tcPr>
            <w:tcW w:w="1370" w:type="dxa"/>
            <w:tcBorders>
              <w:right w:val="single" w:color="auto" w:sz="4" w:space="0"/>
            </w:tcBorders>
            <w:noWrap w:val="0"/>
            <w:vAlign w:val="center"/>
          </w:tcPr>
          <w:p w14:paraId="0E47E3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环境保护管理体系与措施</w:t>
            </w:r>
          </w:p>
          <w:p w14:paraId="02568E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142" w:type="dxa"/>
            <w:gridSpan w:val="2"/>
            <w:tcBorders>
              <w:left w:val="single" w:color="auto" w:sz="4" w:space="0"/>
            </w:tcBorders>
            <w:noWrap w:val="0"/>
            <w:vAlign w:val="center"/>
          </w:tcPr>
          <w:p w14:paraId="35B7971F">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（1）环境保护管理体系与管理措施较优秀，得6分；</w:t>
            </w:r>
          </w:p>
          <w:p w14:paraId="5CD19177">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（2）环境保护管理体系与管理措施较良好，得5.</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4C8878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（3）环境保护管理体系与管理措施一般，得5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1A1D2E2E">
            <w:pPr>
              <w:pStyle w:val="5"/>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rPr>
              <w:t>（4）无此项内容，不得分。</w:t>
            </w:r>
          </w:p>
        </w:tc>
      </w:tr>
      <w:tr w14:paraId="516F3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6" w:type="dxa"/>
            <w:vMerge w:val="continue"/>
            <w:noWrap w:val="0"/>
            <w:vAlign w:val="center"/>
          </w:tcPr>
          <w:p w14:paraId="11920E21">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1C232CA1">
            <w:pPr>
              <w:spacing w:line="400" w:lineRule="exact"/>
              <w:jc w:val="center"/>
              <w:rPr>
                <w:rFonts w:hint="eastAsia" w:ascii="宋体" w:hAnsi="宋体" w:eastAsia="宋体" w:cs="宋体"/>
                <w:bCs/>
                <w:color w:val="auto"/>
                <w:sz w:val="24"/>
                <w:szCs w:val="24"/>
                <w:highlight w:val="none"/>
              </w:rPr>
            </w:pPr>
          </w:p>
        </w:tc>
        <w:tc>
          <w:tcPr>
            <w:tcW w:w="1370" w:type="dxa"/>
            <w:tcBorders>
              <w:right w:val="single" w:color="auto" w:sz="4" w:space="0"/>
            </w:tcBorders>
            <w:noWrap w:val="0"/>
            <w:vAlign w:val="center"/>
          </w:tcPr>
          <w:p w14:paraId="30358E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工程建设进度计划与措施</w:t>
            </w:r>
          </w:p>
          <w:p w14:paraId="107A29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142" w:type="dxa"/>
            <w:gridSpan w:val="2"/>
            <w:tcBorders>
              <w:left w:val="single" w:color="auto" w:sz="4" w:space="0"/>
            </w:tcBorders>
            <w:noWrap w:val="0"/>
            <w:vAlign w:val="center"/>
          </w:tcPr>
          <w:p w14:paraId="4DAF5B71">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（1）工程建设进度计划与措施较优秀，得6分；</w:t>
            </w:r>
          </w:p>
          <w:p w14:paraId="3B02F13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（2）工程建设进度计划与措施较良好，得5.</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10D9DA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（3）工程建设进度计划与措施一般，得5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DD413F4">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（4）无此项内容，不得分。</w:t>
            </w:r>
          </w:p>
        </w:tc>
      </w:tr>
      <w:tr w14:paraId="0B85D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816" w:type="dxa"/>
            <w:vMerge w:val="continue"/>
            <w:noWrap w:val="0"/>
            <w:vAlign w:val="center"/>
          </w:tcPr>
          <w:p w14:paraId="39625372">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4CE02475">
            <w:pPr>
              <w:spacing w:line="400" w:lineRule="exact"/>
              <w:jc w:val="center"/>
              <w:rPr>
                <w:rFonts w:hint="eastAsia" w:ascii="宋体" w:hAnsi="宋体" w:eastAsia="宋体" w:cs="宋体"/>
                <w:bCs/>
                <w:color w:val="auto"/>
                <w:sz w:val="24"/>
                <w:szCs w:val="24"/>
                <w:highlight w:val="none"/>
              </w:rPr>
            </w:pPr>
          </w:p>
        </w:tc>
        <w:tc>
          <w:tcPr>
            <w:tcW w:w="1370" w:type="dxa"/>
            <w:tcBorders>
              <w:right w:val="single" w:color="auto" w:sz="4" w:space="0"/>
            </w:tcBorders>
            <w:noWrap w:val="0"/>
            <w:vAlign w:val="center"/>
          </w:tcPr>
          <w:p w14:paraId="3A113F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资源配备计划</w:t>
            </w:r>
          </w:p>
          <w:p w14:paraId="79ED5D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6142" w:type="dxa"/>
            <w:gridSpan w:val="2"/>
            <w:tcBorders>
              <w:left w:val="single" w:color="auto" w:sz="4" w:space="0"/>
            </w:tcBorders>
            <w:noWrap w:val="0"/>
            <w:vAlign w:val="center"/>
          </w:tcPr>
          <w:p w14:paraId="02DB69F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（1）资源配备计划较优秀，得5分；</w:t>
            </w:r>
          </w:p>
          <w:p w14:paraId="0C78372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（2）资源配备计划较良好，得4.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026C6D0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（3）资源配备计划一般，得4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432EFFF">
            <w:pPr>
              <w:pStyle w:val="5"/>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rPr>
              <w:t>（4）无此项内容，不得分。</w:t>
            </w:r>
          </w:p>
        </w:tc>
      </w:tr>
      <w:tr w14:paraId="58C28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4" w:hRule="atLeast"/>
          <w:jc w:val="center"/>
        </w:trPr>
        <w:tc>
          <w:tcPr>
            <w:tcW w:w="816" w:type="dxa"/>
            <w:vMerge w:val="restart"/>
            <w:noWrap w:val="0"/>
            <w:vAlign w:val="center"/>
          </w:tcPr>
          <w:p w14:paraId="0E5D21E8">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2.2.1（4）</w:t>
            </w:r>
          </w:p>
        </w:tc>
        <w:tc>
          <w:tcPr>
            <w:tcW w:w="1042" w:type="dxa"/>
            <w:gridSpan w:val="2"/>
            <w:vMerge w:val="restart"/>
            <w:noWrap w:val="0"/>
            <w:vAlign w:val="center"/>
          </w:tcPr>
          <w:p w14:paraId="1E3AE899">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报价部分（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c>
          <w:tcPr>
            <w:tcW w:w="1370" w:type="dxa"/>
            <w:noWrap w:val="0"/>
            <w:vAlign w:val="center"/>
          </w:tcPr>
          <w:p w14:paraId="767014D7">
            <w:pPr>
              <w:snapToGrid w:val="0"/>
              <w:spacing w:line="400" w:lineRule="exact"/>
              <w:ind w:right="-120" w:rightChars="0"/>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有效投标报价下浮率</w:t>
            </w:r>
          </w:p>
        </w:tc>
        <w:tc>
          <w:tcPr>
            <w:tcW w:w="6142" w:type="dxa"/>
            <w:gridSpan w:val="2"/>
            <w:noWrap w:val="0"/>
            <w:vAlign w:val="center"/>
          </w:tcPr>
          <w:p w14:paraId="7155B0BA">
            <w:pPr>
              <w:pStyle w:val="124"/>
              <w:spacing w:line="28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有效投标报价下浮率为≥0.000%（保留小数点后3位），不在此范围内的投标报价均为无效投标报价。</w:t>
            </w:r>
          </w:p>
          <w:p w14:paraId="2EAF6DB7">
            <w:pPr>
              <w:pStyle w:val="124"/>
              <w:spacing w:line="288" w:lineRule="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投标人投标报价下浮率大于15%时，投标人需附说明及证明材料，由评标委员会判断投标人是否以低于成本报价竞标，当认定以低于成本报价竞标时其投标作废标处理；不能提供相应的书面说明及证明材料的，按低于成本报价竞标处理。</w:t>
            </w:r>
          </w:p>
        </w:tc>
      </w:tr>
      <w:tr w14:paraId="6EE56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8" w:hRule="atLeast"/>
          <w:jc w:val="center"/>
        </w:trPr>
        <w:tc>
          <w:tcPr>
            <w:tcW w:w="816" w:type="dxa"/>
            <w:vMerge w:val="continue"/>
            <w:noWrap w:val="0"/>
            <w:vAlign w:val="center"/>
          </w:tcPr>
          <w:p w14:paraId="0A7BC294">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15A6432F">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
                <w:bCs/>
                <w:color w:val="auto"/>
                <w:sz w:val="24"/>
                <w:szCs w:val="24"/>
                <w:highlight w:val="none"/>
              </w:rPr>
            </w:pPr>
          </w:p>
        </w:tc>
        <w:tc>
          <w:tcPr>
            <w:tcW w:w="1370" w:type="dxa"/>
            <w:noWrap w:val="0"/>
            <w:vAlign w:val="center"/>
          </w:tcPr>
          <w:p w14:paraId="09878973">
            <w:pPr>
              <w:snapToGrid w:val="0"/>
              <w:spacing w:line="400" w:lineRule="exact"/>
              <w:ind w:right="-12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z w:val="24"/>
                <w:szCs w:val="24"/>
                <w:highlight w:val="none"/>
              </w:rPr>
              <w:t>评标基准下浮率</w:t>
            </w:r>
            <w:r>
              <w:rPr>
                <w:rFonts w:hint="eastAsia" w:ascii="宋体" w:hAnsi="宋体" w:eastAsia="宋体" w:cs="宋体"/>
                <w:snapToGrid w:val="0"/>
                <w:color w:val="auto"/>
                <w:sz w:val="24"/>
                <w:szCs w:val="24"/>
                <w:highlight w:val="none"/>
                <w:lang w:val="en-US" w:eastAsia="zh-CN"/>
              </w:rPr>
              <w:t>计算</w:t>
            </w:r>
          </w:p>
        </w:tc>
        <w:tc>
          <w:tcPr>
            <w:tcW w:w="6142" w:type="dxa"/>
            <w:gridSpan w:val="2"/>
            <w:noWrap w:val="0"/>
            <w:vAlign w:val="center"/>
          </w:tcPr>
          <w:p w14:paraId="68B66254">
            <w:pPr>
              <w:widowControl/>
              <w:spacing w:line="400" w:lineRule="exact"/>
              <w:ind w:firstLine="480"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snapToGrid w:val="0"/>
                <w:color w:val="auto"/>
                <w:sz w:val="24"/>
                <w:szCs w:val="24"/>
                <w:highlight w:val="none"/>
              </w:rPr>
              <w:t>评标基准下浮率A为：所有有效投标人报价下浮率的算术平均值，计算A时，当有效报价下浮率的个数（n＞5）去掉一个最高值和一个最低值后的算术平均值；有效报价下浮率的个数（n≤5），计算所有有效报价下浮率。</w:t>
            </w:r>
          </w:p>
        </w:tc>
      </w:tr>
      <w:tr w14:paraId="7F2E4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816" w:type="dxa"/>
            <w:vMerge w:val="continue"/>
            <w:noWrap w:val="0"/>
            <w:vAlign w:val="center"/>
          </w:tcPr>
          <w:p w14:paraId="3AA9E6D0">
            <w:pPr>
              <w:spacing w:line="400" w:lineRule="exact"/>
              <w:jc w:val="center"/>
              <w:rPr>
                <w:rFonts w:hint="eastAsia" w:ascii="宋体" w:hAnsi="宋体" w:eastAsia="宋体" w:cs="宋体"/>
                <w:color w:val="auto"/>
                <w:sz w:val="24"/>
                <w:szCs w:val="24"/>
                <w:highlight w:val="none"/>
              </w:rPr>
            </w:pPr>
          </w:p>
        </w:tc>
        <w:tc>
          <w:tcPr>
            <w:tcW w:w="1042" w:type="dxa"/>
            <w:gridSpan w:val="2"/>
            <w:vMerge w:val="continue"/>
            <w:noWrap w:val="0"/>
            <w:vAlign w:val="center"/>
          </w:tcPr>
          <w:p w14:paraId="6B0E1C7A">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Cs/>
                <w:color w:val="auto"/>
                <w:sz w:val="24"/>
                <w:szCs w:val="24"/>
                <w:highlight w:val="none"/>
              </w:rPr>
            </w:pPr>
          </w:p>
        </w:tc>
        <w:tc>
          <w:tcPr>
            <w:tcW w:w="1370" w:type="dxa"/>
            <w:noWrap w:val="0"/>
            <w:vAlign w:val="center"/>
          </w:tcPr>
          <w:p w14:paraId="35ED0B36">
            <w:pPr>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color w:val="auto"/>
                <w:kern w:val="0"/>
                <w:sz w:val="24"/>
                <w:szCs w:val="24"/>
                <w:highlight w:val="none"/>
              </w:rPr>
              <w:t>投标报价</w:t>
            </w:r>
            <w:r>
              <w:rPr>
                <w:rFonts w:hint="eastAsia" w:ascii="宋体" w:hAnsi="宋体" w:eastAsia="宋体" w:cs="宋体"/>
                <w:color w:val="auto"/>
                <w:kern w:val="0"/>
                <w:sz w:val="24"/>
                <w:szCs w:val="24"/>
                <w:highlight w:val="none"/>
                <w:lang w:val="en-US" w:eastAsia="zh-CN"/>
              </w:rPr>
              <w:t>得分</w:t>
            </w:r>
            <w:r>
              <w:rPr>
                <w:rFonts w:hint="eastAsia" w:ascii="宋体" w:hAnsi="宋体" w:eastAsia="宋体" w:cs="宋体"/>
                <w:color w:val="auto"/>
                <w:kern w:val="0"/>
                <w:sz w:val="24"/>
                <w:szCs w:val="24"/>
                <w:highlight w:val="none"/>
              </w:rPr>
              <w:t>计算方法</w:t>
            </w:r>
          </w:p>
        </w:tc>
        <w:tc>
          <w:tcPr>
            <w:tcW w:w="6142" w:type="dxa"/>
            <w:gridSpan w:val="2"/>
            <w:noWrap w:val="0"/>
            <w:vAlign w:val="center"/>
          </w:tcPr>
          <w:p w14:paraId="14848993">
            <w:pPr>
              <w:pStyle w:val="2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投标报价得分＝10-｜B-A｜×C（精确到小数点后3位,如最终计算结果为负值，则投标报价得分为0分。）</w:t>
            </w:r>
          </w:p>
          <w:p w14:paraId="649B31EA">
            <w:pPr>
              <w:widowControl/>
              <w:spacing w:line="400" w:lineRule="exact"/>
              <w:ind w:firstLine="480" w:firstLineChars="200"/>
              <w:jc w:val="lef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kern w:val="2"/>
                <w:sz w:val="24"/>
                <w:szCs w:val="24"/>
                <w:highlight w:val="none"/>
                <w:lang w:val="en-US" w:eastAsia="zh-CN" w:bidi="ar-SA"/>
              </w:rPr>
              <w:t>其中：A为评标基准下浮率，B为投标人投标报价下浮率；C为投标报价得分计算系数（C取值范围为100）。</w:t>
            </w:r>
          </w:p>
        </w:tc>
      </w:tr>
    </w:tbl>
    <w:p w14:paraId="1AFBFD9D">
      <w:pPr>
        <w:pStyle w:val="3"/>
        <w:pageBreakBefore w:val="0"/>
        <w:widowControl w:val="0"/>
        <w:kinsoku/>
        <w:wordWrap/>
        <w:overflowPunct/>
        <w:topLinePunct w:val="0"/>
        <w:bidi w:val="0"/>
        <w:snapToGrid/>
        <w:spacing w:before="0" w:after="0" w:line="440" w:lineRule="exact"/>
        <w:ind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1.评标方法</w:t>
      </w:r>
      <w:bookmarkEnd w:id="124"/>
      <w:bookmarkEnd w:id="125"/>
      <w:bookmarkEnd w:id="126"/>
      <w:bookmarkEnd w:id="127"/>
    </w:p>
    <w:p w14:paraId="1A7C0919">
      <w:pPr>
        <w:pStyle w:val="49"/>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bookmarkStart w:id="128" w:name="_Toc189386093"/>
      <w:bookmarkStart w:id="129" w:name="_Toc217971023"/>
      <w:bookmarkStart w:id="130" w:name="_Toc213227692"/>
      <w:bookmarkStart w:id="131" w:name="_Toc208454001"/>
      <w:bookmarkStart w:id="132" w:name="_Toc208457944"/>
      <w:bookmarkStart w:id="133" w:name="_Toc116"/>
      <w:bookmarkStart w:id="134" w:name="_Toc32203"/>
      <w:r>
        <w:rPr>
          <w:rFonts w:hint="eastAsia" w:ascii="宋体" w:hAnsi="宋体" w:eastAsia="宋体" w:cs="宋体"/>
          <w:color w:val="auto"/>
          <w:sz w:val="24"/>
          <w:szCs w:val="24"/>
          <w:highlight w:val="none"/>
        </w:rPr>
        <w:t>本次评标采用</w:t>
      </w:r>
      <w:r>
        <w:rPr>
          <w:rFonts w:hint="eastAsia" w:ascii="宋体" w:hAnsi="宋体" w:eastAsia="宋体" w:cs="宋体"/>
          <w:b/>
          <w:color w:val="auto"/>
          <w:sz w:val="24"/>
          <w:szCs w:val="24"/>
          <w:highlight w:val="none"/>
        </w:rPr>
        <w:t>综合评估法</w:t>
      </w:r>
      <w:r>
        <w:rPr>
          <w:rFonts w:hint="eastAsia" w:ascii="宋体" w:hAnsi="宋体" w:eastAsia="宋体" w:cs="宋体"/>
          <w:color w:val="auto"/>
          <w:sz w:val="24"/>
          <w:szCs w:val="24"/>
          <w:highlight w:val="none"/>
        </w:rPr>
        <w:t>。评标委员会对满足招标文件实质性要求的投标文件，按照本章第2.2款规定的评分标准进行打分，</w:t>
      </w:r>
      <w:r>
        <w:rPr>
          <w:rFonts w:hint="eastAsia" w:ascii="宋体" w:hAnsi="宋体" w:eastAsia="宋体" w:cs="宋体"/>
          <w:b/>
          <w:color w:val="auto"/>
          <w:sz w:val="24"/>
          <w:szCs w:val="24"/>
          <w:highlight w:val="none"/>
        </w:rPr>
        <w:t>技术标得分分值分别为评标委员会中所有评标专家评分中去掉一个最高分、去掉一个最低分后的算术平均值；除技术标外其他得分分值为评标委员会中所有评标专家的算术平均值。</w:t>
      </w:r>
    </w:p>
    <w:p w14:paraId="02057D5C">
      <w:pPr>
        <w:pStyle w:val="49"/>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color w:val="auto"/>
          <w:sz w:val="24"/>
          <w:szCs w:val="24"/>
          <w:highlight w:val="none"/>
          <w:lang w:val="en-US" w:eastAsia="zh-CN"/>
        </w:rPr>
        <w:t>字符从小到大</w:t>
      </w:r>
      <w:r>
        <w:rPr>
          <w:rFonts w:hint="eastAsia" w:ascii="宋体" w:hAnsi="宋体" w:eastAsia="宋体" w:cs="宋体"/>
          <w:color w:val="auto"/>
          <w:sz w:val="24"/>
          <w:szCs w:val="24"/>
          <w:highlight w:val="none"/>
        </w:rPr>
        <w:t>排位</w:t>
      </w:r>
      <w:r>
        <w:rPr>
          <w:rFonts w:hint="eastAsia" w:ascii="宋体" w:hAnsi="宋体" w:eastAsia="宋体" w:cs="宋体"/>
          <w:color w:val="auto"/>
          <w:sz w:val="24"/>
          <w:szCs w:val="24"/>
          <w:highlight w:val="none"/>
          <w:lang w:eastAsia="zh-CN"/>
        </w:rPr>
        <w:t>，先比第1位，小的排前，一样再比第2位，以此类推；数字＜字母，字母按A→Z顺序</w:t>
      </w:r>
      <w:r>
        <w:rPr>
          <w:rFonts w:hint="eastAsia" w:ascii="宋体" w:hAnsi="宋体" w:eastAsia="宋体" w:cs="宋体"/>
          <w:color w:val="auto"/>
          <w:sz w:val="24"/>
          <w:szCs w:val="24"/>
          <w:highlight w:val="none"/>
        </w:rPr>
        <w:t>）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29F9EA32">
      <w:pPr>
        <w:pStyle w:val="49"/>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6D68F624">
      <w:pPr>
        <w:pStyle w:val="3"/>
        <w:pageBreakBefore w:val="0"/>
        <w:widowControl w:val="0"/>
        <w:kinsoku/>
        <w:wordWrap/>
        <w:overflowPunct/>
        <w:topLinePunct w:val="0"/>
        <w:bidi w:val="0"/>
        <w:snapToGrid/>
        <w:spacing w:before="0" w:after="0" w:line="440" w:lineRule="exact"/>
        <w:ind w:firstLine="482" w:firstLineChars="200"/>
        <w:jc w:val="left"/>
        <w:textAlignment w:val="auto"/>
        <w:rPr>
          <w:rFonts w:hint="eastAsia" w:ascii="宋体" w:hAnsi="宋体" w:eastAsia="宋体" w:cs="宋体"/>
          <w:color w:val="auto"/>
          <w:sz w:val="24"/>
          <w:szCs w:val="24"/>
          <w:highlight w:val="none"/>
        </w:rPr>
      </w:pPr>
      <w:bookmarkStart w:id="135" w:name="_Toc22574"/>
      <w:bookmarkStart w:id="136" w:name="_Toc11667"/>
      <w:bookmarkStart w:id="137" w:name="_Toc32283"/>
      <w:r>
        <w:rPr>
          <w:rFonts w:hint="eastAsia" w:ascii="宋体" w:hAnsi="宋体" w:eastAsia="宋体" w:cs="宋体"/>
          <w:color w:val="auto"/>
          <w:sz w:val="24"/>
          <w:szCs w:val="24"/>
          <w:highlight w:val="none"/>
        </w:rPr>
        <w:t>2.评审标准</w:t>
      </w:r>
      <w:bookmarkEnd w:id="128"/>
      <w:bookmarkEnd w:id="129"/>
      <w:bookmarkEnd w:id="130"/>
      <w:bookmarkEnd w:id="131"/>
      <w:bookmarkEnd w:id="132"/>
      <w:bookmarkEnd w:id="133"/>
      <w:bookmarkEnd w:id="134"/>
      <w:bookmarkEnd w:id="135"/>
      <w:bookmarkEnd w:id="136"/>
      <w:bookmarkEnd w:id="137"/>
    </w:p>
    <w:p w14:paraId="414C6394">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bookmarkStart w:id="138" w:name="_Toc247514026"/>
      <w:bookmarkStart w:id="139" w:name="_Toc152042379"/>
      <w:bookmarkStart w:id="140" w:name="_Toc375181369"/>
      <w:bookmarkStart w:id="141" w:name="_Toc247527627"/>
      <w:bookmarkStart w:id="142" w:name="_Toc152045602"/>
      <w:bookmarkStart w:id="143" w:name="_Toc144974569"/>
      <w:bookmarkStart w:id="144" w:name="_Toc189386095"/>
      <w:r>
        <w:rPr>
          <w:rFonts w:hint="eastAsia" w:ascii="宋体" w:hAnsi="宋体" w:eastAsia="宋体" w:cs="宋体"/>
          <w:color w:val="auto"/>
          <w:sz w:val="24"/>
          <w:szCs w:val="24"/>
          <w:highlight w:val="none"/>
        </w:rPr>
        <w:t>2.1初步评审标准</w:t>
      </w:r>
      <w:bookmarkEnd w:id="138"/>
      <w:bookmarkEnd w:id="139"/>
      <w:bookmarkEnd w:id="140"/>
      <w:bookmarkEnd w:id="141"/>
      <w:bookmarkEnd w:id="142"/>
      <w:bookmarkEnd w:id="143"/>
    </w:p>
    <w:p w14:paraId="3F62AB28">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2.1.1形式评审标准：见评标办法前附表。</w:t>
      </w:r>
    </w:p>
    <w:p w14:paraId="13AA33C3">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2.1.2资格评审标准：见评标办法前附表。</w:t>
      </w:r>
    </w:p>
    <w:p w14:paraId="550C84DD">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2.1.3响应性评审标准：见评标办法前附表。</w:t>
      </w:r>
    </w:p>
    <w:p w14:paraId="03FED9F8">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bookmarkStart w:id="145" w:name="_Toc152042380"/>
      <w:bookmarkStart w:id="146" w:name="_Toc247527628"/>
      <w:bookmarkStart w:id="147" w:name="_Toc375181370"/>
      <w:bookmarkStart w:id="148" w:name="_Toc144974570"/>
      <w:bookmarkStart w:id="149" w:name="_Toc152045603"/>
      <w:bookmarkStart w:id="150" w:name="_Toc247514027"/>
      <w:r>
        <w:rPr>
          <w:rFonts w:hint="eastAsia" w:ascii="宋体" w:hAnsi="宋体" w:eastAsia="宋体" w:cs="宋体"/>
          <w:color w:val="auto"/>
          <w:sz w:val="24"/>
          <w:szCs w:val="24"/>
          <w:highlight w:val="none"/>
        </w:rPr>
        <w:t>2.2分值构成与评分标准</w:t>
      </w:r>
      <w:bookmarkEnd w:id="145"/>
      <w:bookmarkEnd w:id="146"/>
      <w:bookmarkEnd w:id="147"/>
      <w:bookmarkEnd w:id="148"/>
      <w:bookmarkEnd w:id="149"/>
      <w:bookmarkEnd w:id="150"/>
    </w:p>
    <w:p w14:paraId="57D4A0D0">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2.2.1分值构成</w:t>
      </w:r>
    </w:p>
    <w:p w14:paraId="21B9CBCD">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（1）信用部分得分标准：见评标办法前附表；</w:t>
      </w:r>
    </w:p>
    <w:p w14:paraId="691F6CAE">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（2）商务部分得分标准：见评标办法前附表；</w:t>
      </w:r>
    </w:p>
    <w:p w14:paraId="656BFB7E">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（3）技术部分得分标准：见评标办法前附表；</w:t>
      </w:r>
    </w:p>
    <w:p w14:paraId="5D6899BF">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（4）投标报价得分标准：见评标办法前附表。</w:t>
      </w:r>
    </w:p>
    <w:p w14:paraId="229DBD39">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2.2.2评标基准价计算方法：见评标办法前附表。</w:t>
      </w:r>
    </w:p>
    <w:p w14:paraId="09BA5461">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2.2.3评分标准</w:t>
      </w:r>
    </w:p>
    <w:p w14:paraId="512C43DD">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（1）信用部分评分标准：见评标办法前附表；</w:t>
      </w:r>
    </w:p>
    <w:p w14:paraId="0BE587EF">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（2）商务部分评分标准：见评标办法前附表；</w:t>
      </w:r>
    </w:p>
    <w:p w14:paraId="3C0F4E43">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（3）技术部分评分标准：见评标办法前附表；</w:t>
      </w:r>
    </w:p>
    <w:p w14:paraId="08F5A008">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（4）投标报价评分标准：见评标办法前附表。</w:t>
      </w:r>
    </w:p>
    <w:bookmarkEnd w:id="144"/>
    <w:p w14:paraId="6BBE5F8B">
      <w:pPr>
        <w:pStyle w:val="3"/>
        <w:pageBreakBefore w:val="0"/>
        <w:widowControl w:val="0"/>
        <w:kinsoku/>
        <w:wordWrap/>
        <w:overflowPunct/>
        <w:topLinePunct w:val="0"/>
        <w:bidi w:val="0"/>
        <w:snapToGrid/>
        <w:spacing w:before="0" w:after="0" w:line="440" w:lineRule="exact"/>
        <w:ind w:firstLine="482" w:firstLineChars="200"/>
        <w:jc w:val="left"/>
        <w:textAlignment w:val="auto"/>
        <w:rPr>
          <w:rFonts w:hint="eastAsia" w:ascii="宋体" w:hAnsi="宋体" w:eastAsia="宋体" w:cs="宋体"/>
          <w:color w:val="auto"/>
          <w:sz w:val="24"/>
          <w:szCs w:val="24"/>
          <w:highlight w:val="none"/>
        </w:rPr>
      </w:pPr>
      <w:bookmarkStart w:id="151" w:name="_Toc5541"/>
      <w:bookmarkStart w:id="152" w:name="_Toc213227693"/>
      <w:bookmarkStart w:id="153" w:name="_Toc22672"/>
      <w:bookmarkStart w:id="154" w:name="_Toc217971024"/>
      <w:bookmarkStart w:id="155" w:name="_Toc208457945"/>
      <w:bookmarkStart w:id="156" w:name="_Toc189386096"/>
      <w:bookmarkStart w:id="157" w:name="_Toc208454002"/>
      <w:bookmarkStart w:id="158" w:name="_Toc20806"/>
      <w:bookmarkStart w:id="159" w:name="_Toc28390"/>
      <w:bookmarkStart w:id="160" w:name="_Toc8001"/>
      <w:r>
        <w:rPr>
          <w:rFonts w:hint="eastAsia" w:ascii="宋体" w:hAnsi="宋体" w:eastAsia="宋体" w:cs="宋体"/>
          <w:color w:val="auto"/>
          <w:sz w:val="24"/>
          <w:szCs w:val="24"/>
          <w:highlight w:val="none"/>
        </w:rPr>
        <w:t>3.评标程序</w:t>
      </w:r>
      <w:bookmarkEnd w:id="151"/>
      <w:bookmarkEnd w:id="152"/>
      <w:bookmarkEnd w:id="153"/>
      <w:bookmarkEnd w:id="154"/>
      <w:bookmarkEnd w:id="155"/>
      <w:bookmarkEnd w:id="156"/>
      <w:bookmarkEnd w:id="157"/>
      <w:bookmarkEnd w:id="158"/>
      <w:bookmarkEnd w:id="159"/>
      <w:bookmarkEnd w:id="160"/>
    </w:p>
    <w:p w14:paraId="45752156">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bookmarkStart w:id="161" w:name="_Toc189386097"/>
      <w:r>
        <w:rPr>
          <w:rFonts w:hint="eastAsia" w:ascii="宋体" w:hAnsi="宋体" w:eastAsia="宋体" w:cs="宋体"/>
          <w:b/>
          <w:bCs/>
          <w:color w:val="auto"/>
          <w:sz w:val="24"/>
          <w:szCs w:val="24"/>
          <w:highlight w:val="none"/>
        </w:rPr>
        <w:t>3.1初步评审</w:t>
      </w:r>
      <w:bookmarkEnd w:id="161"/>
    </w:p>
    <w:p w14:paraId="01BCCD7F">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3.1.1评标委员会依据本章2.1款规定的标准对投标文件进行初步评审。有一项不符合评审标准的，应否决其投标，且不参与下一步的详细评审。在有异议时以“少数服从多数”的原则确定是否合格。</w:t>
      </w:r>
    </w:p>
    <w:p w14:paraId="0E1BA0E8">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3.1.2投标人有以下情形之一的，其投标应予否决：</w:t>
      </w:r>
    </w:p>
    <w:p w14:paraId="0CD33D5E">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（1）第二章“投标人须知”第1.4.3项、第1.4.4项规定的任何一种情形的；</w:t>
      </w:r>
    </w:p>
    <w:p w14:paraId="6CD80F4F">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（2）串通投标或弄虚作假或有其他违法行为的；</w:t>
      </w:r>
    </w:p>
    <w:p w14:paraId="1012E748">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（3）不按评标委员会要求澄清、说明或补正的。</w:t>
      </w:r>
    </w:p>
    <w:p w14:paraId="2093AC27">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3.1.3投标报价有算术错误的，评标委员会按以下原则对投标报价进行修正，修正的价格经投标人书面确认后具有约束力。投标人不接受修正价格的，评标委员会应当否决其投标。</w:t>
      </w:r>
    </w:p>
    <w:p w14:paraId="59504EC1">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64299E67">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28E5FA44">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sz w:val="24"/>
          <w:szCs w:val="24"/>
          <w:highlight w:val="none"/>
        </w:rPr>
      </w:pPr>
      <w:bookmarkStart w:id="162" w:name="_Toc189386098"/>
      <w:r>
        <w:rPr>
          <w:rFonts w:hint="eastAsia" w:ascii="宋体" w:hAnsi="宋体" w:eastAsia="宋体" w:cs="宋体"/>
          <w:b/>
          <w:bCs/>
          <w:color w:val="auto"/>
          <w:sz w:val="24"/>
          <w:szCs w:val="24"/>
          <w:highlight w:val="none"/>
        </w:rPr>
        <w:t>3.2详细评审</w:t>
      </w:r>
      <w:bookmarkEnd w:id="162"/>
    </w:p>
    <w:p w14:paraId="68D3E0F2">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3.2.1评标委员会按本章第2.2款规定的量化因素和分值进行打分，并计算出综合评估得分。</w:t>
      </w:r>
    </w:p>
    <w:p w14:paraId="79AC133F">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（1）按本章第2.2.1（1）目规定的评审因素计算出得分A；</w:t>
      </w:r>
    </w:p>
    <w:p w14:paraId="2F2F0A59">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（2）按本章第2.2.1（2）目规定的评审因素计算出得分B；</w:t>
      </w:r>
    </w:p>
    <w:p w14:paraId="29DDC866">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（3）按本章第2.2.1（3）目规定的评审因素计算出得分C；</w:t>
      </w:r>
    </w:p>
    <w:p w14:paraId="27E687B8">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（4）按本章第2.2.1（4）目规定的评审因素计算出得分D。</w:t>
      </w:r>
    </w:p>
    <w:p w14:paraId="14281C8C">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3.2.2评分分值计算保留小数点后三位，小数点后第四位“四舍五入”。 </w:t>
      </w:r>
    </w:p>
    <w:p w14:paraId="3A434940">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3.2.3投标人得分=A+B+C+D（保留小数点后三位，小数点后第四位“四舍五入”）</w:t>
      </w:r>
      <w:bookmarkStart w:id="163" w:name="_Toc189386099"/>
      <w:r>
        <w:rPr>
          <w:rFonts w:hint="eastAsia" w:ascii="宋体" w:hAnsi="宋体" w:eastAsia="宋体" w:cs="宋体"/>
          <w:b/>
          <w:color w:val="auto"/>
          <w:sz w:val="24"/>
          <w:szCs w:val="24"/>
          <w:highlight w:val="none"/>
        </w:rPr>
        <w:t>。</w:t>
      </w:r>
    </w:p>
    <w:p w14:paraId="2F8EEF9B">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评标委员会发现投标人投标报价下浮率大于15%时，根据投标人所附说明及证明材料判断该投标人是否以低于成本报价竞标，当认定以低于成本报价竞标时其投标作废标处理；不能提供相应的书面说明及证明材料的，按低于成本报价竞标处理。</w:t>
      </w:r>
    </w:p>
    <w:p w14:paraId="6442079B">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3.3投标文件的澄清和补正</w:t>
      </w:r>
      <w:bookmarkEnd w:id="163"/>
    </w:p>
    <w:p w14:paraId="4760EFEE">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37D3910F">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3.3.2澄清、说明和补正不得改变投标文件的实质性内容（算术性错误修正的除外）。投标人的书面澄清、说明和补正属于投标文件的组成部分。</w:t>
      </w:r>
    </w:p>
    <w:p w14:paraId="22E0E120">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3.3.3评标委员会对投标人提交的澄清、说明或补正有疑问的，可以要求投标人进一步澄清、说明或补正，直至满足评标委员会的要求。</w:t>
      </w:r>
    </w:p>
    <w:p w14:paraId="5747B8AC">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bookmarkStart w:id="164" w:name="_Toc189386100"/>
      <w:r>
        <w:rPr>
          <w:rFonts w:hint="eastAsia" w:ascii="宋体" w:hAnsi="宋体" w:eastAsia="宋体" w:cs="宋体"/>
          <w:b/>
          <w:bCs/>
          <w:color w:val="auto"/>
          <w:sz w:val="24"/>
          <w:szCs w:val="24"/>
          <w:highlight w:val="none"/>
        </w:rPr>
        <w:t>3.4评标结果</w:t>
      </w:r>
      <w:bookmarkEnd w:id="164"/>
    </w:p>
    <w:p w14:paraId="7D28C8E2">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.1评标委员会按照投标人评审综合总得分由高到低的原则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招标人推荐已明确的定标候选人数量（不标明排序）。评标委员会推荐定标候选人后，招标人应于评标会结束后3日内将定标候选人和评标情况在广东省招标投标监管网和全国公共资源交易平台（广东省·韶关市）建设工程交易系统上公示，公示时间不少于3日。</w:t>
      </w:r>
    </w:p>
    <w:p w14:paraId="195D1FB5">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2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6FF28B7A">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4"/>
          <w:szCs w:val="24"/>
          <w:highlight w:val="none"/>
          <w:lang w:val="en-US"/>
        </w:rPr>
      </w:pPr>
      <w:bookmarkStart w:id="165" w:name="_Toc17714"/>
      <w:r>
        <w:rPr>
          <w:rFonts w:hint="eastAsia" w:ascii="宋体" w:hAnsi="宋体" w:eastAsia="宋体" w:cs="宋体"/>
          <w:color w:val="auto"/>
          <w:sz w:val="28"/>
          <w:szCs w:val="28"/>
          <w:lang w:val="en-US" w:eastAsia="zh-CN"/>
        </w:rPr>
        <w:t>八、定标</w:t>
      </w:r>
      <w:bookmarkEnd w:id="165"/>
      <w:r>
        <w:rPr>
          <w:rFonts w:hint="eastAsia" w:ascii="宋体" w:hAnsi="宋体" w:eastAsia="宋体" w:cs="宋体"/>
          <w:color w:val="auto"/>
          <w:sz w:val="28"/>
          <w:szCs w:val="28"/>
          <w:lang w:val="en-US" w:eastAsia="zh-CN"/>
        </w:rPr>
        <w:t>办法</w:t>
      </w:r>
    </w:p>
    <w:p w14:paraId="6F18BC1D">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1.定标方法：</w:t>
      </w:r>
      <w:r>
        <w:rPr>
          <w:rFonts w:hint="eastAsia" w:ascii="宋体" w:hAnsi="宋体" w:eastAsia="宋体" w:cs="宋体"/>
          <w:b/>
          <w:bCs/>
          <w:color w:val="auto"/>
          <w:sz w:val="24"/>
          <w:szCs w:val="24"/>
          <w:highlight w:val="none"/>
        </w:rPr>
        <w:t>本项目采用票决数量法定标。</w:t>
      </w:r>
    </w:p>
    <w:p w14:paraId="432D9F05">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票决数量法程序</w:t>
      </w:r>
    </w:p>
    <w:p w14:paraId="46F090C1">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直至决出排序的前三名中标候选人。若定标候选人中没有符合评审要求的三名中标候选人，则宣告本次招标失败。票决采用记名方式并注明投票理由。</w:t>
      </w:r>
    </w:p>
    <w:p w14:paraId="4E5C3024">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2.1项目情况介绍</w:t>
      </w:r>
    </w:p>
    <w:p w14:paraId="739B0EC0">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招标人代表介绍项目的概况及招标要求，以及定标方法与定标工作规则，不得发表具有倾向性的言论。</w:t>
      </w:r>
    </w:p>
    <w:p w14:paraId="6EA6673A">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2.2审阅定标资料</w:t>
      </w:r>
    </w:p>
    <w:p w14:paraId="59D9800B">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定标委员会成员对各定标候选人的投标文件进行审阅，审阅内容主要是定标工作规则所规定的定标因素，聚焦于项目需求与候选人能力的匹配度。</w:t>
      </w:r>
    </w:p>
    <w:p w14:paraId="6CD0DA91">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2.3疑问澄清</w:t>
      </w:r>
    </w:p>
    <w:p w14:paraId="3E514464">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6C7CD073">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2.4投票、收票、点票和汇总</w:t>
      </w:r>
    </w:p>
    <w:p w14:paraId="72788972">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E4AA160">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2.5公布结果和出具定标报告</w:t>
      </w:r>
    </w:p>
    <w:p w14:paraId="03B89275">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点票工作完成后，定标委员会组长汇总定标结果，编制定标报告，确定中标候选人，全体成员签名。</w:t>
      </w:r>
    </w:p>
    <w:p w14:paraId="4BE64455">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2.6全程监督</w:t>
      </w:r>
    </w:p>
    <w:p w14:paraId="0F8C83FB">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招标监督小组对集体议定的全过程进行监督，确保程序合规、讨论充分、记录完整，结论形成过程公正、透明。</w:t>
      </w:r>
    </w:p>
    <w:p w14:paraId="41D597F6">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定标因素</w:t>
      </w:r>
    </w:p>
    <w:p w14:paraId="776925E6">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在同等条件下，择优的定标因素和相对标准有以下几个方面：</w:t>
      </w:r>
    </w:p>
    <w:p w14:paraId="6D7CEA9F">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（1）拟派团队管理能力与水平（履约能力）</w:t>
      </w:r>
    </w:p>
    <w:p w14:paraId="12C09C07">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相对标准：拟派团队管理能力与水平（履约能力）强的定标候选人优于拟派团队管理能力与水平（履约能力）一般的定标候选人。以拟派团队人员配备、类似工作经历和人员技术水平或荣誉等情况进行综合比较。</w:t>
      </w:r>
    </w:p>
    <w:p w14:paraId="792B523B">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技术方案</w:t>
      </w:r>
    </w:p>
    <w:p w14:paraId="50E7FE86">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相对标准：</w:t>
      </w:r>
      <w:r>
        <w:rPr>
          <w:rFonts w:hint="eastAsia" w:ascii="宋体" w:hAnsi="宋体" w:eastAsia="宋体" w:cs="宋体"/>
          <w:color w:val="auto"/>
          <w:sz w:val="24"/>
          <w:szCs w:val="24"/>
          <w:highlight w:val="none"/>
          <w:lang w:val="en-US" w:eastAsia="zh-CN"/>
        </w:rPr>
        <w:t>技术方案详尽、全面、合理</w:t>
      </w:r>
      <w:r>
        <w:rPr>
          <w:rFonts w:hint="eastAsia" w:ascii="宋体" w:hAnsi="宋体" w:eastAsia="宋体" w:cs="宋体"/>
          <w:color w:val="auto"/>
          <w:sz w:val="24"/>
          <w:szCs w:val="24"/>
          <w:highlight w:val="none"/>
        </w:rPr>
        <w:t>的定标候选人优于</w:t>
      </w:r>
      <w:r>
        <w:rPr>
          <w:rFonts w:hint="eastAsia" w:ascii="宋体" w:hAnsi="宋体" w:eastAsia="宋体" w:cs="宋体"/>
          <w:color w:val="auto"/>
          <w:sz w:val="24"/>
          <w:szCs w:val="24"/>
          <w:highlight w:val="none"/>
          <w:lang w:val="en-US" w:eastAsia="zh-CN"/>
        </w:rPr>
        <w:t>技术方案</w:t>
      </w:r>
      <w:r>
        <w:rPr>
          <w:rFonts w:hint="eastAsia" w:ascii="宋体" w:hAnsi="宋体" w:eastAsia="宋体" w:cs="宋体"/>
          <w:color w:val="auto"/>
          <w:sz w:val="24"/>
          <w:szCs w:val="24"/>
          <w:highlight w:val="none"/>
        </w:rPr>
        <w:t>一般的定标候选人。</w:t>
      </w:r>
    </w:p>
    <w:p w14:paraId="246E7FF2">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农民工工资保障情况</w:t>
      </w:r>
    </w:p>
    <w:p w14:paraId="34B68651">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相对标准：农民工工资保障情况好的定标候选人优于农民工工资保障情况差的定标候选人（结合定标候选人提交的证明材料和招标人查询的材料进行评审）。</w:t>
      </w:r>
    </w:p>
    <w:p w14:paraId="5A6672E7">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）评标报告</w:t>
      </w:r>
    </w:p>
    <w:p w14:paraId="45A4A129">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67DECEC8">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.定标结果公示  </w:t>
      </w:r>
    </w:p>
    <w:p w14:paraId="0877C8AD">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.1定标委员会完成定标后，招标人应于定标会结束后3日内将中标候选人和定标情况在广东省招标投标监管网和全国公共资源交易平台（广东省·韶关市）工程交易系统上公示，公示时间不少于3日。</w:t>
      </w:r>
    </w:p>
    <w:p w14:paraId="2D1ED478">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1DD5B17C">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EE9289F">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.中标确认</w:t>
      </w:r>
    </w:p>
    <w:p w14:paraId="406D802F">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中标人确定，中标结果公示期满无（投诉）后，招标人确认排名第一的中标候选人为中标人，中标人的投标报价即为中标价。</w:t>
      </w:r>
    </w:p>
    <w:p w14:paraId="7AB83229">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6.废除授标及授标</w:t>
      </w:r>
    </w:p>
    <w:p w14:paraId="469C7798">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.1评定标完成后，中标候选人有下列情形之一的，招标人应按规定取消中标候选人资格或废除授标：</w:t>
      </w:r>
    </w:p>
    <w:p w14:paraId="72BDDB7E">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（1）以他人名义投标或者以其他方式弄虚作假骗取中标的；</w:t>
      </w:r>
    </w:p>
    <w:p w14:paraId="72EC954B">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（2）与其他投标人串通投标或以行贿的手段谋取中标的；</w:t>
      </w:r>
    </w:p>
    <w:p w14:paraId="5D1B412C">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（3）中标人于投标有效期终止之前撤回投标文件，或者排名第一的中标候选人放弃中标资格的；</w:t>
      </w:r>
    </w:p>
    <w:p w14:paraId="299491B9">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（4）因中标人过错而未能按照规定与招标人签订合同或中标人因不可抗力提出不能履行合同的；</w:t>
      </w:r>
    </w:p>
    <w:p w14:paraId="1EF9BA0C">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（5）因中标人过错而未能按照招标文件要求向招标人提交履约担保的；</w:t>
      </w:r>
    </w:p>
    <w:p w14:paraId="27317993">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（6）中标人被有关部门查实存在影响中标结果的违法行为，不符合中标条件的；</w:t>
      </w:r>
    </w:p>
    <w:p w14:paraId="6F9FB17A">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（7）中标人在参加本项目投标时有投标函所列被依法限制或暂停承揽业务或停业的处罚的；</w:t>
      </w:r>
    </w:p>
    <w:p w14:paraId="1B994FC7">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（8）法律法规或招标文件明确规定可以废除授标的其他情形。</w:t>
      </w:r>
    </w:p>
    <w:p w14:paraId="39751CA0">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sectPr>
          <w:pgSz w:w="11906" w:h="16838"/>
          <w:pgMar w:top="993" w:right="1134" w:bottom="505" w:left="1134" w:header="851" w:footer="737" w:gutter="0"/>
          <w:pgBorders w:offsetFrom="page">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排名第一的中标候选人放弃中标或被取消中标候选人资格或废除授标，招标人可以按照定标委员会提出的中标候选人名单排序按规定依次确定其他中标候选人为中标人，并按规定实行中标结果公示；也可以按规定重新组织招标。若所有合格中标候选人都不能成为中标人，则招标失败。</w:t>
      </w:r>
    </w:p>
    <w:p w14:paraId="7DB8B766">
      <w:pPr>
        <w:pStyle w:val="2"/>
        <w:bidi w:val="0"/>
        <w:jc w:val="center"/>
        <w:rPr>
          <w:rFonts w:hint="eastAsia" w:ascii="宋体" w:hAnsi="宋体" w:eastAsia="宋体" w:cs="宋体"/>
          <w:color w:val="auto"/>
        </w:rPr>
      </w:pPr>
      <w:bookmarkStart w:id="166" w:name="_Toc9779"/>
      <w:bookmarkStart w:id="167" w:name="_Toc9848"/>
      <w:bookmarkStart w:id="168" w:name="_Toc15356"/>
      <w:bookmarkStart w:id="169" w:name="_Toc7890"/>
      <w:r>
        <w:rPr>
          <w:rFonts w:hint="eastAsia" w:ascii="宋体" w:hAnsi="宋体" w:eastAsia="宋体" w:cs="宋体"/>
          <w:color w:val="auto"/>
        </w:rPr>
        <w:t>第四章</w:t>
      </w:r>
      <w:r>
        <w:rPr>
          <w:rFonts w:hint="eastAsia" w:ascii="宋体" w:hAnsi="宋体" w:eastAsia="宋体" w:cs="宋体"/>
          <w:color w:val="auto"/>
          <w:lang w:val="en-US" w:eastAsia="zh-CN"/>
        </w:rPr>
        <w:t xml:space="preserve"> </w:t>
      </w:r>
      <w:r>
        <w:rPr>
          <w:rFonts w:hint="eastAsia" w:ascii="宋体" w:hAnsi="宋体" w:eastAsia="宋体" w:cs="宋体"/>
          <w:color w:val="auto"/>
        </w:rPr>
        <w:t>合同条款及格式</w:t>
      </w:r>
      <w:bookmarkEnd w:id="107"/>
      <w:bookmarkEnd w:id="108"/>
      <w:bookmarkEnd w:id="109"/>
      <w:bookmarkEnd w:id="110"/>
      <w:bookmarkEnd w:id="111"/>
      <w:bookmarkEnd w:id="166"/>
      <w:bookmarkEnd w:id="167"/>
      <w:bookmarkEnd w:id="168"/>
      <w:bookmarkEnd w:id="169"/>
    </w:p>
    <w:p w14:paraId="6500EB9E">
      <w:pPr>
        <w:pStyle w:val="3"/>
        <w:keepNext/>
        <w:keepLines/>
        <w:pageBreakBefore w:val="0"/>
        <w:widowControl w:val="0"/>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color w:val="auto"/>
          <w:sz w:val="28"/>
          <w:szCs w:val="28"/>
        </w:rPr>
      </w:pPr>
      <w:bookmarkStart w:id="170" w:name="_Toc256773172"/>
      <w:bookmarkStart w:id="171" w:name="_Toc14544"/>
      <w:bookmarkStart w:id="172" w:name="_Toc307772245"/>
      <w:bookmarkStart w:id="173" w:name="_Toc263413200"/>
      <w:r>
        <w:rPr>
          <w:rFonts w:hint="eastAsia" w:ascii="宋体" w:hAnsi="宋体" w:eastAsia="宋体" w:cs="宋体"/>
          <w:color w:val="auto"/>
          <w:sz w:val="28"/>
          <w:szCs w:val="28"/>
        </w:rPr>
        <w:t>第1节</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通用合同条款</w:t>
      </w:r>
      <w:bookmarkEnd w:id="170"/>
      <w:bookmarkEnd w:id="171"/>
      <w:bookmarkEnd w:id="172"/>
      <w:bookmarkEnd w:id="173"/>
    </w:p>
    <w:p w14:paraId="4E118B5B">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74" w:name="_Toc263413201"/>
      <w:bookmarkStart w:id="175" w:name="_Toc256773173"/>
      <w:bookmarkStart w:id="176" w:name="_Toc465864838"/>
      <w:bookmarkStart w:id="177" w:name="_Toc263413216"/>
      <w:bookmarkStart w:id="178" w:name="_Toc256773218"/>
      <w:r>
        <w:rPr>
          <w:rFonts w:hint="eastAsia" w:ascii="宋体" w:hAnsi="宋体" w:eastAsia="宋体" w:cs="宋体"/>
          <w:b/>
          <w:color w:val="auto"/>
          <w:sz w:val="24"/>
          <w:szCs w:val="24"/>
          <w:highlight w:val="none"/>
        </w:rPr>
        <w:t>1一般约定</w:t>
      </w:r>
      <w:bookmarkEnd w:id="174"/>
      <w:bookmarkEnd w:id="175"/>
    </w:p>
    <w:p w14:paraId="6011442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179" w:name="_Toc263413202"/>
      <w:r>
        <w:rPr>
          <w:rFonts w:hint="eastAsia" w:ascii="宋体" w:hAnsi="宋体" w:eastAsia="宋体" w:cs="宋体"/>
          <w:b/>
          <w:color w:val="auto"/>
          <w:sz w:val="24"/>
          <w:szCs w:val="24"/>
          <w:highlight w:val="none"/>
        </w:rPr>
        <w:t>1.1词语定义</w:t>
      </w:r>
      <w:bookmarkEnd w:id="179"/>
    </w:p>
    <w:p w14:paraId="7DBA1CC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通用合同条款、专用合同条款中的下列词语应具有本款所赋予的含义。</w:t>
      </w:r>
    </w:p>
    <w:p w14:paraId="70C3A561">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5BF7FF2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1.1.1.1合同文件（或称合同）：指合同协议书、中标通知书、投标函及投标函附录、专用合同条款、通用合同条款、技术标准和要求、图纸、已标价工程量清单，以及其他合同文件。</w:t>
      </w:r>
    </w:p>
    <w:p w14:paraId="2E1AD2B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1.1.1.2合同协议书：指第1.5款所指的合同协议书。</w:t>
      </w:r>
    </w:p>
    <w:p w14:paraId="049A8B4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1.1.1.3中标通知书：指发包人通知承包人中标的函件。</w:t>
      </w:r>
    </w:p>
    <w:p w14:paraId="288456D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1.1.1.4投标函：指构成合同文件组成部分的由承包人填写并签署的投标函。</w:t>
      </w:r>
    </w:p>
    <w:p w14:paraId="5796222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1.1.1.5投标函附录：指附在投标函后构成合同文件的投标函附录。</w:t>
      </w:r>
    </w:p>
    <w:p w14:paraId="26D832B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1.1.1.6技术标准和要求：指构成合同文件组成部分的名为技术标准和要求（合同技术条款）的文件，包括合同双方当事人约定对其所做的修改或补充。</w:t>
      </w:r>
    </w:p>
    <w:p w14:paraId="693C4FD9">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成为合同文件的一部分，用于在履行合同中检验承包人是否按其投标时承诺的条件进行施工的依据，亦不能直接用于施工。</w:t>
      </w:r>
    </w:p>
    <w:p w14:paraId="0DBD7EF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标价工程量清单：指构成合同文件组成部分的由承包人按照规定的格式和要求填写并标明价格的工程量清单。</w:t>
      </w:r>
    </w:p>
    <w:p w14:paraId="512354B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1.1.1.9其他合同文件：指经合同双方当事人确认构成合同文件的其他文件。</w:t>
      </w:r>
    </w:p>
    <w:p w14:paraId="05D2CBE9">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1.1.2合同当事人和人员</w:t>
      </w:r>
    </w:p>
    <w:p w14:paraId="1E4653C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1.1.2.1合同当事人：指发包人和（或）承包人。</w:t>
      </w:r>
    </w:p>
    <w:p w14:paraId="7412753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1.1.2.2发包人：指专用合同条款中指明并与承包人在合同协议书中签字的当事人。</w:t>
      </w:r>
    </w:p>
    <w:p w14:paraId="5917E977">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1.1.2.3承包人：指专用合同条款中指明并与发包人在合同协议书中签字的当事人。</w:t>
      </w:r>
    </w:p>
    <w:p w14:paraId="54CB47F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1.1.2.4承包人项目经理：指承包人派驻施工场地的全权负责人。</w:t>
      </w:r>
    </w:p>
    <w:p w14:paraId="069C6588">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1.1.2.5分包人：指专用合同条款中指明的，从承包人处分包合同中某一部分工程，并与其签订分包合同的分包人。</w:t>
      </w:r>
    </w:p>
    <w:p w14:paraId="533862D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1.1.2.6监理人：指在专用合同条款中指明的，受发包人委托对合同履行实施管理的法人或其他组织。</w:t>
      </w:r>
    </w:p>
    <w:p w14:paraId="292FC4E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1.1.2.7总监理工程师（总监）：指由监理人委派常驻施工场地对合同履行实施管理的全权负责人。</w:t>
      </w:r>
    </w:p>
    <w:p w14:paraId="1E9795DE">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1.1.3工程和设备</w:t>
      </w:r>
    </w:p>
    <w:p w14:paraId="0A6C533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1.1.3.1工程：指永久工程和（或）临时工程。</w:t>
      </w:r>
    </w:p>
    <w:p w14:paraId="4656813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1.1.3.2永久工程：指按合同约定建造并移交给发包人的工程，包括工程设备。</w:t>
      </w:r>
    </w:p>
    <w:p w14:paraId="2FDFAB1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1.1.3.3临时工程：指为完成合同约定的永久工程所修建的各类临时性工程，不包括施工设备。</w:t>
      </w:r>
    </w:p>
    <w:p w14:paraId="0B3E255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1.1.3.4单位工程：指专用合同条款中指明特定范围的永久工程。</w:t>
      </w:r>
    </w:p>
    <w:p w14:paraId="399AA46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1.1.3.5工程设备：指构成或计划构成永久工程一部分的机电设备、金属结构设备、仪器装置及其他类似的设备和装置。</w:t>
      </w:r>
    </w:p>
    <w:p w14:paraId="5C5B8FF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1.1.3.6施工设备：指为完成合同约定的各项工作所需的设备、器具和其他物品，不包括临时工程和材料。</w:t>
      </w:r>
    </w:p>
    <w:p w14:paraId="6CE63E4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1.1.3.7临时设施：指为完成合同约定的各项工作所服务的临时性生产和生活设施。</w:t>
      </w:r>
    </w:p>
    <w:p w14:paraId="3672299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1.1.3.8承包人设备：指承包人自带的施工设备。</w:t>
      </w:r>
    </w:p>
    <w:p w14:paraId="273C247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1.1.3.9施工场地（或称工地、现场）：指用于合同工程施工的场所，以及在合同中指定作为施工场地组成部分的其他场所，包括永久占地和临时占地。</w:t>
      </w:r>
    </w:p>
    <w:p w14:paraId="0C84D68C">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1.1.3.10永久占地：指发包人为建设本合同工程永久征用的场地。</w:t>
      </w:r>
    </w:p>
    <w:p w14:paraId="28540451">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1.1.3.11临时占地：指发包人为建设本合同工程临时征用，承包人在完工后须按合同要求退还的场地。</w:t>
      </w:r>
    </w:p>
    <w:p w14:paraId="54586D95">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1.1.4日期</w:t>
      </w:r>
    </w:p>
    <w:p w14:paraId="0262085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1.1.4.1开工通知：指监理人按第11.1款通知承包人开工的函件。</w:t>
      </w:r>
    </w:p>
    <w:p w14:paraId="5223DC5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1.1.4.2开工日期：指监理人按第11.1款发出的开工通知中写明的开工日期。</w:t>
      </w:r>
    </w:p>
    <w:p w14:paraId="754A0B3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1.1.4.3工期：指承包人在投标函中承诺的完成合同工程所需的期限，包括按第11.3款、第11.4款和第11.6款约定所作的变更。</w:t>
      </w:r>
    </w:p>
    <w:p w14:paraId="1F05DD5F">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1.1.4.4竣工日期：即合同工程完工日期，指第1.1.4.3目约定工期届满时的日期。实际完工日期以合同工程完工证书中写明的日期为准。</w:t>
      </w:r>
    </w:p>
    <w:p w14:paraId="2BFBCDFD">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1.1.4.5缺陷责任期：即工程质量保修期：指履行第19.2款约定的缺陷责任的期限，包括根据第19.3款约定所</w:t>
      </w:r>
      <w:r>
        <w:rPr>
          <w:rFonts w:hint="eastAsia" w:ascii="宋体" w:hAnsi="宋体" w:eastAsia="宋体" w:cs="宋体"/>
          <w:color w:val="auto"/>
          <w:sz w:val="24"/>
          <w:szCs w:val="24"/>
          <w:highlight w:val="none"/>
          <w:lang w:eastAsia="zh-CN"/>
        </w:rPr>
        <w:t>做</w:t>
      </w:r>
      <w:r>
        <w:rPr>
          <w:rFonts w:hint="eastAsia" w:ascii="宋体" w:hAnsi="宋体" w:eastAsia="宋体" w:cs="宋体"/>
          <w:color w:val="auto"/>
          <w:sz w:val="24"/>
          <w:szCs w:val="24"/>
          <w:highlight w:val="none"/>
        </w:rPr>
        <w:t>的延长，具体期限由专用合同条款约定。</w:t>
      </w:r>
    </w:p>
    <w:p w14:paraId="4F645BC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1.1.4.6基准日期：指投标截止时间前28天的日期。</w:t>
      </w:r>
    </w:p>
    <w:p w14:paraId="41E700C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1.1.4.7天：除特别指明外，指日历天。合同中按天计算时间的，开始当天不计入，从次日开始计算。期限最后一天的截止时间为当天24:00。</w:t>
      </w:r>
    </w:p>
    <w:p w14:paraId="222DFF4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1.1.5合同价格和费用</w:t>
      </w:r>
    </w:p>
    <w:p w14:paraId="426A8CA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1.1.5.1签约合同价：指签订合同时合同协议书中写明的，包括了暂列金额、暂估价的合同总金额。</w:t>
      </w:r>
    </w:p>
    <w:p w14:paraId="1B9800D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1.1.5.2合同价格：指承包人按合同约定完成了包括缺陷责任期内的全部承包工作后，发包人应付给承包人的金额，包括在履行合同过程中按合同约定进行的变更和调整。</w:t>
      </w:r>
    </w:p>
    <w:p w14:paraId="3779331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1.1.5.3费用：指为履行合同所发生的或将要发生的所有合理开支，包括管理费和应分摊的其他费用，但不包括利润。</w:t>
      </w:r>
    </w:p>
    <w:p w14:paraId="741C2A3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1.1.5.4暂列金额：指已标价工程量清单中所列的暂列金额，用于在签订协议书时尚未确定或不可预见变更的施工及其所需材料、工程设备、服务等的金额，包括以计日工方式支付的金额。</w:t>
      </w:r>
    </w:p>
    <w:p w14:paraId="31B53B2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1.1.5.5暂估价：指发包人在工程量清单中给定的用于支付必然发生但暂时不能确定价格的材料、设备以及专业工程的金额。</w:t>
      </w:r>
    </w:p>
    <w:p w14:paraId="69CBB14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1.1.5.6计日工：指对零星工作采取的一种计价方式，按合同中的计日工子目及其单价计价付款。</w:t>
      </w:r>
    </w:p>
    <w:p w14:paraId="5D8AD29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1.1.5.7质量保证金（或称保留金）：指按第17.4.1项约定用于保证在缺陷责任期内履行缺陷修复义务的金额。</w:t>
      </w:r>
    </w:p>
    <w:p w14:paraId="03E2CCE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1.1.6其他</w:t>
      </w:r>
    </w:p>
    <w:p w14:paraId="51CC6F5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1.1.6.1书面形式：指合同文件、信函、电报、传真等可以有形地表现所载内容的形式。</w:t>
      </w:r>
    </w:p>
    <w:p w14:paraId="3810711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1.2语言文字</w:t>
      </w:r>
    </w:p>
    <w:p w14:paraId="4243A76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除专用术语外，合同使用的语言文字为中文。必要时专用术语应附有中文注释。</w:t>
      </w:r>
    </w:p>
    <w:p w14:paraId="428158F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0A2FD79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适用于合同的法律包括中华人民共和国法律、行政法规、部门规章，以及工程所在地的地方性法规、自治条例、单行条例和地方政府规章。</w:t>
      </w:r>
    </w:p>
    <w:p w14:paraId="33BA426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1.4合同文件的优先顺序</w:t>
      </w:r>
    </w:p>
    <w:p w14:paraId="43C76C2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24DB64E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（l）合同协议书；</w:t>
      </w:r>
    </w:p>
    <w:p w14:paraId="27BAB3C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14:paraId="1C8CC47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（3）投标函及投标函附录；</w:t>
      </w:r>
    </w:p>
    <w:p w14:paraId="7CFB3F1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（4）专用合同条款；</w:t>
      </w:r>
    </w:p>
    <w:p w14:paraId="4958B26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（5）通用合同条款；</w:t>
      </w:r>
    </w:p>
    <w:p w14:paraId="6E4F109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（6）技术标准和要求；</w:t>
      </w:r>
    </w:p>
    <w:p w14:paraId="5983C4F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rPr>
        <w:t>；</w:t>
      </w:r>
    </w:p>
    <w:p w14:paraId="5A4D1D0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（8）已标价工程量清单；</w:t>
      </w:r>
    </w:p>
    <w:p w14:paraId="5F51BAD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（9）其他合同文件。</w:t>
      </w:r>
    </w:p>
    <w:p w14:paraId="21315D4C">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1.5合同协议书</w:t>
      </w:r>
    </w:p>
    <w:p w14:paraId="2AD088E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承包人按中标通知书规定的时间与发包人签订合同协议书。除法律另有规定或合同另有约定外，发包人和承包人的法定代表人或其授权委托人在合同协议书</w:t>
      </w:r>
      <w:r>
        <w:rPr>
          <w:rFonts w:hint="eastAsia" w:ascii="宋体" w:hAnsi="宋体" w:eastAsia="宋体" w:cs="宋体"/>
          <w:color w:val="auto"/>
          <w:sz w:val="24"/>
          <w:szCs w:val="24"/>
          <w:highlight w:val="none"/>
          <w:lang w:eastAsia="zh-CN"/>
        </w:rPr>
        <w:t>上签字并加盖单位</w:t>
      </w:r>
      <w:r>
        <w:rPr>
          <w:rFonts w:hint="eastAsia" w:ascii="宋体" w:hAnsi="宋体" w:eastAsia="宋体" w:cs="宋体"/>
          <w:color w:val="auto"/>
          <w:sz w:val="24"/>
          <w:szCs w:val="24"/>
          <w:highlight w:val="none"/>
        </w:rPr>
        <w:t>章后，合同生效。</w:t>
      </w:r>
    </w:p>
    <w:p w14:paraId="3F214C3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180" w:name="_Toc263413203"/>
      <w:r>
        <w:rPr>
          <w:rFonts w:hint="eastAsia" w:ascii="宋体" w:hAnsi="宋体" w:eastAsia="宋体" w:cs="宋体"/>
          <w:b/>
          <w:color w:val="auto"/>
          <w:sz w:val="24"/>
          <w:szCs w:val="24"/>
          <w:highlight w:val="none"/>
        </w:rPr>
        <w:t>1.6图纸和承包人文件</w:t>
      </w:r>
      <w:bookmarkEnd w:id="180"/>
    </w:p>
    <w:p w14:paraId="5363FC00">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1.6.1图纸的提供</w:t>
      </w:r>
    </w:p>
    <w:p w14:paraId="1C0526C0">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发包人应按技术标准和要求（合同技术条款）约定的期限和数量将施工图纸以及其他图纸（包括配套说明和有关资料）提供给承包人。由于发包人未按时提供图纸造成工期延误的，按第11.3款的约定办理。</w:t>
      </w:r>
    </w:p>
    <w:p w14:paraId="4083A28F">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1.6.2承包人提供的文件</w:t>
      </w:r>
    </w:p>
    <w:p w14:paraId="3163B90C">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承包人提供的文件应按技术标准和要求（合同技术条款）约定的期限和数量提供给监理人。监理人应按技术标准和要求（合同技术条款）约定的期限批复承包人。</w:t>
      </w:r>
    </w:p>
    <w:p w14:paraId="19A91E64">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1.6.3图纸的修改</w:t>
      </w:r>
    </w:p>
    <w:p w14:paraId="3C5AE2C2">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1C2ACD6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1.6.4图纸的错误</w:t>
      </w:r>
    </w:p>
    <w:p w14:paraId="00E3A9C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承包人发现发包人提供的图纸存在明显错误或疏忽，应及时通知监理人。</w:t>
      </w:r>
    </w:p>
    <w:p w14:paraId="0A2E715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1.6.5图纸和承包人文件的保管</w:t>
      </w:r>
    </w:p>
    <w:p w14:paraId="53AE41C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监理人和承包人均应在施工场地各保存一套完整的包含第1.6.1项、第1.6.2项、第1.6.3项约定内容的图纸和承包人文件。</w:t>
      </w:r>
    </w:p>
    <w:p w14:paraId="4285B7F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181" w:name="_Toc263413204"/>
      <w:r>
        <w:rPr>
          <w:rFonts w:hint="eastAsia" w:ascii="宋体" w:hAnsi="宋体" w:eastAsia="宋体" w:cs="宋体"/>
          <w:b/>
          <w:color w:val="auto"/>
          <w:sz w:val="24"/>
          <w:szCs w:val="24"/>
          <w:highlight w:val="none"/>
        </w:rPr>
        <w:t>1.7联络</w:t>
      </w:r>
      <w:bookmarkEnd w:id="181"/>
    </w:p>
    <w:p w14:paraId="1DA0D64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1.7.1与合同有关的通知、批准、证明、证书、指示、要求、请求、同意、意见、确定和决定等，均应采用书面形式。</w:t>
      </w:r>
    </w:p>
    <w:p w14:paraId="4EE134F4">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5DB27E62">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1.7.3来往函件均应按合同约定的期限及时发出和答复，不得无故</w:t>
      </w:r>
      <w:r>
        <w:rPr>
          <w:rFonts w:hint="eastAsia" w:ascii="宋体" w:hAnsi="宋体" w:eastAsia="宋体" w:cs="宋体"/>
          <w:color w:val="auto"/>
          <w:sz w:val="24"/>
          <w:szCs w:val="24"/>
          <w:highlight w:val="none"/>
          <w:lang w:eastAsia="zh-CN"/>
        </w:rPr>
        <w:t>扣押</w:t>
      </w:r>
      <w:r>
        <w:rPr>
          <w:rFonts w:hint="eastAsia" w:ascii="宋体" w:hAnsi="宋体" w:eastAsia="宋体" w:cs="宋体"/>
          <w:color w:val="auto"/>
          <w:sz w:val="24"/>
          <w:szCs w:val="24"/>
          <w:highlight w:val="none"/>
        </w:rPr>
        <w:t>和拖延，亦不得拒收。否则，由此造成的后果由责任方负责。</w:t>
      </w:r>
    </w:p>
    <w:p w14:paraId="4C2C4ABA">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1.8转让</w:t>
      </w:r>
    </w:p>
    <w:p w14:paraId="399DDDC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除合同另有约定外，未经对方当事人同意，一方当事人不得将合同权利全部或部分转让给第三人，也不得全部或部分转移合同义务。</w:t>
      </w:r>
    </w:p>
    <w:p w14:paraId="5565CA4C">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1.9严禁贿赂</w:t>
      </w:r>
    </w:p>
    <w:p w14:paraId="301AC94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合同双方当事人不得以贿赂或变相贿赂的方式，谋取不当利益或损害对方权益。因贿赂造成对方损失的，行为人应赔偿损失，并承担相应的法律责任。</w:t>
      </w:r>
    </w:p>
    <w:p w14:paraId="586175CA">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1.10化石、文物</w:t>
      </w:r>
    </w:p>
    <w:p w14:paraId="40D8626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1A73875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1.10.2承包人发现文物后不及时报告或隐瞒不报，致使文物丢失或损坏的，应赔偿损失，并承担相应的法律责任。</w:t>
      </w:r>
    </w:p>
    <w:p w14:paraId="290834F5">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182" w:name="_Toc263413205"/>
      <w:r>
        <w:rPr>
          <w:rFonts w:hint="eastAsia" w:ascii="宋体" w:hAnsi="宋体" w:eastAsia="宋体" w:cs="宋体"/>
          <w:b/>
          <w:color w:val="auto"/>
          <w:sz w:val="24"/>
          <w:szCs w:val="24"/>
          <w:highlight w:val="none"/>
        </w:rPr>
        <w:t>1.11专利技术</w:t>
      </w:r>
      <w:bookmarkEnd w:id="182"/>
    </w:p>
    <w:p w14:paraId="67E5FD8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1.11.1承包人在使用任何材料、承包人设备、工程设备或采用施工工艺时，因侵犯专利权或其他知识产权所引起的责任，由承包人承担，但由于遵照发包人提供的设计或技术标准和要求引起的除外。</w:t>
      </w:r>
    </w:p>
    <w:p w14:paraId="26661DB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1.11.2承包人在投标文件中采用专利技术的，专利技术的使用费包含在投标报价内。</w:t>
      </w:r>
    </w:p>
    <w:p w14:paraId="5697291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1.11.3承包人的技术秘密和声明需要保密的资料和信息，发包人和监理人不得为合同以外的目的泄露给他人。</w:t>
      </w:r>
    </w:p>
    <w:p w14:paraId="7FECB19D">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1.11.4合同实施过程中，发包人要求承包人采用专利技术的，发包人应办理相应的使用手续，承包人应按发包。人约定的条件使用，并承担使用专利技术的相关试验工作，所需费用由发包人承担。</w:t>
      </w:r>
    </w:p>
    <w:p w14:paraId="4A370AD4">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1.12图纸和文件的保密</w:t>
      </w:r>
    </w:p>
    <w:p w14:paraId="09EFD76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1.12.1发包人提供的图纸和文件，未经发包人同意，承包人不得为合同以外的目的泄露给他人或公开发表与引用。</w:t>
      </w:r>
    </w:p>
    <w:p w14:paraId="41D30DB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1.12.2承包人提供的文件，未经承包人同意，发包人和监理人不得为合同以外的目的泄露给他人或公开发表与引用。</w:t>
      </w:r>
    </w:p>
    <w:p w14:paraId="1DBA71E9">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83" w:name="_Toc256773174"/>
      <w:bookmarkStart w:id="184" w:name="_Toc263413206"/>
      <w:r>
        <w:rPr>
          <w:rFonts w:hint="eastAsia" w:ascii="宋体" w:hAnsi="宋体" w:eastAsia="宋体" w:cs="宋体"/>
          <w:b/>
          <w:color w:val="auto"/>
          <w:sz w:val="24"/>
          <w:szCs w:val="24"/>
          <w:highlight w:val="none"/>
        </w:rPr>
        <w:t>2发包人义务</w:t>
      </w:r>
      <w:bookmarkEnd w:id="183"/>
      <w:bookmarkEnd w:id="184"/>
    </w:p>
    <w:p w14:paraId="542C8E3F">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2.1遵守法律</w:t>
      </w:r>
    </w:p>
    <w:p w14:paraId="2D14F89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发包人在履行合同过程中应遵守法律，并保证承包人免于承担因发包人违反法律而引起的任何责任。</w:t>
      </w:r>
    </w:p>
    <w:p w14:paraId="624F4239">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2.2发出开工通知</w:t>
      </w:r>
    </w:p>
    <w:p w14:paraId="76D2EA9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发包人应委托监理人按第11.1款的约定向承包人发出开工通知。</w:t>
      </w:r>
    </w:p>
    <w:p w14:paraId="02C13F7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185" w:name="_Toc263413207"/>
      <w:r>
        <w:rPr>
          <w:rFonts w:hint="eastAsia" w:ascii="宋体" w:hAnsi="宋体" w:eastAsia="宋体" w:cs="宋体"/>
          <w:b/>
          <w:color w:val="auto"/>
          <w:sz w:val="24"/>
          <w:szCs w:val="24"/>
          <w:highlight w:val="none"/>
        </w:rPr>
        <w:t>2.3提供施工场地</w:t>
      </w:r>
      <w:bookmarkEnd w:id="185"/>
    </w:p>
    <w:p w14:paraId="3A30BFBD">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0D07FD90">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2.3.2发包人提供的施工用地范围在专用合同条款中约定。</w:t>
      </w:r>
    </w:p>
    <w:p w14:paraId="63AA0854">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除专用合同条款另有约定外，发包人应按技术标准和要求（合同技术条款）的约定，向承包人提供施工场地内的工程地质图纸和报告，以及地下障碍物图纸等施工场地有关资料，并保证资料的真实、准确、完整。</w:t>
      </w:r>
    </w:p>
    <w:p w14:paraId="5122FDD3">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2.4协助承包人办理证件和批件</w:t>
      </w:r>
    </w:p>
    <w:p w14:paraId="41895B5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发包人应协助承包人办理法律规定的有关施工证件和批件。</w:t>
      </w:r>
    </w:p>
    <w:p w14:paraId="4200FE5A">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2.5组织设计交底</w:t>
      </w:r>
    </w:p>
    <w:p w14:paraId="293F72E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发包人应根据合同进度计划，组织设计单位向承包人进行设计交底。</w:t>
      </w:r>
    </w:p>
    <w:p w14:paraId="60FEDD4A">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2.6支付合同价款</w:t>
      </w:r>
    </w:p>
    <w:p w14:paraId="08EA4AA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发包人应按合同约定向承包人及时支付合同价款。</w:t>
      </w:r>
    </w:p>
    <w:p w14:paraId="59699B0F">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2.7组织竣工验收（组织法人验收）</w:t>
      </w:r>
    </w:p>
    <w:p w14:paraId="05518E0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发包人应按合同约定及时组织法人验收。</w:t>
      </w:r>
    </w:p>
    <w:p w14:paraId="1F08093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2.8其他义务</w:t>
      </w:r>
    </w:p>
    <w:p w14:paraId="29E09EDD">
      <w:pPr>
        <w:pageBreakBefore w:val="0"/>
        <w:widowControl w:val="0"/>
        <w:kinsoku/>
        <w:wordWrap/>
        <w:topLinePunct w:val="0"/>
        <w:bidi w:val="0"/>
        <w:spacing w:line="42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其他义务在专用合同条款中补充约定。</w:t>
      </w:r>
    </w:p>
    <w:p w14:paraId="39CC6018">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86" w:name="_Toc256773175"/>
      <w:r>
        <w:rPr>
          <w:rFonts w:hint="eastAsia" w:ascii="宋体" w:hAnsi="宋体" w:eastAsia="宋体" w:cs="宋体"/>
          <w:b/>
          <w:color w:val="auto"/>
          <w:sz w:val="24"/>
          <w:szCs w:val="24"/>
          <w:highlight w:val="none"/>
        </w:rPr>
        <w:t>3监理人</w:t>
      </w:r>
      <w:bookmarkEnd w:id="186"/>
    </w:p>
    <w:p w14:paraId="7CCB0CD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3.1监理人的职责和权力</w:t>
      </w:r>
    </w:p>
    <w:p w14:paraId="77EB1458">
      <w:pPr>
        <w:pageBreakBefore w:val="0"/>
        <w:widowControl w:val="0"/>
        <w:kinsoku/>
        <w:wordWrap/>
        <w:topLinePunct w:val="0"/>
        <w:bidi w:val="0"/>
        <w:spacing w:line="42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3.1.1监理人受发包人的委托，享有合同约定的</w:t>
      </w:r>
      <w:r>
        <w:rPr>
          <w:rFonts w:hint="eastAsia" w:ascii="宋体" w:hAnsi="宋体" w:eastAsia="宋体" w:cs="宋体"/>
          <w:color w:val="auto"/>
          <w:sz w:val="24"/>
          <w:szCs w:val="24"/>
          <w:highlight w:val="none"/>
          <w:lang w:eastAsia="zh-CN"/>
        </w:rPr>
        <w:t>权利</w:t>
      </w:r>
      <w:r>
        <w:rPr>
          <w:rFonts w:hint="eastAsia" w:ascii="宋体" w:hAnsi="宋体" w:eastAsia="宋体" w:cs="宋体"/>
          <w:color w:val="auto"/>
          <w:sz w:val="24"/>
          <w:szCs w:val="24"/>
          <w:highlight w:val="none"/>
        </w:rPr>
        <w:t>。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7635CB7A">
      <w:pPr>
        <w:pageBreakBefore w:val="0"/>
        <w:widowControl w:val="0"/>
        <w:kinsoku/>
        <w:wordWrap/>
        <w:topLinePunct w:val="0"/>
        <w:bidi w:val="0"/>
        <w:spacing w:line="42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3.1.2监理人发出的任何指示应视为已得到发包人的批准，但监理人无权免除或变更合同约定的发包人和承包人的权利、义务和责任。</w:t>
      </w:r>
    </w:p>
    <w:p w14:paraId="24A53D6D">
      <w:pPr>
        <w:pageBreakBefore w:val="0"/>
        <w:widowControl w:val="0"/>
        <w:kinsoku/>
        <w:wordWrap/>
        <w:topLinePunct w:val="0"/>
        <w:bidi w:val="0"/>
        <w:spacing w:line="42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3.1.3合同约定应由承包人承担的义务和责任，不因监理人对承包人提交文件的审查或批准，对工程、材料和设备的检查和检验，以及为实施监理作出的指示等职务行为而减轻或解除。</w:t>
      </w:r>
    </w:p>
    <w:p w14:paraId="480A0B89">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3.2总监理工程师</w:t>
      </w:r>
    </w:p>
    <w:p w14:paraId="6FED084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1F636F3F">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3.3监理人员</w:t>
      </w:r>
    </w:p>
    <w:p w14:paraId="03B7F82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8A18AE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3.3.2监理人员对承包人的任何工作、工程或其采用的材料和工程设备未在约定的或合理的期限内提出否定意见的，视为已</w:t>
      </w:r>
      <w:r>
        <w:rPr>
          <w:rFonts w:hint="eastAsia" w:ascii="宋体" w:hAnsi="宋体" w:eastAsia="宋体" w:cs="宋体"/>
          <w:color w:val="auto"/>
          <w:sz w:val="24"/>
          <w:szCs w:val="24"/>
          <w:highlight w:val="none"/>
          <w:lang w:eastAsia="zh-CN"/>
        </w:rPr>
        <w:t>获得</w:t>
      </w:r>
      <w:r>
        <w:rPr>
          <w:rFonts w:hint="eastAsia" w:ascii="宋体" w:hAnsi="宋体" w:eastAsia="宋体" w:cs="宋体"/>
          <w:color w:val="auto"/>
          <w:sz w:val="24"/>
          <w:szCs w:val="24"/>
          <w:highlight w:val="none"/>
        </w:rPr>
        <w:t>批准，但不影响监理人在以后拒绝该项工作、工程、材料或工程设备的权利。</w:t>
      </w:r>
    </w:p>
    <w:p w14:paraId="3BC4CE7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3.3.3承包人对总监理工程师授权的监理人员发出的指示有疑问的，可向总监理工程师提出书面异议，总监理工程师应在48小时内对该指示予以确认、更改或撤销。</w:t>
      </w:r>
    </w:p>
    <w:p w14:paraId="71046F6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3.3.4除专用合同条款另有约定外，总监理工程师不应将第3.5款约定应由总监理工程师作出确定的权力授权或委托给其他监理人员。</w:t>
      </w:r>
    </w:p>
    <w:p w14:paraId="7B12D50E">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3.4监理人的指示</w:t>
      </w:r>
    </w:p>
    <w:p w14:paraId="490EBFB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3.4.1监理人应按第3.1款的约定向承包人发出指示，监理人的指示应盖有监理人授权的施工场地机构章，并由总监理工程师或总监理工程师按第3.3.1项约定授权的监理人员签字。</w:t>
      </w:r>
    </w:p>
    <w:p w14:paraId="5379A34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3.4.2承包人收到监理人按第3.4.1项作出的指示后应遵照执行。指示构成变更的，应按</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条</w:t>
      </w:r>
      <w:r>
        <w:rPr>
          <w:rFonts w:hint="eastAsia" w:ascii="宋体" w:hAnsi="宋体" w:eastAsia="宋体" w:cs="宋体"/>
          <w:color w:val="auto"/>
          <w:sz w:val="24"/>
          <w:szCs w:val="24"/>
          <w:highlight w:val="none"/>
        </w:rPr>
        <w:t>处理。</w:t>
      </w:r>
    </w:p>
    <w:p w14:paraId="733B97B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467E5C6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3.4.4除合同另有约定外，承包人只从总监理工程师或按第3.3.1项被授权的监理人员处取得指示。</w:t>
      </w:r>
    </w:p>
    <w:p w14:paraId="61E3136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3.4.5由于监理人未能按合同约定发出指示、指示延误或指示错误而导致承包人费用增加和（或）工期延误的，由发包人承担赔偿责任。</w:t>
      </w:r>
    </w:p>
    <w:p w14:paraId="006FF062">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3.5商定或确定</w:t>
      </w:r>
    </w:p>
    <w:p w14:paraId="3DD15D8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3.5.1合同约定总监理工程师应按照本款对任何事项进行商定或确定时，总监理工程师应与合同当事人协商，尽量达成一致。不能达成一致的，总监理工程师应认真研究后审慎确定。</w:t>
      </w:r>
    </w:p>
    <w:p w14:paraId="49C372A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4910D698">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87" w:name="_Toc256773176"/>
      <w:r>
        <w:rPr>
          <w:rFonts w:hint="eastAsia" w:ascii="宋体" w:hAnsi="宋体" w:eastAsia="宋体" w:cs="宋体"/>
          <w:b/>
          <w:color w:val="auto"/>
          <w:sz w:val="24"/>
          <w:szCs w:val="24"/>
          <w:highlight w:val="none"/>
        </w:rPr>
        <w:t>4承包人</w:t>
      </w:r>
      <w:bookmarkEnd w:id="187"/>
    </w:p>
    <w:p w14:paraId="5BEEC8BA">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4.1承包人的一般义务</w:t>
      </w:r>
    </w:p>
    <w:p w14:paraId="16CB21F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4.1.1遵守法律</w:t>
      </w:r>
    </w:p>
    <w:p w14:paraId="4957C2D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承包人在履行合同过程中应遵守法律，并保证发包人免于承担因承包人违反法律而引起的任何责任。</w:t>
      </w:r>
    </w:p>
    <w:p w14:paraId="68837C3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4.1.2依法纳税</w:t>
      </w:r>
    </w:p>
    <w:p w14:paraId="78424C1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承包人应按有关法律规定纳税，应缴纳的税金包括在合同价格内。</w:t>
      </w:r>
    </w:p>
    <w:p w14:paraId="556D63F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4.1.3完成各项承包工作</w:t>
      </w:r>
    </w:p>
    <w:p w14:paraId="6FDB9BC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以及监理人根据第3．4款作出的指示，实施、完成全部工程，并修补工程中的任何缺陷。除第5.2款、第6．2款另有约定外，承包人应提供为完成合同工作所需的劳务、材料、施工设备、工程设备和其他物品，并按合同约定负责临时设施的设计、建造、运行、维护、管理和拆除。</w:t>
      </w:r>
    </w:p>
    <w:p w14:paraId="03F1255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4.1.4对施工作业和施工方法的完备性负责</w:t>
      </w:r>
    </w:p>
    <w:p w14:paraId="6B26417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承包人应按合同约定的工作内容和施工进度要求，编制施工组织设计和施工措施计划，并对所有施工作业和施工方法的完备性和安全可靠性负责。</w:t>
      </w:r>
    </w:p>
    <w:p w14:paraId="75766AB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4.1.5保证工程施工和人员的安全</w:t>
      </w:r>
    </w:p>
    <w:p w14:paraId="49E3EB8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承包人应按第9.2款约定采取施工安全措施，确保工程及其人员、材料、设备和设施的安全，防止因工程施工造成的人身伤害和财产损失。</w:t>
      </w:r>
    </w:p>
    <w:p w14:paraId="3C050B9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4.1.6负责施工场地及其周边环境与生态的保护工作</w:t>
      </w:r>
    </w:p>
    <w:p w14:paraId="661EF5A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承包人应按照第9.4款约定负责施工场地及其周边环境与生态的保护工作。</w:t>
      </w:r>
    </w:p>
    <w:p w14:paraId="499C55E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4.1.7避免施工对公众与他人的利益造成损害</w:t>
      </w:r>
    </w:p>
    <w:p w14:paraId="6E9D367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021062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4.1.8为他人提供方便</w:t>
      </w:r>
    </w:p>
    <w:p w14:paraId="5E230F4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7218B11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4.1.9工程的维护和照管</w:t>
      </w:r>
    </w:p>
    <w:p w14:paraId="7DD0092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6A047ED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4.1.10其他义务</w:t>
      </w:r>
    </w:p>
    <w:p w14:paraId="4BEF1EC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其他义务在专用合同条款中补充约定。</w:t>
      </w:r>
    </w:p>
    <w:p w14:paraId="1AB1080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4.2履约担保</w:t>
      </w:r>
    </w:p>
    <w:p w14:paraId="34D20A3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承包人应保证其履约担保在发包人颁发合同工程完工证书前一直有效。发包人应在合同工程完工证书颁发后28天内将履约担保退还给承包人。</w:t>
      </w:r>
    </w:p>
    <w:p w14:paraId="167ED57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4.3分包</w:t>
      </w:r>
    </w:p>
    <w:p w14:paraId="5EEAC06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4.3.1承包人不得将其承包的全部工程转包给第三人，或将其承包的全部工程肢解后以分包的名义转包给第三人。</w:t>
      </w:r>
    </w:p>
    <w:p w14:paraId="066CC5F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4.3.2承包人不得将工程主体、关键性工作分包给第三人。除专用合同条款另有约定外，未经发包人同意，承包人不得将工程的其他部分或工作分包给第三人。</w:t>
      </w:r>
    </w:p>
    <w:p w14:paraId="6F1D0EE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4.3.3分包人的资格能力应与其分包工程的标准和规模相适应。</w:t>
      </w:r>
    </w:p>
    <w:p w14:paraId="70D9CC9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4.3.4按投标函附录约定分包工程的，承包人应向发包人和监理人提交分包合同副本。</w:t>
      </w:r>
    </w:p>
    <w:p w14:paraId="77E2476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4.3.5承包人应与分包人就分包工程向发包人承担连带责任。</w:t>
      </w:r>
    </w:p>
    <w:p w14:paraId="16BBE79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8885EA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3FA117E6">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由指定分包人造成的与其分包工作有关的一切索赔、诉讼和损失赔偿由指定分包人直接对发包人负责，承包人不对此承担责任。</w:t>
      </w:r>
    </w:p>
    <w:p w14:paraId="16236E7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4.3.8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2ED195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4.3.9除第4．3．7项规定的指定分包外，承包人对其分包项目的实施以及分包人的行为向发包人负全部责任。承包人应对分包项目的工程进度、质量、安全、计量和验收等实施监督和管理。</w:t>
      </w:r>
    </w:p>
    <w:p w14:paraId="052DE503">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4.3.10分包人应按专用合同条款的约定设立项目管理机构组织管理分包工程的施工活动。</w:t>
      </w:r>
    </w:p>
    <w:p w14:paraId="27C1E81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4.4联合体</w:t>
      </w:r>
    </w:p>
    <w:p w14:paraId="2AF2AC3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4.4.1联合体各方应共同与发包人签订合同协议书。联合体各方应为履行合同承担连带责任。</w:t>
      </w:r>
    </w:p>
    <w:p w14:paraId="042B8D2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4.4.2联合体协议经发包人确认后作为合同附件。在履行合同过程中，未经发包人同意，不得修改联合体协议。</w:t>
      </w:r>
    </w:p>
    <w:p w14:paraId="3477F42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4.4.3联合体牵头人负责与发包人和监理人联系，并接受指示，负责组织联合体各成员全面履行合同。</w:t>
      </w:r>
    </w:p>
    <w:p w14:paraId="443CAFD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4.5承包人项目经理</w:t>
      </w:r>
    </w:p>
    <w:p w14:paraId="772A118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C367AD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4C63D1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4.5.3承包人为履行合同发出的一切函件均应盖有承包人授权的施工场地管理机构章，并由承包人项目经理或其授权代表签字。</w:t>
      </w:r>
    </w:p>
    <w:p w14:paraId="7DA9A11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4.5.4承包人项目经理可以授权其下属人员履行其某项职责，但事先应将这些人员的姓名和授权范围通知监理人。</w:t>
      </w:r>
    </w:p>
    <w:p w14:paraId="664B877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4.6承包人人员的管理</w:t>
      </w:r>
    </w:p>
    <w:p w14:paraId="47009E7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249319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4.6.2为完成合同约定的各项工作，承包人应向施工场地派遣或雇佣足够数量的下列人员：</w:t>
      </w:r>
    </w:p>
    <w:p w14:paraId="1EDD5C9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（1）具有相应资格的专业技工和合格的普工；</w:t>
      </w:r>
    </w:p>
    <w:p w14:paraId="07F4F82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（2）具有相应施工经验的技术人员；</w:t>
      </w:r>
    </w:p>
    <w:p w14:paraId="3AE841F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（3）具有相应岗位资格的各级管理人员。</w:t>
      </w:r>
    </w:p>
    <w:p w14:paraId="2F9B544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4.6.3承包人安排在施工场地的主要管理人员和技术骨干应相对稳定。承包人更换主要管理人员和技术骨干时，应取得监理人的同意。</w:t>
      </w:r>
    </w:p>
    <w:p w14:paraId="4E9DE10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4.6.4特殊岗位的工作人员均应持有相应的资格证明，监理人有权随时检查。监理人认为有必要时，可进行现场考核。</w:t>
      </w:r>
    </w:p>
    <w:p w14:paraId="2BA15D9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4.7撤换承包人项目经理和其他人员</w:t>
      </w:r>
    </w:p>
    <w:p w14:paraId="10125B0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承包人应对其项目经理和其他人员进行有效管理。监理人要求撤换不能胜任本职工作、行为不端或玩忽职守的承包人项目经理和其他人员的，承包人应予以撤换。</w:t>
      </w:r>
    </w:p>
    <w:p w14:paraId="6F9262E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4.8保障承包人人员的合法权益</w:t>
      </w:r>
    </w:p>
    <w:p w14:paraId="5F97D58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4.8.1承包人应与其雇佣的人员签订劳动合同，并按时发放工资。</w:t>
      </w:r>
    </w:p>
    <w:p w14:paraId="297C1EC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4.8.2承包人应按劳动法的规定安排工作时间，保证其雇佣人员享有休息和休假的权利。因工程施工的特殊需要占用休假日或延长工作时间的，应不超过法律规定的限度，并按法律规定给予补休或付酬。</w:t>
      </w:r>
    </w:p>
    <w:p w14:paraId="41650FF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4.8.3承包人应为其雇佣人员提供必要的食宿条件，以及符合环境保护和卫生要求的生活环境，在远离城镇的施工场地，还应配备必要的伤病防治和急救的医务人员与医疗设施。</w:t>
      </w:r>
    </w:p>
    <w:p w14:paraId="71FB5A8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4.8.4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FC6D97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4.8.5承包人应按有关法律规定和合同约定，为其雇佣人员办理保险。</w:t>
      </w:r>
    </w:p>
    <w:p w14:paraId="4B080A1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4.8.6承包人应负责处理其雇佣人员因工伤亡事故的善后事宜。</w:t>
      </w:r>
    </w:p>
    <w:p w14:paraId="49D6B22F">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4.9工程价款应专款专用</w:t>
      </w:r>
    </w:p>
    <w:p w14:paraId="6C14801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发包人按合同约定支付给承包人的各项价款应专用于合同工程。</w:t>
      </w:r>
    </w:p>
    <w:p w14:paraId="0CDB63B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4.10承包人现场查勘</w:t>
      </w:r>
    </w:p>
    <w:p w14:paraId="76E43A0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4.10.1发包人应将其持有的现场地质勘探资料、水文气象资料提供给承包人，并对其</w:t>
      </w:r>
      <w:r>
        <w:rPr>
          <w:rFonts w:hint="eastAsia" w:ascii="宋体" w:hAnsi="宋体" w:eastAsia="宋体" w:cs="宋体"/>
          <w:color w:val="auto"/>
          <w:sz w:val="24"/>
          <w:szCs w:val="24"/>
          <w:highlight w:val="none"/>
          <w:lang w:eastAsia="zh-CN"/>
        </w:rPr>
        <w:t>准确性</w:t>
      </w:r>
      <w:r>
        <w:rPr>
          <w:rFonts w:hint="eastAsia" w:ascii="宋体" w:hAnsi="宋体" w:eastAsia="宋体" w:cs="宋体"/>
          <w:color w:val="auto"/>
          <w:sz w:val="24"/>
          <w:szCs w:val="24"/>
          <w:highlight w:val="none"/>
        </w:rPr>
        <w:t>负责。但承包人应对其阅读上述有关资料后所作出的解释和推断负责。</w:t>
      </w:r>
    </w:p>
    <w:p w14:paraId="1EBA716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4.10.2承包人应对施工场地和周围环境进行查勘，并收集有关地质、水文、气象条件、交通条件、风俗习惯以及其他为完成合同工作有关的当地资料。在全部合同工作中，应视为承包人</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充分估计了应承担的责任和风险。</w:t>
      </w:r>
    </w:p>
    <w:p w14:paraId="0E79A566">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4.11不利物质条件</w:t>
      </w:r>
    </w:p>
    <w:p w14:paraId="5359C2B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4.11.1除专用合同条款另有约定外，不利物质条件是指在施工中遭遇不可预见的外界障碍或自然条件造成施工受阻。</w:t>
      </w:r>
    </w:p>
    <w:p w14:paraId="71B12007">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4.11.2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563C71F4">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88" w:name="_Toc256773177"/>
      <w:r>
        <w:rPr>
          <w:rFonts w:hint="eastAsia" w:ascii="宋体" w:hAnsi="宋体" w:eastAsia="宋体" w:cs="宋体"/>
          <w:b/>
          <w:color w:val="auto"/>
          <w:sz w:val="24"/>
          <w:szCs w:val="24"/>
          <w:highlight w:val="none"/>
        </w:rPr>
        <w:t>5材料和工程设备</w:t>
      </w:r>
      <w:bookmarkEnd w:id="188"/>
    </w:p>
    <w:p w14:paraId="5C66CEF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5.1承包人提供的材料和工程设备</w:t>
      </w:r>
    </w:p>
    <w:p w14:paraId="0377907D">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5.1.1除第5.2款约定由发包人提供的材料和工程设备外，承包人负责采购、运输和保管完成本合同工作所需的材料和工程设备。承包人应对其采购的材料和工程设备负责。</w:t>
      </w:r>
    </w:p>
    <w:p w14:paraId="7D14AD8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5EF497B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7828EE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5.2发包人提供的材料和工程设备</w:t>
      </w:r>
    </w:p>
    <w:p w14:paraId="5874C8B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5.2.1发包人提供的材料和工程设备，应在专用合同条款中写明材料和工程设备的名称、规格、数量、价格、交货方式、交货地点和计划交货日期等。</w:t>
      </w:r>
    </w:p>
    <w:p w14:paraId="08B1091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5.2.2承包人应根据合同进度计划的安排，向监理人报送要求发包人交货的日期计划。发包人应按照监理人与合同双方当事人商定的交货日期，向承包人提交材料和工程设备。</w:t>
      </w:r>
    </w:p>
    <w:p w14:paraId="211C617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发包人应在材料和工程设备到货7天前通知承包人，承包人应会同监理人在约定的时间内，赴交货地点共同进行验收。发包人提供的材料和工程设备运至交货地点验收后，由承包人负责接收、卸货、运输和保管。</w:t>
      </w:r>
    </w:p>
    <w:p w14:paraId="3D5E9D2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5.2.4发包人要求向承包人提前交货的，承包人不得拒绝，但发包人应承担承包人由此增加的费用。</w:t>
      </w:r>
    </w:p>
    <w:p w14:paraId="15FAB9C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5.2.5承包人要求更改交货日期或地点的，应事先报请监理人批准。由于承包人要求更改交货时间或地点所增加的费用和（或）工期延误由承包人承担。</w:t>
      </w:r>
    </w:p>
    <w:p w14:paraId="35346D5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5.2.6发包人提供的材料和工程设备的规格、数量或质量不符合合同要求，或由于发包人原因发生交货日期延误及交货地点变更等情况的，发包人应承担由此增加的费用和（或）工期延误，并向承包人支付合理利润。</w:t>
      </w:r>
    </w:p>
    <w:p w14:paraId="420DBCA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5.3材料和工程设备专用于合同工程</w:t>
      </w:r>
    </w:p>
    <w:p w14:paraId="1736319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5.3.1进入施工场地的材料、工程设备，包括备品备件、安装专用工器具与随机资料，必须专用于合同工程，未经监理人同意，承包人不得运出施工场地或挪作他用。</w:t>
      </w:r>
    </w:p>
    <w:p w14:paraId="15728A3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随同工程设备进入施工场地的备品备件、专用工器具与随机资料，应由承包人会同监理人按供货人的装箱单清点后共同封存，未经监理人同意不得启用。承包人因合同工作需要使用上述物品时，应向监理人提出申请。</w:t>
      </w:r>
    </w:p>
    <w:p w14:paraId="772CDBF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5.4禁止使用不合格的材料和工程设备</w:t>
      </w:r>
    </w:p>
    <w:p w14:paraId="1D15B4B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5.4.1监理人有权拒绝承包人提供的不合格材料或工程设备，并要求承包人立即进行更换。监理人应在更换后再次进行检查和检验，由此增加的费用和（或）工期延误由承包人承担。</w:t>
      </w:r>
    </w:p>
    <w:p w14:paraId="1F15AD2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5.4.2监理人发现承包人使用了不合格的材料和工程设备，应及时发出指示要求承包人立即改正，并禁止在工程中继续使用不合格的材料和工程设备。</w:t>
      </w:r>
    </w:p>
    <w:p w14:paraId="4C91F33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5.4.3发包人提供的材料或工程设备不符合合同要求的，承包人有权拒绝，并可要求发包人更换，由此增加的费用和（或）工期延误由发包人承担。</w:t>
      </w:r>
    </w:p>
    <w:p w14:paraId="0537FCCB">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89" w:name="_Toc256773178"/>
      <w:r>
        <w:rPr>
          <w:rFonts w:hint="eastAsia" w:ascii="宋体" w:hAnsi="宋体" w:eastAsia="宋体" w:cs="宋体"/>
          <w:b/>
          <w:color w:val="auto"/>
          <w:sz w:val="24"/>
          <w:szCs w:val="24"/>
          <w:highlight w:val="none"/>
        </w:rPr>
        <w:t>6施工设备和临时设施</w:t>
      </w:r>
      <w:bookmarkEnd w:id="189"/>
    </w:p>
    <w:p w14:paraId="146CC97A">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6.1承包人提供的施工设备和临时设施</w:t>
      </w:r>
    </w:p>
    <w:p w14:paraId="6ED7168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6.1.1承包人应按合同进度计划的要求，及时配置施工设备和修建临时设施。进入施工场地的承包人设备需经监理人核查后才能投入使用。承包人更换合同约定的承包人设备的，应报监理人批准。</w:t>
      </w:r>
    </w:p>
    <w:p w14:paraId="2F9CE2C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6.1.2除专用合同条款另有约定外，承包人应自行承担修建临时设施的费用，需要临时占地的，应由发包人办理申请手续并承担相应费用。</w:t>
      </w:r>
    </w:p>
    <w:p w14:paraId="75ADDBA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6.2发包人提供的施工设备和临时设施</w:t>
      </w:r>
    </w:p>
    <w:p w14:paraId="4B64317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发包人提供的施工设备或临时设施在专用合同条款中约定。</w:t>
      </w:r>
    </w:p>
    <w:p w14:paraId="31FF0A4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6.3要求承包人增加或更换施工设备</w:t>
      </w:r>
    </w:p>
    <w:p w14:paraId="615C91E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74F10CB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6.4施工设备和临时设施专用于合同工程</w:t>
      </w:r>
    </w:p>
    <w:p w14:paraId="40F7703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6.4.1除合同另有约定外，进入施工场地的所有施工设备以及在施工场地建设的临时设施应专用于合同工程。未经监理人同意，不得将上述施工设备和临时设施中的任何部分运出施工场地或挪作他用。</w:t>
      </w:r>
    </w:p>
    <w:p w14:paraId="5D9856C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6.4.2经监理人同意，承包人可根据合同进度计划撤走闲置的施工设备。</w:t>
      </w:r>
    </w:p>
    <w:p w14:paraId="103C51DB">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0" w:name="_Toc256773179"/>
      <w:r>
        <w:rPr>
          <w:rFonts w:hint="eastAsia" w:ascii="宋体" w:hAnsi="宋体" w:eastAsia="宋体" w:cs="宋体"/>
          <w:b/>
          <w:color w:val="auto"/>
          <w:sz w:val="24"/>
          <w:szCs w:val="24"/>
          <w:highlight w:val="none"/>
        </w:rPr>
        <w:t>7交通运输</w:t>
      </w:r>
      <w:bookmarkEnd w:id="190"/>
    </w:p>
    <w:p w14:paraId="2A2EB17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7.1道路通行权和场外设施</w:t>
      </w:r>
    </w:p>
    <w:p w14:paraId="3F6384D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22CD44E4">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7.2场内施工道路</w:t>
      </w:r>
    </w:p>
    <w:p w14:paraId="748E622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0A87BC27">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7.2.2承包人修建的临时道路和交通设施：应免费提供发包人、监理人以及与本合同有关的其他承包人使用。</w:t>
      </w:r>
    </w:p>
    <w:p w14:paraId="1E387ACA">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7.3场外交通</w:t>
      </w:r>
    </w:p>
    <w:p w14:paraId="6C11D9F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7.3.1承包人车辆外出行驶所需的场外公共道路的通行费、养路费和税款等由承包人承担。</w:t>
      </w:r>
    </w:p>
    <w:p w14:paraId="0D42B97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7.3.2承包人应遵守有关交通法规，严格按照道路和桥梁的限制荷重安全行驶，并服从交通管理部门的检查和监督。</w:t>
      </w:r>
    </w:p>
    <w:p w14:paraId="2F8C9DC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7.4超大件和超重件的运输</w:t>
      </w:r>
    </w:p>
    <w:p w14:paraId="7DD358D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DE36B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7.5道路和桥梁的损坏责任</w:t>
      </w:r>
    </w:p>
    <w:p w14:paraId="6ED24BE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因承包人运输造成施工场地内外公共道路和桥梁损坏的，由承包人承担修复损坏的全部费用和可能引起的赔偿。</w:t>
      </w:r>
    </w:p>
    <w:p w14:paraId="6952FAC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7.6水路和航空运输</w:t>
      </w:r>
    </w:p>
    <w:p w14:paraId="64A330D0">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本条上述各款的内容适用于水路运输和航空运输，其中“道路”一词的</w:t>
      </w:r>
      <w:r>
        <w:rPr>
          <w:rFonts w:hint="eastAsia" w:ascii="宋体" w:hAnsi="宋体" w:eastAsia="宋体" w:cs="宋体"/>
          <w:color w:val="auto"/>
          <w:sz w:val="24"/>
          <w:szCs w:val="24"/>
          <w:highlight w:val="none"/>
          <w:lang w:eastAsia="zh-CN"/>
        </w:rPr>
        <w:t>含义</w:t>
      </w:r>
      <w:r>
        <w:rPr>
          <w:rFonts w:hint="eastAsia" w:ascii="宋体" w:hAnsi="宋体" w:eastAsia="宋体" w:cs="宋体"/>
          <w:color w:val="auto"/>
          <w:sz w:val="24"/>
          <w:szCs w:val="24"/>
          <w:highlight w:val="none"/>
        </w:rPr>
        <w:t>包括河道、航线、船闸、机场、码头、堤防以及水路或航空运输中其他相似结构物；“车辆”一词的</w:t>
      </w:r>
      <w:r>
        <w:rPr>
          <w:rFonts w:hint="eastAsia" w:ascii="宋体" w:hAnsi="宋体" w:eastAsia="宋体" w:cs="宋体"/>
          <w:color w:val="auto"/>
          <w:sz w:val="24"/>
          <w:szCs w:val="24"/>
          <w:highlight w:val="none"/>
          <w:lang w:eastAsia="zh-CN"/>
        </w:rPr>
        <w:t>含义</w:t>
      </w:r>
      <w:r>
        <w:rPr>
          <w:rFonts w:hint="eastAsia" w:ascii="宋体" w:hAnsi="宋体" w:eastAsia="宋体" w:cs="宋体"/>
          <w:color w:val="auto"/>
          <w:sz w:val="24"/>
          <w:szCs w:val="24"/>
          <w:highlight w:val="none"/>
        </w:rPr>
        <w:t>包括船舶和飞机等。</w:t>
      </w:r>
    </w:p>
    <w:p w14:paraId="0917F228">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1" w:name="_Toc256773180"/>
      <w:r>
        <w:rPr>
          <w:rFonts w:hint="eastAsia" w:ascii="宋体" w:hAnsi="宋体" w:eastAsia="宋体" w:cs="宋体"/>
          <w:b/>
          <w:color w:val="auto"/>
          <w:sz w:val="24"/>
          <w:szCs w:val="24"/>
          <w:highlight w:val="none"/>
        </w:rPr>
        <w:t>8测量放线</w:t>
      </w:r>
      <w:bookmarkEnd w:id="191"/>
    </w:p>
    <w:p w14:paraId="60B710E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8.1施工控制网</w:t>
      </w:r>
    </w:p>
    <w:p w14:paraId="079E6004">
      <w:pPr>
        <w:pageBreakBefore w:val="0"/>
        <w:widowControl w:val="0"/>
        <w:kinsoku/>
        <w:wordWrap/>
        <w:topLinePunct w:val="0"/>
        <w:bidi w:val="0"/>
        <w:spacing w:line="420" w:lineRule="exact"/>
        <w:ind w:firstLine="435"/>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8.1.1除专用合同条款另有约定外，施工控制网由承包人负责测设，发包人应在本合同协议书签订后的14天内，向承包人提供测量基准点、基准线和水准点及其相关资料。承包人应在收到上述资料后的28天内，将实测的施工控制网资料提交监理人审批。监理人应在收到报批件后的14天内批复承包人。</w:t>
      </w:r>
    </w:p>
    <w:p w14:paraId="0488F45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8.1.2承包人应负责管理施工控制网点。施工控制网点丢失或损坏的，承包人应及时修复。承包人应承担施工控制网点的管理与修复费用，并在工程竣工后将施工控制网点移交发包人。</w:t>
      </w:r>
    </w:p>
    <w:p w14:paraId="329BD2A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8.2施工测量</w:t>
      </w:r>
    </w:p>
    <w:p w14:paraId="48647C0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8.2.1承包人应负责施工过程中的全部施工测量放线工作，并配置合格的人员、仪器、设备和其他物品。</w:t>
      </w:r>
    </w:p>
    <w:p w14:paraId="6DEF843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8.2.2监理人可以指示承包人进行抽样复测，当复测中发现错误或出现超过合同约定的误差时，承包人应按监理人指示进行修正或补测，并承担相应的复测费用。</w:t>
      </w:r>
    </w:p>
    <w:p w14:paraId="75A28CE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8.3基准资料错误的责任</w:t>
      </w:r>
    </w:p>
    <w:p w14:paraId="1A18B31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3948981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8.4监理人使用施工控制网</w:t>
      </w:r>
    </w:p>
    <w:p w14:paraId="4FB5D6D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监理人需要使用施工控制网的，承包人应提供必要的协助，发包人不再为此支付费用。</w:t>
      </w:r>
    </w:p>
    <w:p w14:paraId="6A89E08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8.5补充地质勘探</w:t>
      </w:r>
    </w:p>
    <w:p w14:paraId="7F3B6688">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13FA1E0D">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2" w:name="_Toc256773181"/>
      <w:r>
        <w:rPr>
          <w:rFonts w:hint="eastAsia" w:ascii="宋体" w:hAnsi="宋体" w:eastAsia="宋体" w:cs="宋体"/>
          <w:b/>
          <w:color w:val="auto"/>
          <w:sz w:val="24"/>
          <w:szCs w:val="24"/>
          <w:highlight w:val="none"/>
        </w:rPr>
        <w:t>9施工安全、治安保卫和环境保护</w:t>
      </w:r>
      <w:bookmarkEnd w:id="192"/>
    </w:p>
    <w:p w14:paraId="5939DF6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9.1发包人的施工安全责任</w:t>
      </w:r>
    </w:p>
    <w:p w14:paraId="0A0CDF68">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9.1.1发包人应按合同约定履行安全职责。发包人委托监理人根据国家有关安全的</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、强制性标准以及部门规章，对承包人的安全责任履行情况进行监督和检查。监理人的监督检查不减轻承包人应负的安全责任。</w:t>
      </w:r>
    </w:p>
    <w:p w14:paraId="41E1412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9.1.2发包人应对其现场机构雇佣的全部人员的工伤事故承担责任，但由于承包人原因造成发包人人员工伤的，应由承包人承担责任。</w:t>
      </w:r>
    </w:p>
    <w:p w14:paraId="59079DE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9.1.3发包人应负责赔偿以下各种情况造成的第三者人身伤亡和财产损失：</w:t>
      </w:r>
    </w:p>
    <w:p w14:paraId="0AB950C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（l）工程或工程的任何部分对土地的占用所造成的第三者财产损失；</w:t>
      </w:r>
    </w:p>
    <w:p w14:paraId="003DB0D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（2）由于发包人原因在施工场地及其毗邻地带造成的第三者人身伤亡和财产损失。</w:t>
      </w:r>
    </w:p>
    <w:p w14:paraId="4591B97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4BB992C6">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9.1.5发包人按照已标价工程量清单所列金额和合同约定的计量支付规定，支付安全作业环境及安全施工措施所需费用。</w:t>
      </w:r>
    </w:p>
    <w:p w14:paraId="7D764F2F">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9.1.6发包人负责组织工程参建单位编制保证安全生产的措施方案。工程开工前，就落实保证安全生产的措施进行全面系统的布置，进一步明确承包人的安全生产责任。</w:t>
      </w:r>
    </w:p>
    <w:p w14:paraId="62B93798">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9.1.7发包人负责在拆除工程和爆破工程施工</w:t>
      </w:r>
      <w:r>
        <w:rPr>
          <w:rFonts w:hint="eastAsia" w:ascii="宋体" w:hAnsi="宋体" w:eastAsia="宋体" w:cs="宋体"/>
          <w:color w:val="auto"/>
          <w:sz w:val="24"/>
          <w:szCs w:val="24"/>
          <w:highlight w:val="none"/>
          <w:lang w:eastAsia="zh-CN"/>
        </w:rPr>
        <w:t>两天</w:t>
      </w:r>
      <w:r>
        <w:rPr>
          <w:rFonts w:hint="eastAsia" w:ascii="宋体" w:hAnsi="宋体" w:eastAsia="宋体" w:cs="宋体"/>
          <w:color w:val="auto"/>
          <w:sz w:val="24"/>
          <w:szCs w:val="24"/>
          <w:highlight w:val="none"/>
        </w:rPr>
        <w:t>前向有关部门或机构报送相关备案资料。</w:t>
      </w:r>
    </w:p>
    <w:p w14:paraId="54C1071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9.2承包人的施工安全责任</w:t>
      </w:r>
    </w:p>
    <w:p w14:paraId="139C988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7408605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9.2.2承包人应加强施工作业安全管理，特别应加强易燃、易爆材料、火工器材、有毒与腐蚀性材料和其他危险品的管理，以及对爆破作业和地下工程施工等危险作业的管理。</w:t>
      </w:r>
    </w:p>
    <w:p w14:paraId="38E584A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9.2.3承包人应严格按照国家安全标准制定施工安全操作规程，配备必要的安全生产和劳动保护设施，加强对承包人人员的安全教育，并发放安全工作手册和劳动保护用具。</w:t>
      </w:r>
    </w:p>
    <w:p w14:paraId="6D68525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9.2.4承包人应按监理人的指示制定应对灾害的紧急预案，报送监理人审批。承包人还应按预案做好安全检查，配置必要的救助物资和器材，切实保护好有关人员的人身和财产安全。</w:t>
      </w:r>
    </w:p>
    <w:p w14:paraId="01EE894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9.2.5合同约定的安全作业环境及安全施工措施所需费用应遵守有关规定，并包括在相关工作的合同价格中。因采取合同未约定的安全作业环境及安全施工措施增加的费用，由监理人按第3.5款商定或确定。</w:t>
      </w:r>
    </w:p>
    <w:p w14:paraId="06BD78C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9.2.6承包人应对其履行合同所雇佣的全部人员，包括分包人人员的工伤事故承担责任，但由于发包人原因造成承包人人员工伤事故的，应由发包人承担责任。</w:t>
      </w:r>
    </w:p>
    <w:p w14:paraId="2350C5B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9.2.7由于承包人原因在施工场地内及其毗邻地带造成的第三者人员伤亡和财产损失，由承包人负责赔偿。</w:t>
      </w:r>
    </w:p>
    <w:p w14:paraId="126C898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9.2.8承包人已标价工程量清单应包含工程安全作业环境及安全施工措施所需费用。</w:t>
      </w:r>
    </w:p>
    <w:p w14:paraId="04D04A5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24C5814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9.2.10承包人应设立安全生产管理机构，施工现场应有专职安全生产管理人员。</w:t>
      </w:r>
    </w:p>
    <w:p w14:paraId="3FAA2C9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9.2.11承包人应负责对特种作业人员进行专门的安全作业培训，并保证特种作业人员持证上岗。</w:t>
      </w:r>
    </w:p>
    <w:p w14:paraId="5EA612C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2A99F1C7">
      <w:pPr>
        <w:pageBreakBefore w:val="0"/>
        <w:widowControl w:val="0"/>
        <w:kinsoku/>
        <w:wordWrap/>
        <w:topLinePunct w:val="0"/>
        <w:bidi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9.2.13承包人在使用施工起重机械和整体提升脚手架、模板等自升式架设设施前组织有关单位进行验收。</w:t>
      </w:r>
    </w:p>
    <w:p w14:paraId="6D7B467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9.3治安保卫</w:t>
      </w:r>
    </w:p>
    <w:p w14:paraId="7AFE1EC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9.3.1除合同另有约定外，发包人应与当地公安部门协商，在现场建立治安管理机构或联防组织，统一管理施工场地的治安保卫事项，履行合同工程的治安保卫职责。</w:t>
      </w:r>
    </w:p>
    <w:p w14:paraId="385DABF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9.3.2发包人和承包人除应协助现场治安管理机构或联防组织维护施工场地的社会治安外，还应做好包括生活区在内的各自管辖区的治安保卫工作。</w:t>
      </w:r>
    </w:p>
    <w:p w14:paraId="60782C0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CCBC2F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9.4环境保护</w:t>
      </w:r>
    </w:p>
    <w:p w14:paraId="56A67B3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9.4.1承包人在施工过程中，应遵守有关环境保护的法律，履行合同约定的环境保护义务，并对违反法律和合同约定义务所造成的环境破坏、人身伤害和财产损失负责。</w:t>
      </w:r>
    </w:p>
    <w:p w14:paraId="4643595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9.4.2承包人应按合同约定的环保工作内容，编制施工环保措施计划，报送监理人审批。</w:t>
      </w:r>
    </w:p>
    <w:p w14:paraId="369729F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7058043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9.4.4承包人应按合同约定采取有效措施，对施工开挖的边坡及时进行支护，维护排水设施，并进行水土保护，避免因施工造成的地质灾害。</w:t>
      </w:r>
    </w:p>
    <w:p w14:paraId="15E0AE2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9.4.5承包人应按国家饮用水管理标准定期对饮用水源进行监测，防止施工活动污染饮用水源。</w:t>
      </w:r>
    </w:p>
    <w:p w14:paraId="68F2EA3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9.4.6承包人应按合同约定，加强对噪声、粉尘、废气、废水和废油的控制，努力降低噪声，控制粉尘和废气浓度，做好废水和废油的治理和排放。</w:t>
      </w:r>
    </w:p>
    <w:p w14:paraId="2CF2D6C5">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9.5事故处理</w:t>
      </w:r>
    </w:p>
    <w:p w14:paraId="416623B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9.5.1发包人负责组织参建单位制定本工程的质量与安全事故应急预案，建立质量与安全事故应急处置指挥部。</w:t>
      </w:r>
    </w:p>
    <w:p w14:paraId="28E8981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9.5.2承包人应对施工现场易发生重大事故的部位、环节进行监控，配备救援器材、设备，并定期组织演练。</w:t>
      </w:r>
    </w:p>
    <w:p w14:paraId="47115B4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9.5.3工程开工前，承包人应根据本工程的特点制定施工现场施工质量与安全事故应急预案，并报发包人备案。</w:t>
      </w:r>
    </w:p>
    <w:p w14:paraId="3288BE7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9.5.4施工过程中发生事故时，发包人、承包人应立即启动应急预案。</w:t>
      </w:r>
    </w:p>
    <w:p w14:paraId="23C1B48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9.5.5事故调查处理由发包人按相关规定履行手续，承包人应配合。</w:t>
      </w:r>
    </w:p>
    <w:p w14:paraId="6C2EDEDF">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9.6水土保持</w:t>
      </w:r>
    </w:p>
    <w:p w14:paraId="60A925F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9.6.1发包人应及时向承包人提供水土保持方案。</w:t>
      </w:r>
    </w:p>
    <w:p w14:paraId="2B31E54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9.6.2承包人在施工过程中，应遵守有关水土保持的法律法规和规章，履行合同约定的水土保持义务，并对其违反法律和合同约定义务所造成的水土流失灾害、人身伤害和财产损失负责。</w:t>
      </w:r>
    </w:p>
    <w:p w14:paraId="0454E3F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9.6.3承包人的水土保持措施计划，应满足技术标准和要求（合同技术条款）约定的要求。</w:t>
      </w:r>
    </w:p>
    <w:p w14:paraId="2954190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9.7文明工地</w:t>
      </w:r>
    </w:p>
    <w:p w14:paraId="278C685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9.7.1发包人应按专用合同条款的约定，负责建立创建文明建设工地的组织机构，制定创建文明建设工地的规划和办法。</w:t>
      </w:r>
    </w:p>
    <w:p w14:paraId="1AD5D42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9.7.2承包人应按创建文明建设工地的规划和办法，履行职责，承担相应责任。所需费用</w:t>
      </w:r>
      <w:r>
        <w:rPr>
          <w:rFonts w:hint="eastAsia" w:ascii="宋体" w:hAnsi="宋体" w:eastAsia="宋体" w:cs="宋体"/>
          <w:color w:val="auto"/>
          <w:sz w:val="24"/>
          <w:szCs w:val="24"/>
          <w:highlight w:val="none"/>
          <w:lang w:eastAsia="zh-CN"/>
        </w:rPr>
        <w:t>应包</w:t>
      </w:r>
      <w:r>
        <w:rPr>
          <w:rFonts w:hint="eastAsia" w:ascii="宋体" w:hAnsi="宋体" w:eastAsia="宋体" w:cs="宋体"/>
          <w:color w:val="auto"/>
          <w:sz w:val="24"/>
          <w:szCs w:val="24"/>
          <w:highlight w:val="none"/>
        </w:rPr>
        <w:t>含在已标价工程量清单中。</w:t>
      </w:r>
    </w:p>
    <w:p w14:paraId="113E23D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9.8防汛度汛</w:t>
      </w:r>
    </w:p>
    <w:p w14:paraId="7423853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9.8.1发包人负责组织工程参建单位编制本工程的度汛方案和措施。</w:t>
      </w:r>
    </w:p>
    <w:p w14:paraId="0C6E90E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9.8.2承包人应根据发包人编制的本工程度汛方案和措施，制定相应的度汛方案，报发包人批准后实施。</w:t>
      </w:r>
    </w:p>
    <w:p w14:paraId="58F1FF23">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3" w:name="_Toc256773182"/>
      <w:r>
        <w:rPr>
          <w:rFonts w:hint="eastAsia" w:ascii="宋体" w:hAnsi="宋体" w:eastAsia="宋体" w:cs="宋体"/>
          <w:b/>
          <w:color w:val="auto"/>
          <w:sz w:val="24"/>
          <w:szCs w:val="24"/>
          <w:highlight w:val="none"/>
        </w:rPr>
        <w:t>10进度计划</w:t>
      </w:r>
      <w:bookmarkEnd w:id="193"/>
    </w:p>
    <w:p w14:paraId="282711E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10.1合同进度计划</w:t>
      </w:r>
    </w:p>
    <w:p w14:paraId="7A325ED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1AEB6CC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10.2合同进度计划的修订</w:t>
      </w:r>
    </w:p>
    <w:p w14:paraId="3035976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6088889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49CD8FB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10.3单位工程进度计划</w:t>
      </w:r>
    </w:p>
    <w:p w14:paraId="6C1A5ED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监理人认为有必要时，承包人应按监理人指示的内容和期限，并根据合同进度计划的进度控制要求，编制单位工程进度计划，提交监理人审批。</w:t>
      </w:r>
    </w:p>
    <w:p w14:paraId="2968DA9C">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10.4提交资金流估算表</w:t>
      </w:r>
    </w:p>
    <w:p w14:paraId="47BD7AC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3075F134">
      <w:pPr>
        <w:pageBreakBefore w:val="0"/>
        <w:widowControl w:val="0"/>
        <w:kinsoku/>
        <w:wordWrap/>
        <w:topLinePunct w:val="0"/>
        <w:bidi w:val="0"/>
        <w:spacing w:line="420" w:lineRule="exact"/>
        <w:ind w:firstLine="555"/>
        <w:jc w:val="right"/>
        <w:rPr>
          <w:rFonts w:hint="eastAsia" w:ascii="宋体" w:hAnsi="宋体" w:eastAsia="宋体" w:cs="宋体"/>
          <w:color w:val="auto"/>
          <w:sz w:val="24"/>
          <w:szCs w:val="24"/>
          <w:highlight w:val="none"/>
        </w:rPr>
      </w:pPr>
      <w:r>
        <w:rPr>
          <w:rFonts w:hint="eastAsia" w:ascii="宋体" w:hAnsi="宋体" w:eastAsia="宋体" w:cs="宋体"/>
          <w:color w:val="auto"/>
          <w:spacing w:val="12"/>
          <w:kern w:val="0"/>
          <w:sz w:val="24"/>
          <w:szCs w:val="24"/>
          <w:highlight w:val="none"/>
        </w:rPr>
        <w:t>资金流估算表（参考格式）金额单位</w:t>
      </w:r>
    </w:p>
    <w:tbl>
      <w:tblPr>
        <w:tblStyle w:val="30"/>
        <w:tblW w:w="0" w:type="auto"/>
        <w:jc w:val="center"/>
        <w:tblLayout w:type="fixed"/>
        <w:tblCellMar>
          <w:top w:w="0" w:type="dxa"/>
          <w:left w:w="108" w:type="dxa"/>
          <w:bottom w:w="0" w:type="dxa"/>
          <w:right w:w="108" w:type="dxa"/>
        </w:tblCellMar>
      </w:tblPr>
      <w:tblGrid>
        <w:gridCol w:w="523"/>
        <w:gridCol w:w="523"/>
        <w:gridCol w:w="1120"/>
        <w:gridCol w:w="1528"/>
        <w:gridCol w:w="1495"/>
        <w:gridCol w:w="1120"/>
        <w:gridCol w:w="1119"/>
        <w:gridCol w:w="560"/>
        <w:gridCol w:w="747"/>
        <w:gridCol w:w="1119"/>
      </w:tblGrid>
      <w:tr w14:paraId="1DE8CF83">
        <w:tblPrEx>
          <w:tblCellMar>
            <w:top w:w="0" w:type="dxa"/>
            <w:left w:w="108" w:type="dxa"/>
            <w:bottom w:w="0" w:type="dxa"/>
            <w:right w:w="108" w:type="dxa"/>
          </w:tblCellMar>
        </w:tblPrEx>
        <w:trPr>
          <w:trHeight w:val="600" w:hRule="atLeast"/>
          <w:jc w:val="center"/>
        </w:trPr>
        <w:tc>
          <w:tcPr>
            <w:tcW w:w="523" w:type="dxa"/>
            <w:tcBorders>
              <w:top w:val="single" w:color="auto" w:sz="6" w:space="0"/>
              <w:left w:val="single" w:color="auto" w:sz="6" w:space="0"/>
              <w:bottom w:val="single" w:color="auto" w:sz="6" w:space="0"/>
              <w:right w:val="single" w:color="auto" w:sz="6" w:space="0"/>
            </w:tcBorders>
            <w:noWrap w:val="0"/>
            <w:vAlign w:val="center"/>
          </w:tcPr>
          <w:p w14:paraId="456D5602">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年</w:t>
            </w:r>
          </w:p>
        </w:tc>
        <w:tc>
          <w:tcPr>
            <w:tcW w:w="523" w:type="dxa"/>
            <w:tcBorders>
              <w:top w:val="single" w:color="auto" w:sz="6" w:space="0"/>
              <w:left w:val="single" w:color="auto" w:sz="6" w:space="0"/>
              <w:bottom w:val="single" w:color="auto" w:sz="6" w:space="0"/>
              <w:right w:val="single" w:color="auto" w:sz="6" w:space="0"/>
            </w:tcBorders>
            <w:noWrap w:val="0"/>
            <w:vAlign w:val="center"/>
          </w:tcPr>
          <w:p w14:paraId="420BCAB6">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月</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EB4F3E7">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工程预付款</w:t>
            </w:r>
          </w:p>
        </w:tc>
        <w:tc>
          <w:tcPr>
            <w:tcW w:w="1528" w:type="dxa"/>
            <w:tcBorders>
              <w:top w:val="single" w:color="auto" w:sz="6" w:space="0"/>
              <w:left w:val="single" w:color="auto" w:sz="6" w:space="0"/>
              <w:bottom w:val="single" w:color="auto" w:sz="6" w:space="0"/>
              <w:right w:val="single" w:color="auto" w:sz="6" w:space="0"/>
            </w:tcBorders>
            <w:noWrap w:val="0"/>
            <w:vAlign w:val="center"/>
          </w:tcPr>
          <w:p w14:paraId="584114F1">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完成工作量付款</w:t>
            </w:r>
          </w:p>
        </w:tc>
        <w:tc>
          <w:tcPr>
            <w:tcW w:w="1495" w:type="dxa"/>
            <w:tcBorders>
              <w:top w:val="single" w:color="auto" w:sz="6" w:space="0"/>
              <w:left w:val="single" w:color="auto" w:sz="6" w:space="0"/>
              <w:bottom w:val="single" w:color="auto" w:sz="6" w:space="0"/>
              <w:right w:val="single" w:color="auto" w:sz="6" w:space="0"/>
            </w:tcBorders>
            <w:noWrap w:val="0"/>
            <w:vAlign w:val="center"/>
          </w:tcPr>
          <w:p w14:paraId="72AC36C6">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质量保证金扣留</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6F09E47A">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材料款扣除</w:t>
            </w:r>
          </w:p>
        </w:tc>
        <w:tc>
          <w:tcPr>
            <w:tcW w:w="1119" w:type="dxa"/>
            <w:tcBorders>
              <w:top w:val="single" w:color="auto" w:sz="6" w:space="0"/>
              <w:left w:val="single" w:color="auto" w:sz="6" w:space="0"/>
              <w:bottom w:val="single" w:color="auto" w:sz="6" w:space="0"/>
              <w:right w:val="single" w:color="auto" w:sz="6" w:space="0"/>
            </w:tcBorders>
            <w:noWrap w:val="0"/>
            <w:vAlign w:val="center"/>
          </w:tcPr>
          <w:p w14:paraId="4A504B96">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预付款扣还</w:t>
            </w:r>
          </w:p>
        </w:tc>
        <w:tc>
          <w:tcPr>
            <w:tcW w:w="560" w:type="dxa"/>
            <w:tcBorders>
              <w:top w:val="single" w:color="auto" w:sz="6" w:space="0"/>
              <w:left w:val="single" w:color="auto" w:sz="6" w:space="0"/>
              <w:bottom w:val="single" w:color="auto" w:sz="6" w:space="0"/>
              <w:right w:val="single" w:color="auto" w:sz="6" w:space="0"/>
            </w:tcBorders>
            <w:noWrap w:val="0"/>
            <w:vAlign w:val="center"/>
          </w:tcPr>
          <w:p w14:paraId="37FA288F">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其他</w:t>
            </w:r>
          </w:p>
        </w:tc>
        <w:tc>
          <w:tcPr>
            <w:tcW w:w="747" w:type="dxa"/>
            <w:tcBorders>
              <w:top w:val="single" w:color="auto" w:sz="6" w:space="0"/>
              <w:left w:val="single" w:color="auto" w:sz="6" w:space="0"/>
              <w:bottom w:val="single" w:color="auto" w:sz="6" w:space="0"/>
              <w:right w:val="single" w:color="auto" w:sz="6" w:space="0"/>
            </w:tcBorders>
            <w:noWrap w:val="0"/>
            <w:vAlign w:val="center"/>
          </w:tcPr>
          <w:p w14:paraId="75DD7D40">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应收款</w:t>
            </w:r>
          </w:p>
        </w:tc>
        <w:tc>
          <w:tcPr>
            <w:tcW w:w="1119" w:type="dxa"/>
            <w:tcBorders>
              <w:top w:val="single" w:color="auto" w:sz="6" w:space="0"/>
              <w:left w:val="single" w:color="auto" w:sz="6" w:space="0"/>
              <w:bottom w:val="single" w:color="auto" w:sz="6" w:space="0"/>
              <w:right w:val="single" w:color="auto" w:sz="6" w:space="0"/>
            </w:tcBorders>
            <w:noWrap w:val="0"/>
            <w:vAlign w:val="center"/>
          </w:tcPr>
          <w:p w14:paraId="0E67A7DB">
            <w:pPr>
              <w:pageBreakBefore w:val="0"/>
              <w:widowControl w:val="0"/>
              <w:kinsoku/>
              <w:wordWrap/>
              <w:topLinePunct w:val="0"/>
              <w:bidi w:val="0"/>
              <w:spacing w:line="420" w:lineRule="exact"/>
              <w:ind w:left="-90"/>
              <w:jc w:val="center"/>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累计应收款</w:t>
            </w:r>
          </w:p>
        </w:tc>
      </w:tr>
      <w:tr w14:paraId="6E6F3A70">
        <w:tblPrEx>
          <w:tblCellMar>
            <w:top w:w="0" w:type="dxa"/>
            <w:left w:w="108" w:type="dxa"/>
            <w:bottom w:w="0" w:type="dxa"/>
            <w:right w:w="108" w:type="dxa"/>
          </w:tblCellMar>
        </w:tblPrEx>
        <w:trPr>
          <w:trHeight w:val="600" w:hRule="atLeast"/>
          <w:jc w:val="center"/>
        </w:trPr>
        <w:tc>
          <w:tcPr>
            <w:tcW w:w="523" w:type="dxa"/>
            <w:tcBorders>
              <w:top w:val="single" w:color="auto" w:sz="6" w:space="0"/>
              <w:left w:val="single" w:color="auto" w:sz="6" w:space="0"/>
              <w:bottom w:val="single" w:color="auto" w:sz="6" w:space="0"/>
              <w:right w:val="single" w:color="auto" w:sz="6" w:space="0"/>
            </w:tcBorders>
            <w:noWrap w:val="0"/>
            <w:vAlign w:val="center"/>
          </w:tcPr>
          <w:p w14:paraId="44ACFC0C">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523" w:type="dxa"/>
            <w:tcBorders>
              <w:top w:val="single" w:color="auto" w:sz="6" w:space="0"/>
              <w:left w:val="single" w:color="auto" w:sz="6" w:space="0"/>
              <w:bottom w:val="single" w:color="auto" w:sz="6" w:space="0"/>
              <w:right w:val="single" w:color="auto" w:sz="6" w:space="0"/>
            </w:tcBorders>
            <w:noWrap w:val="0"/>
            <w:vAlign w:val="center"/>
          </w:tcPr>
          <w:p w14:paraId="5B3CE2D6">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14:paraId="406FD68A">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528" w:type="dxa"/>
            <w:tcBorders>
              <w:top w:val="single" w:color="auto" w:sz="6" w:space="0"/>
              <w:left w:val="single" w:color="auto" w:sz="6" w:space="0"/>
              <w:bottom w:val="single" w:color="auto" w:sz="6" w:space="0"/>
              <w:right w:val="single" w:color="auto" w:sz="6" w:space="0"/>
            </w:tcBorders>
            <w:noWrap w:val="0"/>
            <w:vAlign w:val="center"/>
          </w:tcPr>
          <w:p w14:paraId="792788D2">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495" w:type="dxa"/>
            <w:tcBorders>
              <w:top w:val="single" w:color="auto" w:sz="6" w:space="0"/>
              <w:left w:val="single" w:color="auto" w:sz="6" w:space="0"/>
              <w:bottom w:val="single" w:color="auto" w:sz="6" w:space="0"/>
              <w:right w:val="single" w:color="auto" w:sz="6" w:space="0"/>
            </w:tcBorders>
            <w:noWrap w:val="0"/>
            <w:vAlign w:val="center"/>
          </w:tcPr>
          <w:p w14:paraId="56D7ECFA">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19DF63C">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2826DC39">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560" w:type="dxa"/>
            <w:tcBorders>
              <w:top w:val="single" w:color="auto" w:sz="6" w:space="0"/>
              <w:left w:val="single" w:color="auto" w:sz="6" w:space="0"/>
              <w:bottom w:val="single" w:color="auto" w:sz="6" w:space="0"/>
              <w:right w:val="single" w:color="auto" w:sz="6" w:space="0"/>
            </w:tcBorders>
            <w:noWrap w:val="0"/>
            <w:vAlign w:val="center"/>
          </w:tcPr>
          <w:p w14:paraId="4829BB09">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747" w:type="dxa"/>
            <w:tcBorders>
              <w:top w:val="single" w:color="auto" w:sz="6" w:space="0"/>
              <w:left w:val="single" w:color="auto" w:sz="6" w:space="0"/>
              <w:bottom w:val="single" w:color="auto" w:sz="6" w:space="0"/>
              <w:right w:val="single" w:color="auto" w:sz="6" w:space="0"/>
            </w:tcBorders>
            <w:noWrap w:val="0"/>
            <w:vAlign w:val="center"/>
          </w:tcPr>
          <w:p w14:paraId="1BBA4118">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16B0B043">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r>
      <w:tr w14:paraId="1401682F">
        <w:tblPrEx>
          <w:tblCellMar>
            <w:top w:w="0" w:type="dxa"/>
            <w:left w:w="108" w:type="dxa"/>
            <w:bottom w:w="0" w:type="dxa"/>
            <w:right w:w="108" w:type="dxa"/>
          </w:tblCellMar>
        </w:tblPrEx>
        <w:trPr>
          <w:trHeight w:val="600" w:hRule="atLeast"/>
          <w:jc w:val="center"/>
        </w:trPr>
        <w:tc>
          <w:tcPr>
            <w:tcW w:w="523" w:type="dxa"/>
            <w:tcBorders>
              <w:top w:val="single" w:color="auto" w:sz="6" w:space="0"/>
              <w:left w:val="single" w:color="auto" w:sz="6" w:space="0"/>
              <w:bottom w:val="single" w:color="auto" w:sz="6" w:space="0"/>
              <w:right w:val="single" w:color="auto" w:sz="6" w:space="0"/>
            </w:tcBorders>
            <w:noWrap w:val="0"/>
            <w:vAlign w:val="center"/>
          </w:tcPr>
          <w:p w14:paraId="7E8ED9F4">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523" w:type="dxa"/>
            <w:tcBorders>
              <w:top w:val="single" w:color="auto" w:sz="6" w:space="0"/>
              <w:left w:val="single" w:color="auto" w:sz="6" w:space="0"/>
              <w:bottom w:val="single" w:color="auto" w:sz="6" w:space="0"/>
              <w:right w:val="single" w:color="auto" w:sz="6" w:space="0"/>
            </w:tcBorders>
            <w:noWrap w:val="0"/>
            <w:vAlign w:val="center"/>
          </w:tcPr>
          <w:p w14:paraId="061AD9B9">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14:paraId="2E0367C0">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528" w:type="dxa"/>
            <w:tcBorders>
              <w:top w:val="single" w:color="auto" w:sz="6" w:space="0"/>
              <w:left w:val="single" w:color="auto" w:sz="6" w:space="0"/>
              <w:bottom w:val="single" w:color="auto" w:sz="6" w:space="0"/>
              <w:right w:val="single" w:color="auto" w:sz="6" w:space="0"/>
            </w:tcBorders>
            <w:noWrap w:val="0"/>
            <w:vAlign w:val="center"/>
          </w:tcPr>
          <w:p w14:paraId="6AA95E06">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495" w:type="dxa"/>
            <w:tcBorders>
              <w:top w:val="single" w:color="auto" w:sz="6" w:space="0"/>
              <w:left w:val="single" w:color="auto" w:sz="6" w:space="0"/>
              <w:bottom w:val="single" w:color="auto" w:sz="6" w:space="0"/>
              <w:right w:val="single" w:color="auto" w:sz="6" w:space="0"/>
            </w:tcBorders>
            <w:noWrap w:val="0"/>
            <w:vAlign w:val="center"/>
          </w:tcPr>
          <w:p w14:paraId="58844BA1">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14:paraId="2D684492">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04A9E543">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560" w:type="dxa"/>
            <w:tcBorders>
              <w:top w:val="single" w:color="auto" w:sz="6" w:space="0"/>
              <w:left w:val="single" w:color="auto" w:sz="6" w:space="0"/>
              <w:bottom w:val="single" w:color="auto" w:sz="6" w:space="0"/>
              <w:right w:val="single" w:color="auto" w:sz="6" w:space="0"/>
            </w:tcBorders>
            <w:noWrap w:val="0"/>
            <w:vAlign w:val="center"/>
          </w:tcPr>
          <w:p w14:paraId="4BEF275A">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747" w:type="dxa"/>
            <w:tcBorders>
              <w:top w:val="single" w:color="auto" w:sz="6" w:space="0"/>
              <w:left w:val="single" w:color="auto" w:sz="6" w:space="0"/>
              <w:bottom w:val="single" w:color="auto" w:sz="6" w:space="0"/>
              <w:right w:val="single" w:color="auto" w:sz="6" w:space="0"/>
            </w:tcBorders>
            <w:noWrap w:val="0"/>
            <w:vAlign w:val="center"/>
          </w:tcPr>
          <w:p w14:paraId="1FC171B7">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11746883">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r>
      <w:tr w14:paraId="27E57C0E">
        <w:tblPrEx>
          <w:tblCellMar>
            <w:top w:w="0" w:type="dxa"/>
            <w:left w:w="108" w:type="dxa"/>
            <w:bottom w:w="0" w:type="dxa"/>
            <w:right w:w="108" w:type="dxa"/>
          </w:tblCellMar>
        </w:tblPrEx>
        <w:trPr>
          <w:trHeight w:val="600" w:hRule="atLeast"/>
          <w:jc w:val="center"/>
        </w:trPr>
        <w:tc>
          <w:tcPr>
            <w:tcW w:w="523" w:type="dxa"/>
            <w:tcBorders>
              <w:top w:val="single" w:color="auto" w:sz="6" w:space="0"/>
              <w:left w:val="single" w:color="auto" w:sz="6" w:space="0"/>
              <w:bottom w:val="single" w:color="auto" w:sz="6" w:space="0"/>
              <w:right w:val="single" w:color="auto" w:sz="6" w:space="0"/>
            </w:tcBorders>
            <w:noWrap w:val="0"/>
            <w:vAlign w:val="center"/>
          </w:tcPr>
          <w:p w14:paraId="1C9127ED">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523" w:type="dxa"/>
            <w:tcBorders>
              <w:top w:val="single" w:color="auto" w:sz="6" w:space="0"/>
              <w:left w:val="single" w:color="auto" w:sz="6" w:space="0"/>
              <w:bottom w:val="single" w:color="auto" w:sz="6" w:space="0"/>
              <w:right w:val="single" w:color="auto" w:sz="6" w:space="0"/>
            </w:tcBorders>
            <w:noWrap w:val="0"/>
            <w:vAlign w:val="center"/>
          </w:tcPr>
          <w:p w14:paraId="019AF9C2">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3975CBD">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528" w:type="dxa"/>
            <w:tcBorders>
              <w:top w:val="single" w:color="auto" w:sz="6" w:space="0"/>
              <w:left w:val="single" w:color="auto" w:sz="6" w:space="0"/>
              <w:bottom w:val="single" w:color="auto" w:sz="6" w:space="0"/>
              <w:right w:val="single" w:color="auto" w:sz="6" w:space="0"/>
            </w:tcBorders>
            <w:noWrap w:val="0"/>
            <w:vAlign w:val="center"/>
          </w:tcPr>
          <w:p w14:paraId="2DE7D26E">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495" w:type="dxa"/>
            <w:tcBorders>
              <w:top w:val="single" w:color="auto" w:sz="6" w:space="0"/>
              <w:left w:val="single" w:color="auto" w:sz="6" w:space="0"/>
              <w:bottom w:val="single" w:color="auto" w:sz="6" w:space="0"/>
              <w:right w:val="single" w:color="auto" w:sz="6" w:space="0"/>
            </w:tcBorders>
            <w:noWrap w:val="0"/>
            <w:vAlign w:val="center"/>
          </w:tcPr>
          <w:p w14:paraId="3FC0AAC5">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20" w:type="dxa"/>
            <w:tcBorders>
              <w:top w:val="single" w:color="auto" w:sz="6" w:space="0"/>
              <w:left w:val="single" w:color="auto" w:sz="6" w:space="0"/>
              <w:bottom w:val="single" w:color="auto" w:sz="6" w:space="0"/>
              <w:right w:val="single" w:color="auto" w:sz="6" w:space="0"/>
            </w:tcBorders>
            <w:noWrap w:val="0"/>
            <w:vAlign w:val="center"/>
          </w:tcPr>
          <w:p w14:paraId="64052FC1">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5ACA716F">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560" w:type="dxa"/>
            <w:tcBorders>
              <w:top w:val="single" w:color="auto" w:sz="6" w:space="0"/>
              <w:left w:val="single" w:color="auto" w:sz="6" w:space="0"/>
              <w:bottom w:val="single" w:color="auto" w:sz="6" w:space="0"/>
              <w:right w:val="single" w:color="auto" w:sz="6" w:space="0"/>
            </w:tcBorders>
            <w:noWrap w:val="0"/>
            <w:vAlign w:val="center"/>
          </w:tcPr>
          <w:p w14:paraId="615F374B">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747" w:type="dxa"/>
            <w:tcBorders>
              <w:top w:val="single" w:color="auto" w:sz="6" w:space="0"/>
              <w:left w:val="single" w:color="auto" w:sz="6" w:space="0"/>
              <w:bottom w:val="single" w:color="auto" w:sz="6" w:space="0"/>
              <w:right w:val="single" w:color="auto" w:sz="6" w:space="0"/>
            </w:tcBorders>
            <w:noWrap w:val="0"/>
            <w:vAlign w:val="center"/>
          </w:tcPr>
          <w:p w14:paraId="5ED3CE9C">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c>
          <w:tcPr>
            <w:tcW w:w="1119" w:type="dxa"/>
            <w:tcBorders>
              <w:top w:val="single" w:color="auto" w:sz="6" w:space="0"/>
              <w:left w:val="single" w:color="auto" w:sz="6" w:space="0"/>
              <w:bottom w:val="single" w:color="auto" w:sz="6" w:space="0"/>
              <w:right w:val="single" w:color="auto" w:sz="6" w:space="0"/>
            </w:tcBorders>
            <w:noWrap w:val="0"/>
            <w:vAlign w:val="center"/>
          </w:tcPr>
          <w:p w14:paraId="4BD68ED8">
            <w:pPr>
              <w:pageBreakBefore w:val="0"/>
              <w:widowControl w:val="0"/>
              <w:kinsoku/>
              <w:wordWrap/>
              <w:topLinePunct w:val="0"/>
              <w:bidi w:val="0"/>
              <w:spacing w:line="420" w:lineRule="exact"/>
              <w:ind w:left="-90"/>
              <w:jc w:val="center"/>
              <w:rPr>
                <w:rFonts w:hint="eastAsia" w:ascii="宋体" w:hAnsi="宋体" w:eastAsia="宋体" w:cs="宋体"/>
                <w:color w:val="auto"/>
                <w:kern w:val="0"/>
                <w:sz w:val="24"/>
                <w:szCs w:val="24"/>
                <w:highlight w:val="none"/>
              </w:rPr>
            </w:pPr>
          </w:p>
        </w:tc>
      </w:tr>
    </w:tbl>
    <w:p w14:paraId="1E122787">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4" w:name="_Toc256773183"/>
      <w:r>
        <w:rPr>
          <w:rFonts w:hint="eastAsia" w:ascii="宋体" w:hAnsi="宋体" w:eastAsia="宋体" w:cs="宋体"/>
          <w:b/>
          <w:color w:val="auto"/>
          <w:sz w:val="24"/>
          <w:szCs w:val="24"/>
          <w:highlight w:val="none"/>
        </w:rPr>
        <w:t>11开工和竣工（完工）</w:t>
      </w:r>
      <w:bookmarkEnd w:id="194"/>
    </w:p>
    <w:p w14:paraId="7B40770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11.1开工</w:t>
      </w:r>
    </w:p>
    <w:p w14:paraId="57D5B8C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11.1.1监理人应在开工日期7天前向承包人发出开工通知。监理人在发出开工通知前应获得发包人同意。工期自监理人发出的开工通知中载明的开工日期起计算。承包人应在开工日期后尽快施工。</w:t>
      </w:r>
    </w:p>
    <w:p w14:paraId="464C1B4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3B4971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11.1.3若发包人未能按合同约定向承包人提供开工的必要条件，承包人有权要求延长工期。监理人应在收到承包人的书面要求后，按第3.5款的约定，与合同双方商定或确定增加的费用和延长的工期。</w:t>
      </w:r>
    </w:p>
    <w:p w14:paraId="453408E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F14752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11.2竣工（完工）</w:t>
      </w:r>
    </w:p>
    <w:p w14:paraId="5FC084AA">
      <w:pPr>
        <w:pageBreakBefore w:val="0"/>
        <w:widowControl w:val="0"/>
        <w:kinsoku/>
        <w:wordWrap/>
        <w:topLinePunct w:val="0"/>
        <w:bidi w:val="0"/>
        <w:spacing w:line="4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承包人应在第1.1.4.3目约定的期限内完成合同工程。合同工程实际完工日期在合同工程完工证书中明确。</w:t>
      </w:r>
    </w:p>
    <w:p w14:paraId="2820C10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11.3发包人的工期延误</w:t>
      </w:r>
    </w:p>
    <w:p w14:paraId="1C3DADC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在履行合同过程中，由于发包人的下列原因造成工期延误的，承包人有权要求发包人延长工期和（或）增加费用，并支付合理利润。需要修订合同进度计划的，按照第10.2款的约定办理。</w:t>
      </w:r>
    </w:p>
    <w:p w14:paraId="6736C17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（l）增加合同工作内容；</w:t>
      </w:r>
    </w:p>
    <w:p w14:paraId="7777302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（2）改变合同中任何一项工作的质量要求或其他特性；</w:t>
      </w:r>
    </w:p>
    <w:p w14:paraId="4DF302F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（3）发包人迟延提供材料、工程设备或变更交货地点的；</w:t>
      </w:r>
    </w:p>
    <w:p w14:paraId="0143510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（4）因发包人原因导致的暂停施工；</w:t>
      </w:r>
    </w:p>
    <w:p w14:paraId="344D0A2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（5）提供图纸延误；</w:t>
      </w:r>
    </w:p>
    <w:p w14:paraId="66C8C69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（6）未按合同约定及时支付预付款、进度款；</w:t>
      </w:r>
    </w:p>
    <w:p w14:paraId="0359185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（7）发包人造成工期延误的其他原因。</w:t>
      </w:r>
    </w:p>
    <w:p w14:paraId="745CDCF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11.4异常恶劣的气候条件</w:t>
      </w:r>
    </w:p>
    <w:p w14:paraId="1C14EF9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11.4.1当工程所在地发生危及施工安全的异常恶劣气候时，发包人和承包人应按本合同通用合同条款第12条的约定，及时采取暂停施工或部分暂停施工措施。异常恶劣气候条件解除后，承包人应及时安排复工。</w:t>
      </w:r>
    </w:p>
    <w:p w14:paraId="45DA8ED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11.4.2异常恶劣气候条件造成的工期延误和工程损坏，应由发包人与承包人参照本合同通用合同条款第21.3款的约定协商处理。</w:t>
      </w:r>
    </w:p>
    <w:p w14:paraId="0345293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11.4.3本合同工程界定异常恶劣气候条件的范围在专用合同条款中约定。</w:t>
      </w:r>
    </w:p>
    <w:p w14:paraId="18EB838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11.5承包人的工期延误</w:t>
      </w:r>
    </w:p>
    <w:p w14:paraId="16EDA90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995416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11.6工期提前</w:t>
      </w:r>
    </w:p>
    <w:p w14:paraId="4B6E0D1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要求承包人提前完工，或承包人提出提前完工的建议能够给发包人带来效益的，应由监理人与承包人协商采取加快工程进度的措施和修订合同进度计划。发包人应承担承包人由此增加的费用，并向承包人支付专用合同条款约定的相应奖金。</w:t>
      </w:r>
    </w:p>
    <w:p w14:paraId="174FFA3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发包人要求提前完工的，双方协商一致后应签订提前完工协议，协议内容包括：</w:t>
      </w:r>
    </w:p>
    <w:p w14:paraId="5D61CB9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（1）提前的时间和修订后的进度计划</w:t>
      </w:r>
    </w:p>
    <w:p w14:paraId="6801935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（2）承包人的赶工措施；</w:t>
      </w:r>
    </w:p>
    <w:p w14:paraId="282D109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（3）发包人为赶工提供的条件；</w:t>
      </w:r>
    </w:p>
    <w:p w14:paraId="2066DA2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（4）赶工费用（包括利润和奖金）。</w:t>
      </w:r>
    </w:p>
    <w:p w14:paraId="01FA06E1">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5" w:name="_Toc256773184"/>
      <w:r>
        <w:rPr>
          <w:rFonts w:hint="eastAsia" w:ascii="宋体" w:hAnsi="宋体" w:eastAsia="宋体" w:cs="宋体"/>
          <w:b/>
          <w:color w:val="auto"/>
          <w:sz w:val="24"/>
          <w:szCs w:val="24"/>
          <w:highlight w:val="none"/>
        </w:rPr>
        <w:t>12暂停施工</w:t>
      </w:r>
      <w:bookmarkEnd w:id="195"/>
    </w:p>
    <w:p w14:paraId="7105694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12.1承包人暂停施工的责任</w:t>
      </w:r>
    </w:p>
    <w:p w14:paraId="3EAC50B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因下列暂停施工增加的费用和（或）工期延误由承包人承担：</w:t>
      </w:r>
    </w:p>
    <w:p w14:paraId="774450B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（1）承包人违约引起的暂停施工；</w:t>
      </w:r>
    </w:p>
    <w:p w14:paraId="4CCE057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（2）由于承包人原因为工程合理施工和安全保障所必需的暂停施工；</w:t>
      </w:r>
    </w:p>
    <w:p w14:paraId="5AFB43C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（3）承包人擅自暂停施工；</w:t>
      </w:r>
    </w:p>
    <w:p w14:paraId="2203BF6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（4）承包人其他原因引起的暂停施工；</w:t>
      </w:r>
    </w:p>
    <w:p w14:paraId="59690B7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（5）专用合同条款约定由承包人承担的其他暂停施工。</w:t>
      </w:r>
    </w:p>
    <w:p w14:paraId="70E848E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12.2发包人暂停施工的责任</w:t>
      </w:r>
    </w:p>
    <w:p w14:paraId="2E6A62E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由于发包人原因引起的暂停施工造成工期延误的，承包人有权要求发包人延长工期和（或）增加费用，并支付合理利润。</w:t>
      </w:r>
    </w:p>
    <w:p w14:paraId="2538FF2B">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属于下列任何一种情况引起的暂停施工，均为发包人的责任：</w:t>
      </w:r>
    </w:p>
    <w:p w14:paraId="4C54A4D6">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（1）由于发包人违约引起的暂停施工；</w:t>
      </w:r>
    </w:p>
    <w:p w14:paraId="2C9681C9">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（2）由于不可抗力的自然或社会因素引起的暂停施工；</w:t>
      </w:r>
    </w:p>
    <w:p w14:paraId="3A4FCC4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（3）专用合同条款中约定的其他由于发包人原因引起的暂停施工。</w:t>
      </w:r>
    </w:p>
    <w:p w14:paraId="2D3A9D8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12.3监理人暂停施工指示</w:t>
      </w:r>
    </w:p>
    <w:p w14:paraId="439B5D0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12.3.1监理人认为有必要时，可向承包人作出暂停施工的指示，承包人应按监理人指示暂停施工。不论由于何种原因引起的暂停施工，暂停施工期间承包人应负责妥善保护工程并提供安全保障。</w:t>
      </w:r>
    </w:p>
    <w:p w14:paraId="5C1CBFB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C74CE3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12.4暂停施工后的复工</w:t>
      </w:r>
    </w:p>
    <w:p w14:paraId="02A6053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46FBB50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12.4.2承包人无故拖延和拒绝复工的，由此增加的费用和工期延误由承包人承担；因发包人原因无法按时复工的，承包人有权要求发包人延长工期和（或）增加费用，并支付合理利润。</w:t>
      </w:r>
    </w:p>
    <w:p w14:paraId="5782536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12.5暂停施工持续56天以上</w:t>
      </w:r>
    </w:p>
    <w:p w14:paraId="437AA26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款的规定办理。</w:t>
      </w:r>
    </w:p>
    <w:p w14:paraId="3182CEE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12.5.2由于承包人责任引起的暂停施工，如承包人在收到监理人暂停施工指示后56天内不认真采取有效的复工措施，造成工期延误，可视为承包人违约，应按第22.1款的规定办理。</w:t>
      </w:r>
    </w:p>
    <w:p w14:paraId="204A009B">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6" w:name="_Toc256773185"/>
      <w:r>
        <w:rPr>
          <w:rFonts w:hint="eastAsia" w:ascii="宋体" w:hAnsi="宋体" w:eastAsia="宋体" w:cs="宋体"/>
          <w:b/>
          <w:color w:val="auto"/>
          <w:sz w:val="24"/>
          <w:szCs w:val="24"/>
          <w:highlight w:val="none"/>
        </w:rPr>
        <w:t>13工程质量</w:t>
      </w:r>
      <w:bookmarkEnd w:id="196"/>
    </w:p>
    <w:p w14:paraId="333EDF5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13.1工程质量要求</w:t>
      </w:r>
    </w:p>
    <w:p w14:paraId="30936991">
      <w:pPr>
        <w:pageBreakBefore w:val="0"/>
        <w:widowControl w:val="0"/>
        <w:kinsoku/>
        <w:wordWrap/>
        <w:topLinePunct w:val="0"/>
        <w:bidi w:val="0"/>
        <w:spacing w:line="420" w:lineRule="exact"/>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13.1.1工程质量验收按合同约定验收标准执行。</w:t>
      </w:r>
    </w:p>
    <w:p w14:paraId="2A1C190F">
      <w:pPr>
        <w:pageBreakBefore w:val="0"/>
        <w:widowControl w:val="0"/>
        <w:kinsoku/>
        <w:wordWrap/>
        <w:topLinePunct w:val="0"/>
        <w:bidi w:val="0"/>
        <w:spacing w:line="420" w:lineRule="exact"/>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13.1.2因承包人原因造成工程质量达不到合同约定验收标准的，监理人有权要求承包人返工直至符合合同要求为止，由此造成的费用增加和（或）工期延误由承包人承担。</w:t>
      </w:r>
    </w:p>
    <w:p w14:paraId="512457FA">
      <w:pPr>
        <w:pageBreakBefore w:val="0"/>
        <w:widowControl w:val="0"/>
        <w:kinsoku/>
        <w:wordWrap/>
        <w:topLinePunct w:val="0"/>
        <w:bidi w:val="0"/>
        <w:spacing w:line="420" w:lineRule="exact"/>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13.1.3因发包人原因造成工程质量达不到合同约定验收标准的，发包人应承担由于承包人返工造成的费用增加和（或）工期延误，并支付承包人合理利润。</w:t>
      </w:r>
    </w:p>
    <w:p w14:paraId="2731F2CA">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13.2承包人的质量管理</w:t>
      </w:r>
    </w:p>
    <w:p w14:paraId="225CFC83">
      <w:pPr>
        <w:pageBreakBefore w:val="0"/>
        <w:widowControl w:val="0"/>
        <w:kinsoku/>
        <w:wordWrap/>
        <w:topLinePunct w:val="0"/>
        <w:bidi w:val="0"/>
        <w:spacing w:line="42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13534FB1">
      <w:pPr>
        <w:pageBreakBefore w:val="0"/>
        <w:widowControl w:val="0"/>
        <w:kinsoku/>
        <w:wordWrap/>
        <w:topLinePunct w:val="0"/>
        <w:bidi w:val="0"/>
        <w:spacing w:line="420" w:lineRule="exact"/>
        <w:ind w:firstLine="528" w:firstLineChars="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13.2.2承包人应加强对施工人员的质量教育和技术培训，定期考核施工人员的劳动技能，严格执行规范和操作规程。</w:t>
      </w:r>
    </w:p>
    <w:p w14:paraId="50F2096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13.3承包人的质量检查</w:t>
      </w:r>
    </w:p>
    <w:p w14:paraId="0036DA5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承包人应按合同约定对材料、工程设备以及工程的所有部位及其施工工艺进行全过程的质量检查和检验，并</w:t>
      </w:r>
      <w:r>
        <w:rPr>
          <w:rFonts w:hint="eastAsia" w:ascii="宋体" w:hAnsi="宋体" w:eastAsia="宋体" w:cs="宋体"/>
          <w:color w:val="auto"/>
          <w:sz w:val="24"/>
          <w:szCs w:val="24"/>
          <w:highlight w:val="none"/>
          <w:lang w:eastAsia="zh-CN"/>
        </w:rPr>
        <w:t>做</w:t>
      </w:r>
      <w:r>
        <w:rPr>
          <w:rFonts w:hint="eastAsia" w:ascii="宋体" w:hAnsi="宋体" w:eastAsia="宋体" w:cs="宋体"/>
          <w:color w:val="auto"/>
          <w:sz w:val="24"/>
          <w:szCs w:val="24"/>
          <w:highlight w:val="none"/>
        </w:rPr>
        <w:t>详细记录，编制工程质量报表，报送监理人审查。</w:t>
      </w:r>
    </w:p>
    <w:p w14:paraId="0879FEF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13.4监理人的质量检查</w:t>
      </w:r>
    </w:p>
    <w:p w14:paraId="4FBAA6B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F56BC2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13.5工程隐蔽部位覆盖前的检查</w:t>
      </w:r>
    </w:p>
    <w:p w14:paraId="57CD15B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13.5.1通知监理人检查</w:t>
      </w:r>
    </w:p>
    <w:p w14:paraId="7CA8951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整修返工后，由监理人重新检查。</w:t>
      </w:r>
    </w:p>
    <w:p w14:paraId="392C998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13.5.2监理人未到场检查</w:t>
      </w:r>
    </w:p>
    <w:p w14:paraId="7187F3F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监理人未按第13.5.l项约定的时间进行检查的，除监理人另有指示外，承包人可自行完成覆盖工作，并作相应记录报送监理人，监理人应签字确认。监理人事后对检查记录有疑问的，可按第13.5.3项的约定重新检查。</w:t>
      </w:r>
    </w:p>
    <w:p w14:paraId="3DBAA2F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13.5.3监理人重新检查</w:t>
      </w:r>
    </w:p>
    <w:p w14:paraId="6FC2CCD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22C253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13.5.4承包人私自覆盖</w:t>
      </w:r>
    </w:p>
    <w:p w14:paraId="12F1CCC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承包人未通知监理人到场检查，私自将工程隐蔽部位覆盖的，监理人有权指示承包人钻孔探测或揭开检查，由此增加的费用和（或）工期延误由承包人承担。</w:t>
      </w:r>
    </w:p>
    <w:p w14:paraId="5B78046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13.6清除不合格工程</w:t>
      </w:r>
    </w:p>
    <w:p w14:paraId="634D00D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A6AD00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13.6.2由于发包人提供的材料或工程设备不合格造成的工程不合格，需要承包人采取措施补救的，发包人应承担由此增加的费用和（或）工期延误，并支付承包人合理利润。</w:t>
      </w:r>
    </w:p>
    <w:p w14:paraId="15016BA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13.7质量评定</w:t>
      </w:r>
    </w:p>
    <w:p w14:paraId="79D4104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13.7.1发包人应组织承包人进行工程项目划分，并确定单位工程、主要分部工程、重要隐蔽单元工程和关键部位单元工程。</w:t>
      </w:r>
    </w:p>
    <w:p w14:paraId="7E01908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13.7.2工程实施过程中，单位工程、主要分部工程、重要隐蔽单元工程和关键部位单元工程的项目划分需要调整时，承包人应报发包人确认。</w:t>
      </w:r>
    </w:p>
    <w:p w14:paraId="3B614B5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13.7.3承包人应在单元（工序）工程质量自评合格后，报监理人核定质量等级并签证认可。</w:t>
      </w:r>
    </w:p>
    <w:p w14:paraId="70AC4AA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13.7.4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5737E38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13.7.5承包人应在分部工程质量自评合格后，报监理人复核和发包人认定。发包人负责按有关规定完成分部工程质量结论报工程质量监督机构核备（核定）手续。</w:t>
      </w:r>
    </w:p>
    <w:p w14:paraId="6AC26E6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13.7.6承包人应在单位工程质量自评合格后，报监理人复核和发包人认定。发包人负责按完成单位工程质量结论报工程质量监督机构核定手续。</w:t>
      </w:r>
    </w:p>
    <w:p w14:paraId="1ABFB02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13.7.7除专用合同条款另外约定外，工程质量等级分为合格和优良，应分别达到约定的标准。</w:t>
      </w:r>
    </w:p>
    <w:p w14:paraId="1505709A">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13.8质量事故处理</w:t>
      </w:r>
    </w:p>
    <w:p w14:paraId="4EA069B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13.8.1发生质量事故时，承包人应及时向发包人和监理人报告。</w:t>
      </w:r>
    </w:p>
    <w:p w14:paraId="5D299BA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13.8.2质量事故调查处理由发包人按相关规定履行手续，承包人应配合。</w:t>
      </w:r>
    </w:p>
    <w:p w14:paraId="5365A10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13.8.3承包人应对质量缺陷进行备案。发包人委托监理人对质量缺陷备案情况进行监督检查并履行相关手续。</w:t>
      </w:r>
    </w:p>
    <w:p w14:paraId="0335204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13.8.4除专用合同条款另有约定外，工程竣工验收时，发包人负责向竣工验收委员会汇报并提交历次质量缺陷处理的备案资料。</w:t>
      </w:r>
    </w:p>
    <w:p w14:paraId="5C5EC2B1">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7" w:name="_Toc256773186"/>
      <w:r>
        <w:rPr>
          <w:rFonts w:hint="eastAsia" w:ascii="宋体" w:hAnsi="宋体" w:eastAsia="宋体" w:cs="宋体"/>
          <w:b/>
          <w:color w:val="auto"/>
          <w:sz w:val="24"/>
          <w:szCs w:val="24"/>
          <w:highlight w:val="none"/>
        </w:rPr>
        <w:t>14试验和检验</w:t>
      </w:r>
      <w:bookmarkEnd w:id="197"/>
    </w:p>
    <w:p w14:paraId="1963434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14.1材料、工程设备和工程的试验和检验</w:t>
      </w:r>
    </w:p>
    <w:p w14:paraId="0BBBA42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6E8FB9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14.1.2监理人未按合同约定派员参加试验和检验的，除监理人另有指示外，承包人可自行试验和检验，并应立即将试验和检验结果报送监理人，监理人应签字确认。</w:t>
      </w:r>
    </w:p>
    <w:p w14:paraId="4C6FA11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14.1.3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0E4548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14.1.4承包人应按相关规定和标准对水泥、钢材等原材料与中间产品质量进行检验并报监理人复核。</w:t>
      </w:r>
    </w:p>
    <w:p w14:paraId="22F31DA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做好记录，并进行妥善处理。</w:t>
      </w:r>
    </w:p>
    <w:p w14:paraId="617DE8FD">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14.1.6对专用合同条款约定的试块、试件及有关材料，监理人实行见证取样。见证取样资料由承包人制备，记录应真实齐全，监理人、承包人等参与见证取样人员均应在相关文件上签字。</w:t>
      </w:r>
    </w:p>
    <w:p w14:paraId="57B52AF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14.2现场材料试验</w:t>
      </w:r>
    </w:p>
    <w:p w14:paraId="7C2A5B5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14.2.1承包人根据合同约定或监理人指示进行的现场材料试验，应由承包人提供试验场所、试验人员、试验设备器材以及其他必要的试验条件。</w:t>
      </w:r>
    </w:p>
    <w:p w14:paraId="52ABEEB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14.2.2监理人在必要时可以使用承包人的试验场所、试验设备器材以及其他试验条件，进行以工程质量检查为目的的复核性材料试验，承包人应予以协助。</w:t>
      </w:r>
    </w:p>
    <w:p w14:paraId="08E3884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14.3现场工艺试验</w:t>
      </w:r>
    </w:p>
    <w:p w14:paraId="1DF20CB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334100C9">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8" w:name="_Toc256773187"/>
      <w:r>
        <w:rPr>
          <w:rFonts w:hint="eastAsia" w:ascii="宋体" w:hAnsi="宋体" w:eastAsia="宋体" w:cs="宋体"/>
          <w:b/>
          <w:color w:val="auto"/>
          <w:sz w:val="24"/>
          <w:szCs w:val="24"/>
          <w:highlight w:val="none"/>
        </w:rPr>
        <w:t>15变更</w:t>
      </w:r>
      <w:bookmarkEnd w:id="198"/>
    </w:p>
    <w:p w14:paraId="4B578F1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15.1变更的范围和内容</w:t>
      </w:r>
    </w:p>
    <w:p w14:paraId="69F357B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在履行合同中发生以下情形之一，应按照本款规定进行变更。</w:t>
      </w:r>
    </w:p>
    <w:p w14:paraId="65DC98F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（1）取消合同中任何一项工作，但被取消的工作不能转由发包人或其他人实施；</w:t>
      </w:r>
    </w:p>
    <w:p w14:paraId="1875214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（2）改变合同中任何一项工作的质量或其他特性；</w:t>
      </w:r>
    </w:p>
    <w:p w14:paraId="4FFB432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（3）改变合同工程的基线、标高、位置或尺寸；</w:t>
      </w:r>
    </w:p>
    <w:p w14:paraId="6D9A827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（4）改变合同中任何一项工作的施工时间或改变已批准的施工工艺或顺序；</w:t>
      </w:r>
    </w:p>
    <w:p w14:paraId="672642F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（5）为完成工程需要追加的额外工作；</w:t>
      </w:r>
    </w:p>
    <w:p w14:paraId="5386791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（6）增加或减少专用合同条款中约定的关键项目工程量超过其工程总量的一定数量百分比。</w:t>
      </w:r>
    </w:p>
    <w:p w14:paraId="28057A6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上述第（1）～（6）目的变更内容引起工程施工组织和进度计划发生实质性变动和影响其原定的价格时，才调整该项目的单价。第（6）目情形下单价调整方式在专用合同条款中约定。</w:t>
      </w:r>
    </w:p>
    <w:p w14:paraId="0FD7D540">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15.2变更权</w:t>
      </w:r>
    </w:p>
    <w:p w14:paraId="14ACD4A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在履行合同过程中，经发包人同意，监理人可按第15.3款约定的变更程序向承包人作出变更指示，承包人应遵照执行。没有监理人的变更指示，承包人不得擅自变更。</w:t>
      </w:r>
    </w:p>
    <w:p w14:paraId="4B9241EE">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15.3变更程序</w:t>
      </w:r>
    </w:p>
    <w:p w14:paraId="35510C9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15.3.1变更的提出</w:t>
      </w:r>
    </w:p>
    <w:p w14:paraId="70F9C0D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112AFBD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（2）在合同履行过程中，发生第15.1款约定情形的，监理人应按照第15.3.3项约定向承包人发出变更指示。</w:t>
      </w:r>
    </w:p>
    <w:p w14:paraId="31D1844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46A1D77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（4）若承包人收到监理人的变更意向书后认为难以实施此项变更，应立即通知监理人，说明原因并附详细依据。监理人与承包人和发包人协商后确定撤销、改变或不改变原变更意向书。</w:t>
      </w:r>
    </w:p>
    <w:p w14:paraId="4C77B1C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15.3.2变更估价</w:t>
      </w:r>
    </w:p>
    <w:p w14:paraId="575C71C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5BE3CF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（2）变更工作影响工期的，承包人应提出调整工期的具体细节。监理人认为有必要时，可要求承包人提交要求提前或延长工期的施工进度计划及相应施工措施等详细资料。</w:t>
      </w:r>
    </w:p>
    <w:p w14:paraId="5600EE1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（3）除专用合同条款对期限另有约定外，监理人收到承包人变更报价书后的14天内，根据第15.4款约定的估价原则，按照第3.5款商定或确定变更价格。</w:t>
      </w:r>
    </w:p>
    <w:p w14:paraId="5F4949B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15.3.3变更指示</w:t>
      </w:r>
    </w:p>
    <w:p w14:paraId="55CCC92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（l）变更指示只能由监理人发出。</w:t>
      </w:r>
    </w:p>
    <w:p w14:paraId="739FD39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（2）变更指示应说明变更的目的、范围、变更内容以及变更的工程量及其进度和技术要求，并附有关图纸和文件。承包人收到变更指示后，应按变更指示进行变更工作。</w:t>
      </w:r>
    </w:p>
    <w:p w14:paraId="0854E3DE">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15.4变更的估价原则</w:t>
      </w:r>
    </w:p>
    <w:p w14:paraId="278C1BB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除专用合同条款另有约定外，因变更引起的价格调整按照本款约定处理。</w:t>
      </w:r>
    </w:p>
    <w:p w14:paraId="474CB78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标价工程量清单中有适用于变更工作的子目的，采用该子目的单价。</w:t>
      </w:r>
    </w:p>
    <w:p w14:paraId="43E350B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标价工程量清单中无适用于变更工作的子目，但有类似子目的，可在合理范围内参照类似子目的单价，由监理人按第3.5款商定或确定变更工作的单价。</w:t>
      </w:r>
    </w:p>
    <w:p w14:paraId="255417C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标价工程量清单中无适用或类似子目的单价，可按照成本加利润的原则，由监理人按第3.5款商定或确定变更工作的单价。</w:t>
      </w:r>
    </w:p>
    <w:p w14:paraId="43C2A12E">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15.5承包人的合理化建议</w:t>
      </w:r>
    </w:p>
    <w:p w14:paraId="1E023A9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912D42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15.5.2承包人提出的合理化建议降低了合同价格、缩短了工期或者提高了工程经济效益的，发包人可按国家有关规定在专用合同条款中约定给予奖励。</w:t>
      </w:r>
    </w:p>
    <w:p w14:paraId="56AAF1E2">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15.6暂列金额</w:t>
      </w:r>
    </w:p>
    <w:p w14:paraId="6FECB06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暂列金额只能按照监理人的指示使用，并对合同价格进行相应调整。</w:t>
      </w:r>
    </w:p>
    <w:p w14:paraId="1A9F378B">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15.7计日工</w:t>
      </w:r>
    </w:p>
    <w:p w14:paraId="07BF0A1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15.7.1发包人认为有必要时，由监理人通知承包人以计日工方式实施变更的零星工作。其价款按列入已标价工程量清单中的计日工计价子目及其单价进行计算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4619F6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15.7.2采用计日工计价的任何一项变更工作，应从暂列金额中支付，承包人应在该项变更的实施过程中，每天提交以下报表和有关凭证报送监理人审批：</w:t>
      </w:r>
    </w:p>
    <w:p w14:paraId="11BE5C0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（l）工作名称、内容和数量；</w:t>
      </w:r>
    </w:p>
    <w:p w14:paraId="6F476A8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（2）投入该工作所有人员的姓名、工种、级别和耗用工时；</w:t>
      </w:r>
    </w:p>
    <w:p w14:paraId="591B9EB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（3）投入该工作的材料类别和数量；</w:t>
      </w:r>
    </w:p>
    <w:p w14:paraId="29A81C4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（4）投入该工作的施工设备型号、台数和耗用台时；</w:t>
      </w:r>
    </w:p>
    <w:p w14:paraId="711B2DC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（5）监理人要求提交的其他资料和凭证。</w:t>
      </w:r>
    </w:p>
    <w:p w14:paraId="296A6FC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15.7.3计日工由承包人汇总后，按第17.3.2项的约定列入进度付款申请单，由监理人复核并经发包人同意后列入进度付款。</w:t>
      </w:r>
    </w:p>
    <w:p w14:paraId="7D8228B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15.8暂估价</w:t>
      </w:r>
    </w:p>
    <w:p w14:paraId="53CC01BD">
      <w:pPr>
        <w:pageBreakBefore w:val="0"/>
        <w:widowControl w:val="0"/>
        <w:kinsoku/>
        <w:wordWrap/>
        <w:topLinePunct w:val="0"/>
        <w:bidi w:val="0"/>
        <w:spacing w:line="420" w:lineRule="exact"/>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7960133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0AAFE1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06621785">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199" w:name="_Toc256773188"/>
      <w:r>
        <w:rPr>
          <w:rFonts w:hint="eastAsia" w:ascii="宋体" w:hAnsi="宋体" w:eastAsia="宋体" w:cs="宋体"/>
          <w:b/>
          <w:color w:val="auto"/>
          <w:sz w:val="24"/>
          <w:szCs w:val="24"/>
          <w:highlight w:val="none"/>
        </w:rPr>
        <w:t>16价格调整</w:t>
      </w:r>
      <w:bookmarkEnd w:id="199"/>
    </w:p>
    <w:p w14:paraId="39F5B37F">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16.1物价波动引起的价格调整</w:t>
      </w:r>
    </w:p>
    <w:p w14:paraId="2369BE0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由于物价波动原因引起合同价格需要调整的，其价格调整方式在专用合同条款中约定。</w:t>
      </w:r>
    </w:p>
    <w:p w14:paraId="1C5737A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16.1.1采用价格指数调整价格差额</w:t>
      </w:r>
    </w:p>
    <w:p w14:paraId="7F008A2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16.1.1.1价格调整公式</w:t>
      </w:r>
    </w:p>
    <w:p w14:paraId="5BC8978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因人工、材料和设备等价格波动影响合同价格时，根据投标函附录中的价格指数和权重表约定的数据，按以下公式计算差额并调整合同价格。</w:t>
      </w:r>
    </w:p>
    <w:p w14:paraId="05FCDF23">
      <w:pPr>
        <w:pageBreakBefore w:val="0"/>
        <w:widowControl w:val="0"/>
        <w:kinsoku/>
        <w:wordWrap/>
        <w:topLinePunct w:val="0"/>
        <w:bidi w:val="0"/>
        <w:spacing w:line="420" w:lineRule="exact"/>
        <w:ind w:firstLine="2520" w:firstLineChars="10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t1</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t2</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t3</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tn</w:t>
      </w:r>
    </w:p>
    <w:p w14:paraId="0C52B86C">
      <w:pPr>
        <w:pageBreakBefore w:val="0"/>
        <w:widowControl w:val="0"/>
        <w:numPr>
          <w:ilvl w:val="0"/>
          <w:numId w:val="3"/>
        </w:numPr>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w:t>
      </w:r>
      <w:r>
        <w:rPr>
          <w:rFonts w:hint="eastAsia" w:ascii="宋体" w:hAnsi="宋体" w:eastAsia="宋体" w:cs="宋体"/>
          <w:color w:val="auto"/>
          <w:sz w:val="24"/>
          <w:szCs w:val="24"/>
          <w:highlight w:val="none"/>
          <w:vertAlign w:val="subscript"/>
        </w:rPr>
        <w:t>O</w:t>
      </w:r>
      <w:r>
        <w:rPr>
          <w:rFonts w:hint="eastAsia" w:ascii="宋体" w:hAnsi="宋体" w:eastAsia="宋体" w:cs="宋体"/>
          <w:color w:val="auto"/>
          <w:sz w:val="24"/>
          <w:szCs w:val="24"/>
          <w:highlight w:val="none"/>
        </w:rPr>
        <w:t>［A+｛B</w:t>
      </w:r>
      <w:r>
        <w:rPr>
          <w:rFonts w:hint="eastAsia" w:ascii="宋体" w:hAnsi="宋体" w:eastAsia="宋体" w:cs="宋体"/>
          <w:color w:val="auto"/>
          <w:sz w:val="24"/>
          <w:szCs w:val="24"/>
          <w:highlight w:val="none"/>
          <w:vertAlign w:val="subscript"/>
        </w:rPr>
        <w:t>1</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subscript"/>
        </w:rPr>
        <w:t>3</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subscript"/>
        </w:rPr>
        <w:t>n</w:t>
      </w:r>
      <w:r>
        <w:rPr>
          <w:rFonts w:hint="eastAsia" w:ascii="宋体" w:hAnsi="宋体" w:eastAsia="宋体" w:cs="宋体"/>
          <w:color w:val="auto"/>
          <w:sz w:val="24"/>
          <w:szCs w:val="24"/>
          <w:highlight w:val="none"/>
        </w:rPr>
        <w:t>×—｝－1］</w:t>
      </w:r>
    </w:p>
    <w:p w14:paraId="3C5B4CB0">
      <w:pPr>
        <w:pageBreakBefore w:val="0"/>
        <w:widowControl w:val="0"/>
        <w:kinsoku/>
        <w:wordWrap/>
        <w:topLinePunct w:val="0"/>
        <w:bidi w:val="0"/>
        <w:spacing w:line="420" w:lineRule="exact"/>
        <w:ind w:left="420" w:leftChars="200" w:firstLine="2040" w:firstLineChars="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01</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02</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03</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04</w:t>
      </w:r>
    </w:p>
    <w:p w14:paraId="14A5751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式中：△P一需调整的价格差额；</w:t>
      </w:r>
    </w:p>
    <w:p w14:paraId="599DC00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w:t>
      </w:r>
      <w:r>
        <w:rPr>
          <w:rFonts w:hint="eastAsia" w:ascii="宋体" w:hAnsi="宋体" w:eastAsia="宋体" w:cs="宋体"/>
          <w:color w:val="auto"/>
          <w:sz w:val="24"/>
          <w:szCs w:val="24"/>
          <w:highlight w:val="none"/>
          <w:vertAlign w:val="subscript"/>
        </w:rPr>
        <w:t>O</w:t>
      </w:r>
      <w:r>
        <w:rPr>
          <w:rFonts w:hint="eastAsia" w:ascii="宋体" w:hAnsi="宋体" w:eastAsia="宋体" w:cs="宋体"/>
          <w:color w:val="auto"/>
          <w:sz w:val="24"/>
          <w:szCs w:val="24"/>
          <w:highlight w:val="none"/>
        </w:rPr>
        <w:t>一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719C01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A--定值权重（即不调部分的权重）；</w:t>
      </w:r>
    </w:p>
    <w:p w14:paraId="1EA4674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subscript"/>
        </w:rPr>
        <w:t>1</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subscript"/>
        </w:rPr>
        <w:t>3</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subscript"/>
        </w:rPr>
        <w:t>n</w:t>
      </w:r>
      <w:r>
        <w:rPr>
          <w:rFonts w:hint="eastAsia" w:ascii="宋体" w:hAnsi="宋体" w:eastAsia="宋体" w:cs="宋体"/>
          <w:color w:val="auto"/>
          <w:sz w:val="24"/>
          <w:szCs w:val="24"/>
          <w:highlight w:val="none"/>
        </w:rPr>
        <w:t>--－各可调因子的变值权重（即可调部分的权重）为各可调因子在投标函投标总报价中所占的比例；</w:t>
      </w:r>
    </w:p>
    <w:p w14:paraId="4F080B9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t1</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t2</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t3</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tn</w:t>
      </w:r>
      <w:r>
        <w:rPr>
          <w:rFonts w:hint="eastAsia" w:ascii="宋体" w:hAnsi="宋体" w:eastAsia="宋体" w:cs="宋体"/>
          <w:color w:val="auto"/>
          <w:sz w:val="24"/>
          <w:szCs w:val="24"/>
          <w:highlight w:val="none"/>
        </w:rPr>
        <w:t>--－各可调因子的现行价格指数，指第17.3.3项、第17.5.2项和第17.6.2项约定的付款证书相关周期最后一天的前42天的各可调因子的价格指数；</w:t>
      </w:r>
    </w:p>
    <w:p w14:paraId="54907BE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01</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02</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03</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subscript"/>
        </w:rPr>
        <w:t>0n</w:t>
      </w:r>
      <w:r>
        <w:rPr>
          <w:rFonts w:hint="eastAsia" w:ascii="宋体" w:hAnsi="宋体" w:eastAsia="宋体" w:cs="宋体"/>
          <w:color w:val="auto"/>
          <w:sz w:val="24"/>
          <w:szCs w:val="24"/>
          <w:highlight w:val="none"/>
        </w:rPr>
        <w:t>--－各可调因子的基本价格指数，指基准日期的各可调因子的价格指数。</w:t>
      </w:r>
    </w:p>
    <w:p w14:paraId="77EE269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3FAB9A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16.1.1.2暂时确定调整差额</w:t>
      </w:r>
    </w:p>
    <w:p w14:paraId="026DB81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在计算调整差额时得不到现行价格指数的，可暂用上一次价格指数计算，并在以后的付款中再按实际价格指数进行调整。</w:t>
      </w:r>
    </w:p>
    <w:p w14:paraId="1B75225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16.1.1.3权重的调整</w:t>
      </w:r>
    </w:p>
    <w:p w14:paraId="6CFD038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按第15.1款约定的变更导致原定合同中的权重不合理时，由监理人与承包人和发包人协商后进行调整。</w:t>
      </w:r>
    </w:p>
    <w:p w14:paraId="6981AC7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16.1.1.4承包人工期延误后的价格调整</w:t>
      </w:r>
    </w:p>
    <w:p w14:paraId="12FF706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7EB9D0E2">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16.1.2采用造价信息调整价格差额</w:t>
      </w:r>
    </w:p>
    <w:p w14:paraId="3134B375">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w:t>
      </w: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rPr>
        <w:t>应由监理人复核，监理人确认需调整的材料单价及数量，作为调整工程合同价格差额的依据。</w:t>
      </w:r>
    </w:p>
    <w:p w14:paraId="5BED9174">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工程造价信息的来源以及价格调整的项目和系数在专用合同条款中约定。</w:t>
      </w:r>
    </w:p>
    <w:p w14:paraId="26586E34">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16.2法律变化引起的价格调整</w:t>
      </w:r>
    </w:p>
    <w:p w14:paraId="0EBED73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1CFA0BCD">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200" w:name="_Toc256773189"/>
      <w:r>
        <w:rPr>
          <w:rFonts w:hint="eastAsia" w:ascii="宋体" w:hAnsi="宋体" w:eastAsia="宋体" w:cs="宋体"/>
          <w:b/>
          <w:color w:val="auto"/>
          <w:sz w:val="24"/>
          <w:szCs w:val="24"/>
          <w:highlight w:val="none"/>
        </w:rPr>
        <w:t>17计量与支付</w:t>
      </w:r>
      <w:bookmarkEnd w:id="200"/>
    </w:p>
    <w:p w14:paraId="2DBDBB1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17.1计量</w:t>
      </w:r>
    </w:p>
    <w:p w14:paraId="790AC4C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17.1.1计量单位</w:t>
      </w:r>
    </w:p>
    <w:p w14:paraId="1FBA836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计量采用国家法定的计量单位。</w:t>
      </w:r>
    </w:p>
    <w:p w14:paraId="0177D93B">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17.1.2计量方法</w:t>
      </w:r>
    </w:p>
    <w:p w14:paraId="3D84B85A">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结算工程量应按工程量清单中约定的方法计量。</w:t>
      </w:r>
    </w:p>
    <w:p w14:paraId="492E96B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17.1.3计量周期</w:t>
      </w:r>
    </w:p>
    <w:p w14:paraId="4EA6309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除专用合同条款另有约定外，单价子目已完成工程量按月计量，总价子目的计量周期按批准的支付分解报告确定。</w:t>
      </w:r>
    </w:p>
    <w:p w14:paraId="1103C5E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17.1.4单价子目的计量</w:t>
      </w:r>
    </w:p>
    <w:p w14:paraId="01311EF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（l）已标价工程量清单中的单价子目工程量为估算工程量。结算工程量是承包人实际完成的，并按合同约定的计量方法进行计量的工程量。</w:t>
      </w:r>
    </w:p>
    <w:p w14:paraId="091214C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（2）承包人对已完成的工程进行计量，向监理人提交进度付款申请单、已完成工程量报表和有关计量资料。</w:t>
      </w:r>
    </w:p>
    <w:p w14:paraId="15F3207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6A3133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（4）监理人认为有必要时，可通知承包人共同进行联合测量、计量，承包人应遵照执行。</w:t>
      </w:r>
    </w:p>
    <w:p w14:paraId="15C199A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1B7C989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4CF74D25">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17.1.5总价子目的计量</w:t>
      </w:r>
    </w:p>
    <w:p w14:paraId="4658AD9F">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总价子目的分解和计量按照下述约定进行。</w:t>
      </w:r>
    </w:p>
    <w:p w14:paraId="60271F9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（1）总价子目的计量和支付应以总价为基础，不因第16.1款中的因素而进行调整。承包人实际完成的工程量，是进行工程目标管理和控制进度支付的依据。</w:t>
      </w:r>
    </w:p>
    <w:p w14:paraId="6E23855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00054F1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（3）监理人对承包人提交的上述资料进行复核，以确定分阶段实际完成的工程量和工程形象目标。对其有异议的，可要求承包人按第8.2款约定进行共同复核和抽样复测。</w:t>
      </w:r>
    </w:p>
    <w:p w14:paraId="7ABF2EB3">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（4）除按照第15条约定的变更外，总价子目的工程量是承包人用于结算的最终工程量。</w:t>
      </w:r>
    </w:p>
    <w:p w14:paraId="074EA8B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17.2预付款</w:t>
      </w:r>
    </w:p>
    <w:p w14:paraId="362449F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17.2.1预付款</w:t>
      </w:r>
    </w:p>
    <w:p w14:paraId="462F5A2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9D19D9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17.2.2预付款保函（担保）</w:t>
      </w:r>
    </w:p>
    <w:p w14:paraId="73D5E3F2">
      <w:pPr>
        <w:pageBreakBefore w:val="0"/>
        <w:widowControl w:val="0"/>
        <w:kinsoku/>
        <w:wordWrap/>
        <w:topLinePunct w:val="0"/>
        <w:bidi w:val="0"/>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（1）承包人应在收到第一次工程预付款的同时向发包人提交工程预付款担保，担保金额应与第一次工程预付款金额相同，工程预付款担保在第一次工程预付款被发包人扣回前一直有效。</w:t>
      </w:r>
    </w:p>
    <w:p w14:paraId="3F65C4FE">
      <w:pPr>
        <w:pageBreakBefore w:val="0"/>
        <w:widowControl w:val="0"/>
        <w:kinsoku/>
        <w:wordWrap/>
        <w:topLinePunct w:val="0"/>
        <w:bidi w:val="0"/>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（2）工程材料预付款的担保在专用合同条款中约定。</w:t>
      </w:r>
    </w:p>
    <w:p w14:paraId="7FAF84A7">
      <w:pPr>
        <w:pageBreakBefore w:val="0"/>
        <w:widowControl w:val="0"/>
        <w:kinsoku/>
        <w:wordWrap/>
        <w:topLinePunct w:val="0"/>
        <w:bidi w:val="0"/>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（3）预付款担保的担保金额可根据预付款扣回的金额相应递减</w:t>
      </w:r>
    </w:p>
    <w:p w14:paraId="55FFAD9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17.2.3预付款的扣回与还清</w:t>
      </w:r>
    </w:p>
    <w:p w14:paraId="1ECFF21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预付款在进度付款中扣回，扣回与还清办法在专用合同条款中约定。在颁发合同工程完工证书前，由于不可抗力或其他原因解除合同时，预付款尚未扣清的，尚未扣清的预付款余额应作为承包人的到期应付款。</w:t>
      </w:r>
    </w:p>
    <w:p w14:paraId="7D8B7DD4">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17.3工程进度付款</w:t>
      </w:r>
    </w:p>
    <w:p w14:paraId="386D72C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17.3.1付款周期</w:t>
      </w:r>
    </w:p>
    <w:p w14:paraId="60D861A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付款周期同计量周期。</w:t>
      </w:r>
    </w:p>
    <w:p w14:paraId="0C9006C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17.3.2进度付款申请单</w:t>
      </w:r>
    </w:p>
    <w:p w14:paraId="13472E3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7F7FE5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（l）截至本次付款周期末已实施工程的价款；</w:t>
      </w:r>
    </w:p>
    <w:p w14:paraId="7402946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（2）根据第15条应增加和扣减的变更金额；</w:t>
      </w:r>
    </w:p>
    <w:p w14:paraId="0ADE3DE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（3）根据第23条应增加和扣减的索赔金额；</w:t>
      </w:r>
    </w:p>
    <w:p w14:paraId="1F89D7B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（4）根据第17.2款约定应支付的预付款和扣减的返还预付款；</w:t>
      </w:r>
    </w:p>
    <w:p w14:paraId="5318BAE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（5）根据第17.4.1项约定应扣减的质量保证金；</w:t>
      </w:r>
    </w:p>
    <w:p w14:paraId="02EFA3B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（6）根据合同应增加和扣减的其他金额。</w:t>
      </w:r>
    </w:p>
    <w:p w14:paraId="4BF7550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17.3.3进度付款证书和支付时间</w:t>
      </w:r>
    </w:p>
    <w:p w14:paraId="44C5841F">
      <w:pPr>
        <w:pageBreakBefore w:val="0"/>
        <w:widowControl w:val="0"/>
        <w:kinsoku/>
        <w:wordWrap/>
        <w:topLinePunct w:val="0"/>
        <w:bidi w:val="0"/>
        <w:spacing w:line="420" w:lineRule="exact"/>
        <w:ind w:firstLine="408" w:firstLineChars="1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7401EBC">
      <w:pPr>
        <w:pageBreakBefore w:val="0"/>
        <w:widowControl w:val="0"/>
        <w:kinsoku/>
        <w:wordWrap/>
        <w:topLinePunct w:val="0"/>
        <w:bidi w:val="0"/>
        <w:spacing w:line="420" w:lineRule="exact"/>
        <w:ind w:firstLine="408" w:firstLineChars="1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（2）发包人应在监理人收到进度付款申请单后的28天内，将进度应付款支付给承包人。发包人不按期支付的，按专用合同条款的约定支付逾期付款违约金。</w:t>
      </w:r>
    </w:p>
    <w:p w14:paraId="7FFF786A">
      <w:pPr>
        <w:pageBreakBefore w:val="0"/>
        <w:widowControl w:val="0"/>
        <w:kinsoku/>
        <w:wordWrap/>
        <w:topLinePunct w:val="0"/>
        <w:bidi w:val="0"/>
        <w:spacing w:line="420" w:lineRule="exact"/>
        <w:ind w:firstLine="408" w:firstLineChars="1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（3）监理人出具进度付款证书，不应视为监理人</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同意、批准或接受了承包人完成的该部分工作。</w:t>
      </w:r>
    </w:p>
    <w:p w14:paraId="3B3F2757">
      <w:pPr>
        <w:pageBreakBefore w:val="0"/>
        <w:widowControl w:val="0"/>
        <w:kinsoku/>
        <w:wordWrap/>
        <w:topLinePunct w:val="0"/>
        <w:bidi w:val="0"/>
        <w:spacing w:line="420" w:lineRule="exact"/>
        <w:ind w:firstLine="408" w:firstLineChars="1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（4）进度付款涉及政府投资资金的，按照国库集中支付等国家相关规定和专用合同条款的约定办理。</w:t>
      </w:r>
    </w:p>
    <w:p w14:paraId="1B4881D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17.3.4工程进度付款的修正</w:t>
      </w:r>
    </w:p>
    <w:p w14:paraId="5ECF2AA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3CA51A5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17.4质量保证金</w:t>
      </w:r>
    </w:p>
    <w:p w14:paraId="0BF68D4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17.4.1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315D4721">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17.4.2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60DCA5A0">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17.4.3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552DE844">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17.5竣工结算（完工结算）</w:t>
      </w:r>
    </w:p>
    <w:p w14:paraId="2B580C3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17.5.1竣工（完工）付款申请单</w:t>
      </w:r>
    </w:p>
    <w:p w14:paraId="4C33E1FE">
      <w:pPr>
        <w:pageBreakBefore w:val="0"/>
        <w:widowControl w:val="0"/>
        <w:kinsoku/>
        <w:wordWrap/>
        <w:topLinePunct w:val="0"/>
        <w:bidi w:val="0"/>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（1）承包人应提交完工付款申请单一式六份。</w:t>
      </w:r>
    </w:p>
    <w:p w14:paraId="5DF295AA">
      <w:pPr>
        <w:pageBreakBefore w:val="0"/>
        <w:widowControl w:val="0"/>
        <w:kinsoku/>
        <w:wordWrap/>
        <w:topLinePunct w:val="0"/>
        <w:bidi w:val="0"/>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增加条款17.5.2（4）最终结算价以财政审核数为准，结算审核完成时间为六个月，超出约定时间，发包人应积极监督财审部门，加快结算审核，承包人应积极配合。</w:t>
      </w:r>
    </w:p>
    <w:p w14:paraId="1D22D6D4">
      <w:pPr>
        <w:pageBreakBefore w:val="0"/>
        <w:widowControl w:val="0"/>
        <w:kinsoku/>
        <w:wordWrap/>
        <w:topLinePunct w:val="0"/>
        <w:bidi w:val="0"/>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项目承包方不配合发包方做结算的，发包方有权请第三方进行结算并送财政审核，且送审资料均视为承包方默认同意。项目验收完成后，承包方需21天内准备送财政审核的结算资料，每拖延一天罚款5000元，直至罚款到本项目合同的2%停止，若此时发包人还未收到送财政审核的结算资料，发包人有权用最后一次进度款资料送财政审核，届时本项目按最后一次进度款完成的工程量结算。</w:t>
      </w:r>
    </w:p>
    <w:p w14:paraId="4F3EC1FD">
      <w:pPr>
        <w:pageBreakBefore w:val="0"/>
        <w:widowControl w:val="0"/>
        <w:kinsoku/>
        <w:wordWrap/>
        <w:topLinePunct w:val="0"/>
        <w:bidi w:val="0"/>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（2）监理人对完工付款申请单有异议的，有权要求承包人进行修正和提供补充资料</w:t>
      </w:r>
    </w:p>
    <w:p w14:paraId="3572CD2A">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监理人和承包人协商后，由承包人向监理人提交修正后的完工付款申请单。</w:t>
      </w:r>
    </w:p>
    <w:p w14:paraId="204DBE2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17.5.2竣工（完工）付款证书及支付时间</w:t>
      </w:r>
    </w:p>
    <w:p w14:paraId="690588C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内审核又未提出具体意见的，监理人提出发包人到期应支付给承包人的价款视为已经发包人同意。</w:t>
      </w:r>
    </w:p>
    <w:p w14:paraId="3649408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（2）发包人应在监理人出具完工付款证书后的14天内，将应支付款支付给承包人。发包人不按期支付的，按第17.3.3（2）目的约定，将逾期付款违约金支付给承包人。</w:t>
      </w:r>
    </w:p>
    <w:p w14:paraId="4A6FF96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（3）承包人对发包人签认的完工付款证书有异议的，发包人可出具完工付款申请单中承包人已同意部分的临时付款证书。存在争议的部分，按第24条的约定办理。</w:t>
      </w:r>
    </w:p>
    <w:p w14:paraId="4AE411A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（4）完工付款涉及政府投资资金的，按第17.3.3（4）目的约定办理。</w:t>
      </w:r>
    </w:p>
    <w:p w14:paraId="3880187A">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17.6最终结清</w:t>
      </w:r>
    </w:p>
    <w:p w14:paraId="2610FF5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17.6.1最终结清申请单</w:t>
      </w:r>
    </w:p>
    <w:p w14:paraId="63EE5BA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（1）工程质量保修责任终止证书签发后，承包人应按监理人批准的格式提交最终结清申请单。提交最终结清申请单的份数在专用合同条款中约定。</w:t>
      </w:r>
    </w:p>
    <w:p w14:paraId="5D6FDCEC">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（2）发包人对最终结清申请单内容有异议的，有权要求承包人进行修正和提供补充资料，由承包人向监理人提交修正后的最终结清申请单。</w:t>
      </w:r>
    </w:p>
    <w:p w14:paraId="4F8FDD48">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）承包人应提交最终结清申请单一式六份。审计部门等核实扣除的工程量承包方需配合退回相应项目款，若未按要求退回，发包方有权对承包方进行退回金额的2倍罚款。</w:t>
      </w:r>
    </w:p>
    <w:p w14:paraId="75F5D49A">
      <w:pPr>
        <w:pStyle w:val="9"/>
        <w:rPr>
          <w:rFonts w:hint="eastAsia" w:ascii="宋体" w:hAnsi="宋体" w:eastAsia="宋体" w:cs="宋体"/>
          <w:color w:val="auto"/>
          <w:sz w:val="24"/>
          <w:szCs w:val="24"/>
          <w:highlight w:val="none"/>
        </w:rPr>
      </w:pPr>
    </w:p>
    <w:p w14:paraId="79CDF2A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17.6.2最终结清证书和支付时间</w:t>
      </w:r>
    </w:p>
    <w:p w14:paraId="3778D01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162E18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（2）发包人应在监理人出具最终结清证书后的14天内，将应支付款支付给承包人。</w:t>
      </w:r>
    </w:p>
    <w:p w14:paraId="5E08184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发包人不按期支付的，按第17.3.3（2）目的约定，将逾期付款违约金支付给承包人。</w:t>
      </w:r>
    </w:p>
    <w:p w14:paraId="3789B81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（3）承包人对发包人签认的最终结清证书有异议的，按第24条的约定办理。</w:t>
      </w:r>
    </w:p>
    <w:p w14:paraId="648960F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（4）最终结清付款涉及政府投资资金的，按第17.3.3（4）目的约定办理。</w:t>
      </w:r>
    </w:p>
    <w:p w14:paraId="4CAE3F9A">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17.7竣工财务决算</w:t>
      </w:r>
    </w:p>
    <w:p w14:paraId="179BD2A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发包人负责编制本工程项目竣工财务决算，承包人应按专用合同条款的约定提供竣工财务决算编制所需的相关材料。</w:t>
      </w:r>
    </w:p>
    <w:p w14:paraId="499C68A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17.8竣工审计</w:t>
      </w:r>
    </w:p>
    <w:p w14:paraId="0E2E4DF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发包人负责完成本工程竣工审计手续，承包人应完成相关配合工作。</w:t>
      </w:r>
    </w:p>
    <w:p w14:paraId="59FDEBA3">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201" w:name="_Toc256773190"/>
      <w:r>
        <w:rPr>
          <w:rFonts w:hint="eastAsia" w:ascii="宋体" w:hAnsi="宋体" w:eastAsia="宋体" w:cs="宋体"/>
          <w:b/>
          <w:color w:val="auto"/>
          <w:sz w:val="24"/>
          <w:szCs w:val="24"/>
          <w:highlight w:val="none"/>
        </w:rPr>
        <w:t>18竣工验收（验收）</w:t>
      </w:r>
      <w:bookmarkEnd w:id="201"/>
    </w:p>
    <w:p w14:paraId="2B6276C4">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18.1验收工作分类</w:t>
      </w:r>
    </w:p>
    <w:p w14:paraId="0296C92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1A33DE8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18.2分部工程验收</w:t>
      </w:r>
    </w:p>
    <w:p w14:paraId="0366FAE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18.2.1分部工程具备验收条件时，承包人应向发包人提交验收申请报告，发包人应在收到验收申请报告之日起10个工作日内决定是否同意进行验收。</w:t>
      </w:r>
    </w:p>
    <w:p w14:paraId="09822E2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18.2.2除专用合同条款另有约定外，监理人主持分部工程验收，承包人应派符合条件的代表参加验收工作组。</w:t>
      </w:r>
    </w:p>
    <w:p w14:paraId="60F85EE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18.2.3分部工程验收通过后，发包人向承包人发送分部工程验收鉴定书。承包人应及时完成分部工程验收鉴定书载明应由承包人处理的遗留问题。</w:t>
      </w:r>
    </w:p>
    <w:p w14:paraId="5143AB9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18.3单位工程验收</w:t>
      </w:r>
    </w:p>
    <w:p w14:paraId="5801A3D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18.3.1单位工程具备验收条件时，承包人应向发包人提交验收申请报告，发包人应在收到验收申请报告之日起10个工作日内决定是否同意进行验收。</w:t>
      </w:r>
    </w:p>
    <w:p w14:paraId="2569191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18.3.2发包人主持单位工程验收，承包人应派符合条件的代表参加验收工作组。</w:t>
      </w:r>
    </w:p>
    <w:p w14:paraId="375630B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18.3.3单位工程验收通过后，发包人向承包人发送单位工程验收鉴定书。承包人应及时完成单位工程验收鉴定书载明应由承包人处理的遗留问题。</w:t>
      </w:r>
    </w:p>
    <w:p w14:paraId="287B0D5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18.3.4需提前投入使用的单位工程在专用合同条款中明确。</w:t>
      </w:r>
    </w:p>
    <w:p w14:paraId="0D931669">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18.4合同工程完工验收</w:t>
      </w:r>
    </w:p>
    <w:p w14:paraId="13DF3CF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18.4.1合同工程具备验收条件时，承包人应向发包人提交验收申请报告，发包人应在收到验收申请报告之日起20个工作日内决定是否同意进行验收。</w:t>
      </w:r>
    </w:p>
    <w:p w14:paraId="698475E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18.4.2发包人主持合同工程完工验收，承包人应派代表参加验收工作组。</w:t>
      </w:r>
    </w:p>
    <w:p w14:paraId="34B5C7A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18.4.3合同工程完工验收通过后，发包人向承包人发送合同工程完工验收鉴定书。承包人应及时完成合同工程完工验收鉴定书载明应由承包人处理的遗留问题。</w:t>
      </w:r>
    </w:p>
    <w:p w14:paraId="5FC6D54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18.4.4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61F2E47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18.5阶段验收</w:t>
      </w:r>
    </w:p>
    <w:p w14:paraId="3C35FF3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18.5.1工程建设具备阶段验收条件时，发包人负责提出阶段验收申请报告。承包人应派代表参加阶段验收：并作为被验收单位在验收鉴定书上签字。阶段验收的具体类别在专用合同条款中约定。</w:t>
      </w:r>
    </w:p>
    <w:p w14:paraId="192C3A0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18.5.2承包人应及时完成阶段验收鉴定书载明应由承包人处理的遗留问题。</w:t>
      </w:r>
    </w:p>
    <w:p w14:paraId="359956D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18.6专项验收</w:t>
      </w:r>
    </w:p>
    <w:p w14:paraId="1759C72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18.6.1发包人负责提出专项验收申请报告。承包人应按专项验收的相关规定参加专项验收。专项验收的具体类别在专用合同条款中约定。</w:t>
      </w:r>
    </w:p>
    <w:p w14:paraId="1F14EA3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18.6.2承包人应及时完成专项验收成果性文件载明应由承包人处理的遗留问题。</w:t>
      </w:r>
    </w:p>
    <w:p w14:paraId="05E3F18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18.7竣工验收</w:t>
      </w:r>
    </w:p>
    <w:p w14:paraId="03C990B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18.7.1申请竣工验收前，发包人组织竣工验收自查，承包人应派代表参加。</w:t>
      </w:r>
    </w:p>
    <w:p w14:paraId="3950035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18.7.2竣工验收分为竣工技术预验收和竣工验收两个阶段。发包人应通知承包人派代表参加技术预验收和竣工验收。</w:t>
      </w:r>
    </w:p>
    <w:p w14:paraId="5CBC325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18.7.3专用合同条款约定工程需要进行技术鉴定的，承包人应提交有关资料并完成配合工作。</w:t>
      </w:r>
    </w:p>
    <w:p w14:paraId="2703F3D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18.7.4竣工验收需要进行质量检测的，所需费用由发包人承担，但因承包人原因造成质量不合格的除外。</w:t>
      </w:r>
    </w:p>
    <w:p w14:paraId="01860EB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18.7.5工程质量保修期满以及竣工验收遗留问题和尾工处理完成并通过验收后，发包人负责将处理情况和验收成果报送竣工验收主持单位，申请领取工程竣工证书，并发送承包人。</w:t>
      </w:r>
    </w:p>
    <w:p w14:paraId="2D78541B">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18.8施工期运行</w:t>
      </w:r>
    </w:p>
    <w:p w14:paraId="1DAFF03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18.8.1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56D9CAA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18.8.2在施工期运行中发现工程或工程设备损坏或存在缺陷的，由承包人按第19.2款约定进行修复。</w:t>
      </w:r>
    </w:p>
    <w:p w14:paraId="15C0DEFB">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18.9试运行</w:t>
      </w:r>
    </w:p>
    <w:p w14:paraId="1B7F0BC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18.9.1除专用合同条款另有约定外，承包人应按规定进行工程及工程设备试运行，负责提供试运行所需的人员、器材和必要的条件，并承担全部试运行费用。</w:t>
      </w:r>
    </w:p>
    <w:p w14:paraId="6221372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29EF084">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18.10竣工（完工）清场</w:t>
      </w:r>
    </w:p>
    <w:p w14:paraId="6D0B864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18.10.1工程项目竣工（完工）清场的工作范围和内容在技术标准和要求（合同技术条款）中约定。</w:t>
      </w:r>
    </w:p>
    <w:p w14:paraId="3326AAD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18.10.2承包人未按监理人的要求恢复临时占地，或者场地清理未达到合同约定的，发包人有权委托其他人恢复或清理，所发生的金额从拟支付给承包人的款项中扣除。</w:t>
      </w:r>
    </w:p>
    <w:p w14:paraId="7DB21C3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18.11施工队伍的撤离</w:t>
      </w:r>
    </w:p>
    <w:p w14:paraId="0AFFF7E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04EC3018">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202" w:name="_Toc256773191"/>
      <w:r>
        <w:rPr>
          <w:rFonts w:hint="eastAsia" w:ascii="宋体" w:hAnsi="宋体" w:eastAsia="宋体" w:cs="宋体"/>
          <w:b/>
          <w:color w:val="auto"/>
          <w:sz w:val="24"/>
          <w:szCs w:val="24"/>
          <w:highlight w:val="none"/>
        </w:rPr>
        <w:t>19缺陷责任与保修责任</w:t>
      </w:r>
      <w:bookmarkEnd w:id="202"/>
    </w:p>
    <w:p w14:paraId="7A259EF7">
      <w:pPr>
        <w:pageBreakBefore w:val="0"/>
        <w:widowControl w:val="0"/>
        <w:kinsoku/>
        <w:wordWrap/>
        <w:topLinePunct w:val="0"/>
        <w:bidi w:val="0"/>
        <w:spacing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19.1缺陷责任期（工程质量保修期）的起算时间</w:t>
      </w:r>
    </w:p>
    <w:p w14:paraId="413DD80B">
      <w:pPr>
        <w:pageBreakBefore w:val="0"/>
        <w:widowControl w:val="0"/>
        <w:kinsoku/>
        <w:wordWrap/>
        <w:topLinePunct w:val="0"/>
        <w:bidi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208DB304">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19.2缺陷责任</w:t>
      </w:r>
    </w:p>
    <w:p w14:paraId="58E80D9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19.2.1承包人应在缺陷责任期内对</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交付使用的工程承担缺陷责任。</w:t>
      </w:r>
    </w:p>
    <w:p w14:paraId="3ACC0B9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19.2.2缺陷责任期内，发包人对</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接收使用的工程负责日常维护工作。发包人在使用过程中，发现</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接收的工程存在新的缺陷或已修复的缺陷部位或部件又遭损坏的，承包人应负责修复，直至检验合格为止。</w:t>
      </w:r>
    </w:p>
    <w:p w14:paraId="3DD00AF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监理人和承包人应共同查清缺陷和（或）损坏的原因。经查明属承包人原因造成的，应由承包人承担修复和查验的费用。经查验属发包人原因造成的，发包人应承担修复和查验的费用，并支付承包人合理利润。</w:t>
      </w:r>
    </w:p>
    <w:p w14:paraId="49F05F7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19.2.4承包人不能在合理时间内修复缺陷的，发包人可自行修复或委托其他人修复，所需费用和利润的承担，按第19.2.3项约定办理。</w:t>
      </w:r>
    </w:p>
    <w:p w14:paraId="7720CCC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19.3缺陷责任期的延长</w:t>
      </w:r>
    </w:p>
    <w:p w14:paraId="7B4A1E1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由于承包人原因造成某项缺陷或损坏使某项工程或工程设备不能按原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定目标使用而需要再次检查、检验和修复的，发包人有权要求承包人相应延长缺陷责任期，但缺陷责任期最长不超过2年。</w:t>
      </w:r>
    </w:p>
    <w:p w14:paraId="40B3964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19.4进一步试验和试运行</w:t>
      </w:r>
    </w:p>
    <w:p w14:paraId="1B8366F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任何一项缺陷或损坏修复后，经检查证明其影响了工程或工程设备的使用性能，承包人应重新进行合同约定的试验和试运行，试验和试运行的全部费用应由责任方承担。</w:t>
      </w:r>
    </w:p>
    <w:p w14:paraId="2BA2A18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19.5承包人的进入权</w:t>
      </w:r>
    </w:p>
    <w:p w14:paraId="23B4076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缺陷责任期内承包人为缺陷修复工作需要，有权进入工程现场，但应遵守发包人的保安和保密规定。</w:t>
      </w:r>
    </w:p>
    <w:p w14:paraId="1E467F95">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19.6缺陷责任期终止证书（工程质量保修责任终止证书）</w:t>
      </w:r>
    </w:p>
    <w:p w14:paraId="64A79DE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合同工程完工验收或投入使用验收后，发包人与承包人应办理工程交接手续，承包人应向发包人递交工程质量保修书。</w:t>
      </w:r>
    </w:p>
    <w:p w14:paraId="262B29FC">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缺陷责任期（工程质量保修期）满后30个工作日内，发包人应向承包人颁发工程质量保修责任终止证书，并退还剩余的质量保证金，但保修责任范围内的质量缺陷未处理完成的应除外。</w:t>
      </w:r>
    </w:p>
    <w:p w14:paraId="4AC6BB1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19.7保修责任</w:t>
      </w:r>
    </w:p>
    <w:p w14:paraId="716D9A7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2A9AAF67">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203" w:name="_Toc256773192"/>
      <w:r>
        <w:rPr>
          <w:rFonts w:hint="eastAsia" w:ascii="宋体" w:hAnsi="宋体" w:eastAsia="宋体" w:cs="宋体"/>
          <w:b/>
          <w:color w:val="auto"/>
          <w:sz w:val="24"/>
          <w:szCs w:val="24"/>
          <w:highlight w:val="none"/>
        </w:rPr>
        <w:t>20保险</w:t>
      </w:r>
      <w:bookmarkEnd w:id="203"/>
    </w:p>
    <w:p w14:paraId="42EB181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20.1工程保险</w:t>
      </w:r>
    </w:p>
    <w:p w14:paraId="447C38A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6060E03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20.2人员工伤事故的保险</w:t>
      </w:r>
    </w:p>
    <w:p w14:paraId="509FF0E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20.2.1承包人员工伤事故的保险</w:t>
      </w:r>
    </w:p>
    <w:p w14:paraId="2641E88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承包人应依照有关法律规定参加工伤保险，为其履行合同所雇佣的全部人员，缴纳工伤保险费，并要求其分包人也进行此项保险。</w:t>
      </w:r>
    </w:p>
    <w:p w14:paraId="36E45AC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20.2.2发包人员工伤事故的保险</w:t>
      </w:r>
    </w:p>
    <w:p w14:paraId="2B201D6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发包人应依照有关法律规定参加工伤保险，为其现场机构雇佣的全部人员，缴纳工伤保险费，并要求其监理人也进行此项保险。</w:t>
      </w:r>
    </w:p>
    <w:p w14:paraId="7C8D8703">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20.3人身意外伤害险</w:t>
      </w:r>
    </w:p>
    <w:p w14:paraId="43B37CF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20.3.1发包人应在整个施工期间为其现场机构雇用的全部人员，投保人身意外伤害险，缴纳保险费，并要求其监理人也进行此项保险。</w:t>
      </w:r>
    </w:p>
    <w:p w14:paraId="12EC51C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20.3.2承包人应在整个施工期间为其现场机构雇用的全部人员，投保人身意外伤害险，缴纳保险费，并要求其分包人也进行此项保险。</w:t>
      </w:r>
    </w:p>
    <w:p w14:paraId="33846B1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20.4第三者责任险</w:t>
      </w:r>
    </w:p>
    <w:p w14:paraId="2388D53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E72FBD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20.4.2在缺陷责任期终止证书颁发前，承包人应以承包人和发包人的共同名义，投保第20.4.1项约定的第三者责任险，其保险费率、保险金额等有关内容在专用合同条款中约定。</w:t>
      </w:r>
    </w:p>
    <w:p w14:paraId="08398C0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20.5其他保险</w:t>
      </w:r>
    </w:p>
    <w:p w14:paraId="05644B4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除专用合同条款另有约定外，承包人应为其施工设备、进场的材料和工程设备等办理保险。</w:t>
      </w:r>
    </w:p>
    <w:p w14:paraId="7BFC9CD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20.6对各项保险的一般要求</w:t>
      </w:r>
    </w:p>
    <w:p w14:paraId="042373B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20.6.1保险凭证</w:t>
      </w:r>
    </w:p>
    <w:p w14:paraId="7C2F42E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承包人应在专用合同条款约定的期限内向发包人提交各项保险生效的证据和保险单副本，保险单必须与专用合同条款约定的条件保持一致。</w:t>
      </w:r>
    </w:p>
    <w:p w14:paraId="4CC9A4C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20.6.2保险合同条款的变动</w:t>
      </w:r>
    </w:p>
    <w:p w14:paraId="4D8ED6B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承包人需要变动保险合同条款时，应事先征得发包人同意，并通知监理人。保险人作出变动的，承包人应在收到保险人通知后立即通知发包人和监理人。</w:t>
      </w:r>
    </w:p>
    <w:p w14:paraId="0609339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20.6.3持续保险</w:t>
      </w:r>
    </w:p>
    <w:p w14:paraId="69EDE9D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承包人应与保险人保持联系，使保险人能够随时了解工程实施中的变动，并确保按保险合同条款要求持续保险。</w:t>
      </w:r>
    </w:p>
    <w:p w14:paraId="51B8A5A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20.6.4保险金不足以补偿损失时，应由承包人和发包人各自负责补偿的范围和金额在专用合同条款中约定。</w:t>
      </w:r>
    </w:p>
    <w:p w14:paraId="258759E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20.6.5未按约定投保的补救</w:t>
      </w:r>
    </w:p>
    <w:p w14:paraId="134F1F8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（l）由于负有投保义务的一方当事人未按合同约定办理保险，或未能使保险持续有效的，另一方当事人可以代为办理，所需费用由对方当事人承担。</w:t>
      </w:r>
    </w:p>
    <w:p w14:paraId="577DABB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（2）由于负有投保义务的一方当事人未按合同约定办理某项保险，导致受益人未能得到保险人的赔偿，原应从该项保险得到的保险金应由负有投保义务的一方当事人支付。</w:t>
      </w:r>
    </w:p>
    <w:p w14:paraId="688650C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20.6.6报告义务</w:t>
      </w:r>
    </w:p>
    <w:p w14:paraId="0F2AB0D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当保险事故发生时，投保人应按照保险单规定的条件和期限及时向保险人报告。</w:t>
      </w:r>
    </w:p>
    <w:p w14:paraId="76F2D53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20.7风险责任的转移</w:t>
      </w:r>
    </w:p>
    <w:p w14:paraId="34D9487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工程通过合同工程完工验收并移交给发包人后：原本由承包人应承担的风险责任，以及保险的责任、权利和义务同时转移给发包人，但承包人在缺陷责任期（工程质量保修期）前造成损失和损坏情形除外。</w:t>
      </w:r>
    </w:p>
    <w:p w14:paraId="3AA01BD2">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204" w:name="_Toc256773193"/>
      <w:r>
        <w:rPr>
          <w:rFonts w:hint="eastAsia" w:ascii="宋体" w:hAnsi="宋体" w:eastAsia="宋体" w:cs="宋体"/>
          <w:b/>
          <w:color w:val="auto"/>
          <w:sz w:val="24"/>
          <w:szCs w:val="24"/>
          <w:highlight w:val="none"/>
        </w:rPr>
        <w:t>21不可抗力</w:t>
      </w:r>
      <w:bookmarkEnd w:id="204"/>
    </w:p>
    <w:p w14:paraId="14D3F61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21.1不可抗力的确认</w:t>
      </w:r>
    </w:p>
    <w:p w14:paraId="373AEB4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不可抗力是指承包人和发包人在订立合同时不可预见，在工程施工过程中不可避免发生并不能克服的自然灾害和社会性突发事件，如地震、海啸、瘟疫、水灾、骚乱、暴动、战争和专用合同条款约定的其他情形。</w:t>
      </w:r>
    </w:p>
    <w:p w14:paraId="10FA699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27A3D8B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21.2不可抗力的通知</w:t>
      </w:r>
    </w:p>
    <w:p w14:paraId="6E074E0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21.2.1合同一方当事人遇到不可抗力事件，使其履行合同义务受到阻碍时，应立即通知合同另一方当事人和监理人，书面说明不可抗力和受阻碍的详细情况，并提供必要的证明。</w:t>
      </w:r>
    </w:p>
    <w:p w14:paraId="49375CF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21.2.2如不可抗力持续发生，合同一方当事人应及时向合同另一方当事人和监理人提交中间报告，说明不可抗力和履行合同受阻的情况，并于不可抗力事件结束后28天内提交最终报告及有关资料。</w:t>
      </w:r>
    </w:p>
    <w:p w14:paraId="2911356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21.3不可抗力后果及其处理</w:t>
      </w:r>
    </w:p>
    <w:p w14:paraId="55F8339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21.3.1不可抗力造成损害的责任</w:t>
      </w:r>
    </w:p>
    <w:p w14:paraId="1CDE4FA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除专用合同条款另有约定外，不可抗力导致的人员伤亡、财产损失、费用增加和（或）工期延误等后果，由合同双方按以下原则承担：</w:t>
      </w:r>
    </w:p>
    <w:p w14:paraId="4B2B184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（1）永久工程，包括</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运至施工场地的材料和工程设备的损害，以及因工程损害造成的第三者人员伤亡和财产损失由发包人承担；</w:t>
      </w:r>
    </w:p>
    <w:p w14:paraId="12ADB60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（2）承包人设备的损坏由承包人承担；</w:t>
      </w:r>
    </w:p>
    <w:p w14:paraId="39D2CAF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（3）发包人和承包人各自承担其人员伤亡和其他财产损失及其相关费用；</w:t>
      </w:r>
    </w:p>
    <w:p w14:paraId="6813871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（4）承包人的停工损失由承包人承担，但停工期间应监理人要求照管工程和清理、修复工程的金额由发包人承担；</w:t>
      </w:r>
    </w:p>
    <w:p w14:paraId="6356333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（5）不能按期竣工的，应合理延长工期，承包人不需支付逾期竣工违约金。发包人要求赶工的，承包人应采取赶工措施，赶工费用由发包人承担。</w:t>
      </w:r>
    </w:p>
    <w:p w14:paraId="4A64284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21.3.2延迟履行期间发生的不可抗力</w:t>
      </w:r>
    </w:p>
    <w:p w14:paraId="1B5615E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合同一方当事人延迟履行，在延迟履行期间发生不可抗力的，不免除其责任。</w:t>
      </w:r>
    </w:p>
    <w:p w14:paraId="5A489F9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21.3.3避免和减少不可抗力损失</w:t>
      </w:r>
    </w:p>
    <w:p w14:paraId="4C12309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不可抗力发生后，发包人和承包人均应采取措施尽量避免和减少损失的扩大，任何一方没有采取有效措施导致损失扩大的，应对扩大的损失承担责任。</w:t>
      </w:r>
    </w:p>
    <w:p w14:paraId="7281027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21.3.4因不可抗力解除合同</w:t>
      </w:r>
    </w:p>
    <w:p w14:paraId="11FA01D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3106689">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205" w:name="_Toc256773194"/>
      <w:r>
        <w:rPr>
          <w:rFonts w:hint="eastAsia" w:ascii="宋体" w:hAnsi="宋体" w:eastAsia="宋体" w:cs="宋体"/>
          <w:b/>
          <w:color w:val="auto"/>
          <w:sz w:val="24"/>
          <w:szCs w:val="24"/>
          <w:highlight w:val="none"/>
        </w:rPr>
        <w:t>22违约</w:t>
      </w:r>
      <w:bookmarkEnd w:id="205"/>
    </w:p>
    <w:p w14:paraId="36D9C73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22.1承包人违约</w:t>
      </w:r>
    </w:p>
    <w:p w14:paraId="6A7EE353">
      <w:pPr>
        <w:pageBreakBefore w:val="0"/>
        <w:widowControl w:val="0"/>
        <w:kinsoku/>
        <w:wordWrap/>
        <w:topLinePunct w:val="0"/>
        <w:bidi w:val="0"/>
        <w:spacing w:line="420" w:lineRule="exact"/>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22.1.1承包人违约的情形</w:t>
      </w:r>
    </w:p>
    <w:p w14:paraId="5E14DAB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在履行合同过程中发生的下列情况属承包人违约：</w:t>
      </w:r>
    </w:p>
    <w:p w14:paraId="2C9BBD6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（1）承包人违反第1.8款或第4.3款的约定，私自将合同的全部或部分权利转让给其他人，或私自将合同的全部或部分义务转移给其他人；</w:t>
      </w:r>
    </w:p>
    <w:p w14:paraId="032BD31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（2）承包人违反第5.3款或第6.4款的约定，未经监理人批准，私自将已按合同约定进入施工场地的施工设备、临时设施或材料撤离施工场地；</w:t>
      </w:r>
    </w:p>
    <w:p w14:paraId="2E87DB0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（3）承包人违反第5．4款的约定使用了不合格材料或工程设备，工程质量达不到标准要求，又拒绝清除不合格工程；</w:t>
      </w:r>
    </w:p>
    <w:p w14:paraId="0CFC127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（4）承包人未能按合同进度计划及时完成合同约定的工作，已造成或预期造成工期延误；</w:t>
      </w:r>
    </w:p>
    <w:p w14:paraId="0E4E311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（5）承包人在缺陷责任期（工程质量保修期）内，未能对合同工程完工验收鉴定书所列的缺陷清单的内容或缺陷责任期（工程质量保修期）内发生的缺陷进行修复，而又拒绝按监理人指示再进行修补；</w:t>
      </w:r>
    </w:p>
    <w:p w14:paraId="4169F7C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（6）承包人无法继续履行或明确表示不履行或实质上已停止履行合同；</w:t>
      </w:r>
    </w:p>
    <w:p w14:paraId="6FC44C8E">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（7）承包人不按合同约定履行义务的其他情况。</w:t>
      </w:r>
    </w:p>
    <w:p w14:paraId="64E2FC9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22.1.2对承包人违约的处理</w:t>
      </w:r>
    </w:p>
    <w:p w14:paraId="5110584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（l）承包人发生第22.1.1（6）目约定的违约情况时，发包人可通知承包人立即解除合同，并按有关法律处理。</w:t>
      </w:r>
    </w:p>
    <w:p w14:paraId="02BB31F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（2）承包人发生除第22.1.1（6）目约定以外的其他违约情况时，监理人可向承包人发出整改通知，要求其在指定的期限内改正。承包人应承担其违约所引起的费用增加和（或）工期延误。</w:t>
      </w:r>
    </w:p>
    <w:p w14:paraId="15F733E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（3）经检查证明承包人已采取了有效措施纠正违约行为，具备复工条件的，可由监理人签发复工通知复工。</w:t>
      </w:r>
    </w:p>
    <w:p w14:paraId="729671A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22.1.3承包人违约解除合同</w:t>
      </w:r>
    </w:p>
    <w:p w14:paraId="77B5EAD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04721A6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22.1.4合同解除后的估价、付款和结清</w:t>
      </w:r>
    </w:p>
    <w:p w14:paraId="71CCAB5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（1）合同解除后，监理人按第3.5款商定或确定承包人实际完成工作的价值，以及承包人</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提供的材料、施工设备、工程设备和临时工程等的价值。</w:t>
      </w:r>
    </w:p>
    <w:p w14:paraId="7CBFC4E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（2）合同解除后，发包人应暂停对承包人的一切付款，查清各项付款和</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扣款金额，包括承包人应支付的违约金。</w:t>
      </w:r>
    </w:p>
    <w:p w14:paraId="0EA434A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（3）合同解除后，发包人应按第23.4款的约定向承包人索赔由于解除合同给发包人造成的损失。</w:t>
      </w:r>
    </w:p>
    <w:p w14:paraId="4AE698F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（4）合同双方确认上述往来款项后，出具最终结清付款证书，结清全部合同款项。</w:t>
      </w:r>
    </w:p>
    <w:p w14:paraId="1C377B0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（5）发包人和承包人未能就解除合同后的结清达成一致而形成争议的，按第24条的约定办理。</w:t>
      </w:r>
    </w:p>
    <w:p w14:paraId="4AB462D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22.1.5协议利益的转让</w:t>
      </w:r>
    </w:p>
    <w:p w14:paraId="65A9032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因承包人违约解除合同的，发包人有权要求承包人将其为实施合同而签订的材料和设备的订货协议或任何服务协议利益转让给发包人，并在解除合同后的14天内，依法办理转让手续。</w:t>
      </w:r>
    </w:p>
    <w:p w14:paraId="11D4B2E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22.1.6紧急情况下无能力或不愿进行抢救</w:t>
      </w:r>
    </w:p>
    <w:p w14:paraId="249FB45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CF5BED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22.2发包人违约</w:t>
      </w:r>
    </w:p>
    <w:p w14:paraId="06C2C7B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22.2.1发包人违约的情形</w:t>
      </w:r>
    </w:p>
    <w:p w14:paraId="26371E1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在履行合同过程中发生的下列情形，属发包人违约：</w:t>
      </w:r>
    </w:p>
    <w:p w14:paraId="4A7407E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（l）发包人未能按合同约定支付预付款或合同价款，或拖延、拒绝批准付款申请和支付凭证，导致付款延误的；</w:t>
      </w:r>
    </w:p>
    <w:p w14:paraId="78CDFCF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（2）发包人原因造成停工的；</w:t>
      </w:r>
    </w:p>
    <w:p w14:paraId="33FE879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（3）监理人无正当理由没有在约定期限内发出复工指示，导致承包人无法复工的；</w:t>
      </w:r>
    </w:p>
    <w:p w14:paraId="54EA480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（4）发包人无法继续履行或明确表示不履行或实质上已停止履行合同的；</w:t>
      </w:r>
    </w:p>
    <w:p w14:paraId="628C7D0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（5）发包人不履行合同约定其他义务的。</w:t>
      </w:r>
    </w:p>
    <w:p w14:paraId="058F4EC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22.2.2承包人有权暂停施工</w:t>
      </w:r>
    </w:p>
    <w:p w14:paraId="15BFBA5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681287D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22.2.3发包人违约解除合同</w:t>
      </w:r>
    </w:p>
    <w:p w14:paraId="653651A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（1）发生第22.2.1（4）目的违约情况时，承包人可书面通知发包人解除合同。</w:t>
      </w:r>
    </w:p>
    <w:p w14:paraId="1AD8C25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295EDA1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22.2.4解除合同后的付款</w:t>
      </w:r>
    </w:p>
    <w:p w14:paraId="31982D9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因发包人违约解除合同的，发包人应在解除合同后28天内向承包人支付下列金额，承包人应在此期限内及时向发包人提交要求支付下列金额的有关资料和凭证：</w:t>
      </w:r>
    </w:p>
    <w:p w14:paraId="477D4AD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（l）合同解除日以前所完成工作的价款；</w:t>
      </w:r>
    </w:p>
    <w:p w14:paraId="461AADF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（2）承包人为该工程施工订购并已付款的材料、工程设备和其他物品的金额。发包人付还后，该材料、工程设备和其他物品归发包人所有；</w:t>
      </w:r>
    </w:p>
    <w:p w14:paraId="75271BA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（3）承包人为完成工程所发生的，而发包人未支付的金额；</w:t>
      </w:r>
    </w:p>
    <w:p w14:paraId="6DCEFB3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（4）承包人撤离施工场地以及遣散承包人人员的金额；</w:t>
      </w:r>
    </w:p>
    <w:p w14:paraId="6FEBD32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（5）由于解除合同应赔偿的承包人损失；</w:t>
      </w:r>
    </w:p>
    <w:p w14:paraId="2270D57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（6）按合同约定在合同解除日前应支付给承包人的其他金额。</w:t>
      </w:r>
    </w:p>
    <w:p w14:paraId="4663BB2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发包人应按本项约定支付上述金额并退还质量保证金和履约担保，但有权要求承包人支付应偿还给发包人的各项金额。</w:t>
      </w:r>
    </w:p>
    <w:p w14:paraId="71B8BB0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22.2.5解除合同后的承包人撤离</w:t>
      </w:r>
    </w:p>
    <w:p w14:paraId="42C0601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因发包人违约而解除合同后，承包人应妥善做好已竣工工程和</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购材料、设备的保护和移交工作，按发包人要求将承包人设备和人员撤出施工场地。承包人撤出施工场地应遵守第18.7.1项的约定，发包人应为承包人撤出提供必要条件。</w:t>
      </w:r>
    </w:p>
    <w:p w14:paraId="520AAECF">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22.3第三人造成的违约</w:t>
      </w:r>
    </w:p>
    <w:p w14:paraId="3B06A4F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14:paraId="1B47113B">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206" w:name="_Toc256773195"/>
      <w:r>
        <w:rPr>
          <w:rFonts w:hint="eastAsia" w:ascii="宋体" w:hAnsi="宋体" w:eastAsia="宋体" w:cs="宋体"/>
          <w:b/>
          <w:color w:val="auto"/>
          <w:sz w:val="24"/>
          <w:szCs w:val="24"/>
          <w:highlight w:val="none"/>
        </w:rPr>
        <w:t>23索赔</w:t>
      </w:r>
      <w:bookmarkEnd w:id="206"/>
    </w:p>
    <w:p w14:paraId="50B52F2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23.1承包人索赔的提出</w:t>
      </w:r>
    </w:p>
    <w:p w14:paraId="19B4F59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根据合同约定，承包人认为有权得到追加付款和（或）延长工期的，应按以下程序向发包人提出索赔：</w:t>
      </w:r>
    </w:p>
    <w:p w14:paraId="335ED02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（l）承包人应在知道或应当知道索赔事件发生后28天内，向监理人递交索赔意向通知书，并说明发生索赔事件的事由。承包人未在前述28天内发出索赔意向通知书的，丧失要求追加付款和（或）延长工期的权利：</w:t>
      </w:r>
    </w:p>
    <w:p w14:paraId="65A6EA0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6B9E6E5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（3）索赔事件具有连续影响的，承包人应按合理时间间隔继续递交延续索赔通知，说明连续影响的实际情况和记录，列出累计的追加付款金额和（或）工期延长天数；</w:t>
      </w:r>
    </w:p>
    <w:p w14:paraId="55458BC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（4）在索赔事件影响结束后的28天内，承包人应向监理人递交最终索赔通知书，说明最终要求索赔的追加付款金额和延长的工期，并附必要的记录和证明材料。</w:t>
      </w:r>
    </w:p>
    <w:p w14:paraId="68AF788F">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23.2承包人索赔处理程序</w:t>
      </w:r>
    </w:p>
    <w:p w14:paraId="7941FFE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（1）监理人收到承包人提交的索赔通知书后，应及时审查索赔通知书的内容、查验承包人的记录和证明材料，必要时监理人可要求承包人提交全部原始记录副本。</w:t>
      </w:r>
    </w:p>
    <w:p w14:paraId="17EA549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（2）监理人应按第3.5款商定或确定追加的付款和（或）延长的工期，并在收到上述索赔通知书或有关索赔的进一步证明材料后的42天内，将索赔处理结果答复承包人。</w:t>
      </w:r>
    </w:p>
    <w:p w14:paraId="71192E4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（3）承包人接受索赔处理结果的，发包人应在作出索赔处理结果答复后28天内完成赔付。承包人不接受索赔处理结果的，按第24条的约定办理。</w:t>
      </w:r>
    </w:p>
    <w:p w14:paraId="5422DCCF">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23.3承包人提出索赔的期限</w:t>
      </w:r>
    </w:p>
    <w:p w14:paraId="620AE4A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23.3.1承包人按第17.5款的约定接受了完工付款证书后，应被认为已无权再提出在合同工程完工证书颁发前所发生的任何索赔。</w:t>
      </w:r>
    </w:p>
    <w:p w14:paraId="3123189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23.3.2承包人按第17.6款的约定提交的最终结清申请单中，只限于提出合同工程完工证书颁发后发生的索赔。提出索赔的期限自接受最终结清证书时终止。</w:t>
      </w:r>
    </w:p>
    <w:p w14:paraId="4199773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23.4发包人的索赔</w:t>
      </w:r>
    </w:p>
    <w:p w14:paraId="1032C97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23.4.1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C010F1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23.4.2监理人按第3.5款商定或确定发包人从承包人处得到赔付的金额和（或）缺陷责任期的延长期。承包人应付给发包人的金额可从拟支付给承包人的合同价款中扣除，或由承包人以其他方式支付给发包人。</w:t>
      </w:r>
    </w:p>
    <w:p w14:paraId="4BA8791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23.4.3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7A4E7A">
      <w:pPr>
        <w:pageBreakBefore w:val="0"/>
        <w:widowControl w:val="0"/>
        <w:kinsoku/>
        <w:wordWrap/>
        <w:topLinePunct w:val="0"/>
        <w:bidi w:val="0"/>
        <w:spacing w:line="420" w:lineRule="exact"/>
        <w:outlineLvl w:val="2"/>
        <w:rPr>
          <w:rFonts w:hint="eastAsia" w:ascii="宋体" w:hAnsi="宋体" w:eastAsia="宋体" w:cs="宋体"/>
          <w:b/>
          <w:color w:val="auto"/>
          <w:sz w:val="24"/>
          <w:szCs w:val="24"/>
          <w:highlight w:val="none"/>
        </w:rPr>
      </w:pPr>
      <w:bookmarkStart w:id="207" w:name="_Toc256773196"/>
      <w:r>
        <w:rPr>
          <w:rFonts w:hint="eastAsia" w:ascii="宋体" w:hAnsi="宋体" w:eastAsia="宋体" w:cs="宋体"/>
          <w:b/>
          <w:color w:val="auto"/>
          <w:sz w:val="24"/>
          <w:szCs w:val="24"/>
          <w:highlight w:val="none"/>
        </w:rPr>
        <w:t>24争议的解决</w:t>
      </w:r>
      <w:bookmarkEnd w:id="207"/>
    </w:p>
    <w:p w14:paraId="59C5A5E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24.1争议的解决方式</w:t>
      </w:r>
    </w:p>
    <w:p w14:paraId="13D40BE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A3C026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（l）向约定的仲裁委员会申请仲裁；</w:t>
      </w:r>
    </w:p>
    <w:p w14:paraId="795C92A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（2）向有管辖权的人民法院提起诉讼。</w:t>
      </w:r>
    </w:p>
    <w:p w14:paraId="31F9F98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24.2友好解决</w:t>
      </w:r>
    </w:p>
    <w:p w14:paraId="534F92A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在提请争议评审、仲裁或者诉讼前，以及在争议评审、仲裁或诉讼过程中，发包人和承包人均可共同努力友好协商解决争议。</w:t>
      </w:r>
    </w:p>
    <w:p w14:paraId="450D216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24.3争议评审</w:t>
      </w:r>
    </w:p>
    <w:p w14:paraId="3B8B26E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24.3.1采用争议评审的，发包人和承包人应在开工日后的28天内或在争议发生后，协商成立争议评审组。争议评审组由有合同管理和工程实践经验的专家组成。</w:t>
      </w:r>
    </w:p>
    <w:p w14:paraId="2EF40A8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24.3.2合同双方的争议，应首先由申请人向争议评审组提交一份详细的评审申请报告，并附必要的文件、图纸和证明材料，申请人还应将上述报告的副本同时提交给被申请人和监理人。</w:t>
      </w:r>
    </w:p>
    <w:p w14:paraId="46D879F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24.3.3被申请人在收到申请人评审申请报告副本后的28天内，向争议评审组提交一份答辩报告，并附证明材料。被申请人应将答辩报告的副本同时提交给申请人和监理人。</w:t>
      </w:r>
    </w:p>
    <w:p w14:paraId="296888C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24.3.4除专用合同条款另有约定外，争议评审组在收到合同双方报告后的14天内，邀请双方代表和有关人员举行调查会，向双方调查争议细节；必要时争议评审组可要求双方进一步提供补充材料。</w:t>
      </w:r>
    </w:p>
    <w:p w14:paraId="608DF64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47A0979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24.3.6发包人和承包人接受评审意见的，由监理人根据评审意见拟定执行协议，经争议双方签字后作为合同的补充文件，并遵照执行。</w:t>
      </w:r>
    </w:p>
    <w:p w14:paraId="5704063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24.3.7发包人或承包人不接受评审意见，并要求提交仲裁或提起诉讼的，应在收到评审意见后的14天内将仲裁或起诉意向书面通知另一方，并抄送监理人，但在仲裁或诉讼结束前应暂按总监理工程师的确定执行。</w:t>
      </w:r>
    </w:p>
    <w:p w14:paraId="3FFF8B1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24.4仲裁</w:t>
      </w:r>
    </w:p>
    <w:p w14:paraId="4D4EA4F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24.4.1若合同双方商定直接向仲裁机构申请仲裁，应签订仲裁协议并约定仲裁机构。</w:t>
      </w:r>
    </w:p>
    <w:p w14:paraId="58D4803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24.4.2若合同双方未能达成仲裁协议，则本合同的仲裁条款无效，任一方均有权向人民法院提起诉讼。</w:t>
      </w:r>
    </w:p>
    <w:p w14:paraId="3C342817">
      <w:pPr>
        <w:pStyle w:val="3"/>
        <w:keepNext/>
        <w:keepLines/>
        <w:pageBreakBefore w:val="0"/>
        <w:widowControl w:val="0"/>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color w:val="auto"/>
          <w:sz w:val="28"/>
          <w:szCs w:val="28"/>
        </w:rPr>
      </w:pPr>
      <w:bookmarkStart w:id="208" w:name="_Toc15962"/>
      <w:r>
        <w:rPr>
          <w:rFonts w:hint="eastAsia" w:ascii="宋体" w:hAnsi="宋体" w:eastAsia="宋体" w:cs="宋体"/>
          <w:color w:val="auto"/>
          <w:sz w:val="21"/>
          <w:szCs w:val="21"/>
          <w:highlight w:val="none"/>
        </w:rPr>
        <w:br w:type="page"/>
      </w:r>
      <w:bookmarkStart w:id="209" w:name="_Toc6826"/>
      <w:r>
        <w:rPr>
          <w:rFonts w:hint="eastAsia" w:ascii="宋体" w:hAnsi="宋体" w:eastAsia="宋体" w:cs="宋体"/>
          <w:color w:val="auto"/>
          <w:sz w:val="28"/>
          <w:szCs w:val="28"/>
        </w:rPr>
        <w:t>第2节</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专用合同条款</w:t>
      </w:r>
      <w:bookmarkEnd w:id="208"/>
      <w:bookmarkEnd w:id="209"/>
    </w:p>
    <w:p w14:paraId="14A104C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10" w:name="_Toc256773198"/>
      <w:r>
        <w:rPr>
          <w:rFonts w:hint="eastAsia" w:ascii="宋体" w:hAnsi="宋体" w:eastAsia="宋体" w:cs="宋体"/>
          <w:b/>
          <w:color w:val="auto"/>
          <w:sz w:val="24"/>
          <w:szCs w:val="24"/>
          <w:highlight w:val="none"/>
        </w:rPr>
        <w:t>1一般约定</w:t>
      </w:r>
      <w:bookmarkEnd w:id="210"/>
    </w:p>
    <w:p w14:paraId="7E73DB0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1.1词语定义</w:t>
      </w:r>
    </w:p>
    <w:p w14:paraId="7C793362">
      <w:pPr>
        <w:pageBreakBefore w:val="0"/>
        <w:widowControl w:val="0"/>
        <w:kinsoku/>
        <w:wordWrap/>
        <w:topLinePunct w:val="0"/>
        <w:bidi w:val="0"/>
        <w:spacing w:line="42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1.1.2</w:t>
      </w:r>
      <w:r>
        <w:rPr>
          <w:rFonts w:hint="eastAsia" w:ascii="宋体" w:hAnsi="宋体" w:eastAsia="宋体" w:cs="宋体"/>
          <w:color w:val="auto"/>
          <w:sz w:val="24"/>
          <w:szCs w:val="24"/>
          <w:highlight w:val="none"/>
        </w:rPr>
        <w:t>合同当事人和人员</w:t>
      </w:r>
    </w:p>
    <w:p w14:paraId="6A66E7B2">
      <w:pPr>
        <w:pageBreakBefore w:val="0"/>
        <w:widowControl w:val="0"/>
        <w:kinsoku/>
        <w:wordWrap/>
        <w:topLinePunct w:val="0"/>
        <w:bidi w:val="0"/>
        <w:spacing w:line="42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1.1.2.2</w:t>
      </w: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u w:val="single"/>
          <w:lang w:eastAsia="zh-CN"/>
        </w:rPr>
        <w:t>韶关市武江区江湾镇人民政府</w:t>
      </w:r>
      <w:r>
        <w:rPr>
          <w:rFonts w:hint="eastAsia" w:ascii="宋体" w:hAnsi="宋体" w:eastAsia="宋体" w:cs="宋体"/>
          <w:color w:val="auto"/>
          <w:sz w:val="24"/>
          <w:szCs w:val="24"/>
          <w:highlight w:val="none"/>
          <w:u w:val="single"/>
        </w:rPr>
        <w:t>。</w:t>
      </w:r>
    </w:p>
    <w:p w14:paraId="6A6FC4C2">
      <w:pPr>
        <w:pageBreakBefore w:val="0"/>
        <w:widowControl w:val="0"/>
        <w:kinsoku/>
        <w:wordWrap/>
        <w:topLinePunct w:val="0"/>
        <w:bidi w:val="0"/>
        <w:spacing w:line="42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1.1.2.3</w:t>
      </w: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u w:val="single"/>
        </w:rPr>
        <w:t>（签约后填入承包人的名称）</w:t>
      </w:r>
      <w:r>
        <w:rPr>
          <w:rFonts w:hint="eastAsia" w:ascii="宋体" w:hAnsi="宋体" w:eastAsia="宋体" w:cs="宋体"/>
          <w:color w:val="auto"/>
          <w:sz w:val="24"/>
          <w:szCs w:val="24"/>
          <w:highlight w:val="none"/>
        </w:rPr>
        <w:t>。</w:t>
      </w:r>
    </w:p>
    <w:p w14:paraId="5A71D034">
      <w:pPr>
        <w:pageBreakBefore w:val="0"/>
        <w:widowControl w:val="0"/>
        <w:kinsoku/>
        <w:wordWrap/>
        <w:topLinePunct w:val="0"/>
        <w:bidi w:val="0"/>
        <w:spacing w:line="42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1.1.2.5</w:t>
      </w:r>
      <w:r>
        <w:rPr>
          <w:rFonts w:hint="eastAsia" w:ascii="宋体" w:hAnsi="宋体" w:eastAsia="宋体" w:cs="宋体"/>
          <w:color w:val="auto"/>
          <w:sz w:val="24"/>
          <w:szCs w:val="24"/>
          <w:highlight w:val="none"/>
        </w:rPr>
        <w:t>分包人：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8337C03">
      <w:pPr>
        <w:pageBreakBefore w:val="0"/>
        <w:widowControl w:val="0"/>
        <w:kinsoku/>
        <w:wordWrap/>
        <w:topLinePunct w:val="0"/>
        <w:bidi w:val="0"/>
        <w:spacing w:line="42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1.1.2.6</w:t>
      </w:r>
      <w:r>
        <w:rPr>
          <w:rFonts w:hint="eastAsia" w:ascii="宋体" w:hAnsi="宋体" w:eastAsia="宋体" w:cs="宋体"/>
          <w:color w:val="auto"/>
          <w:sz w:val="24"/>
          <w:szCs w:val="24"/>
          <w:highlight w:val="none"/>
        </w:rPr>
        <w:t>监理人：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C9DC7DD">
      <w:pPr>
        <w:pageBreakBefore w:val="0"/>
        <w:widowControl w:val="0"/>
        <w:kinsoku/>
        <w:wordWrap/>
        <w:topLinePunct w:val="0"/>
        <w:bidi w:val="0"/>
        <w:spacing w:line="420" w:lineRule="exact"/>
        <w:ind w:firstLine="472" w:firstLineChars="196"/>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1.1.4</w:t>
      </w:r>
      <w:r>
        <w:rPr>
          <w:rFonts w:hint="eastAsia" w:ascii="宋体" w:hAnsi="宋体" w:eastAsia="宋体" w:cs="宋体"/>
          <w:color w:val="auto"/>
          <w:sz w:val="24"/>
          <w:szCs w:val="24"/>
          <w:highlight w:val="none"/>
        </w:rPr>
        <w:t>日期</w:t>
      </w:r>
    </w:p>
    <w:p w14:paraId="644C26AB">
      <w:pPr>
        <w:pageBreakBefore w:val="0"/>
        <w:widowControl w:val="0"/>
        <w:kinsoku/>
        <w:wordWrap/>
        <w:topLinePunct w:val="0"/>
        <w:bidi w:val="0"/>
        <w:spacing w:line="42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1.1.4.3</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B352BBE">
      <w:pPr>
        <w:pageBreakBefore w:val="0"/>
        <w:widowControl w:val="0"/>
        <w:kinsoku/>
        <w:wordWrap/>
        <w:topLinePunct w:val="0"/>
        <w:bidi w:val="0"/>
        <w:spacing w:line="420" w:lineRule="exact"/>
        <w:ind w:firstLine="472" w:firstLineChars="196"/>
        <w:rPr>
          <w:rFonts w:hint="eastAsia" w:ascii="宋体" w:hAnsi="宋体" w:eastAsia="宋体" w:cs="宋体"/>
          <w:color w:val="auto"/>
          <w:sz w:val="24"/>
          <w:szCs w:val="24"/>
          <w:highlight w:val="none"/>
          <w:u w:val="none"/>
          <w:lang w:val="en-US" w:eastAsia="zh-CN"/>
        </w:rPr>
      </w:pPr>
      <w:r>
        <w:rPr>
          <w:rFonts w:hint="eastAsia" w:ascii="宋体" w:hAnsi="宋体" w:eastAsia="宋体" w:cs="宋体"/>
          <w:b/>
          <w:color w:val="auto"/>
          <w:sz w:val="24"/>
          <w:szCs w:val="24"/>
          <w:highlight w:val="none"/>
        </w:rPr>
        <w:t>1.1.4.5</w:t>
      </w:r>
      <w:r>
        <w:rPr>
          <w:rFonts w:hint="eastAsia" w:ascii="宋体" w:hAnsi="宋体" w:eastAsia="宋体" w:cs="宋体"/>
          <w:color w:val="auto"/>
          <w:sz w:val="24"/>
          <w:szCs w:val="24"/>
          <w:highlight w:val="none"/>
        </w:rPr>
        <w:t>缺陷责任期（工程质量保修期）：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 xml:space="preserve">    </w:t>
      </w:r>
    </w:p>
    <w:p w14:paraId="73F36C0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1.4合同文件的优先顺序</w:t>
      </w:r>
    </w:p>
    <w:p w14:paraId="0301378D">
      <w:pPr>
        <w:pageBreakBefore w:val="0"/>
        <w:widowControl w:val="0"/>
        <w:kinsoku/>
        <w:wordWrap/>
        <w:topLinePunct w:val="0"/>
        <w:bidi w:val="0"/>
        <w:spacing w:line="4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进入合同文件的各项文件及其优先顺序是：</w:t>
      </w:r>
    </w:p>
    <w:p w14:paraId="2659430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（1）协议书（包括补充协议）；</w:t>
      </w:r>
    </w:p>
    <w:p w14:paraId="4655E3C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（2）中标通知书；</w:t>
      </w:r>
    </w:p>
    <w:p w14:paraId="058A59F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（3）投标函；</w:t>
      </w:r>
    </w:p>
    <w:p w14:paraId="03520A9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（4）专用合同条款；</w:t>
      </w:r>
    </w:p>
    <w:p w14:paraId="6F8CCB8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（5）通用合同条款；</w:t>
      </w:r>
    </w:p>
    <w:p w14:paraId="22AFE39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（6）技术条款；</w:t>
      </w:r>
    </w:p>
    <w:p w14:paraId="675CD56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（7）图纸</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val="zh-CN"/>
        </w:rPr>
        <w:t>；</w:t>
      </w:r>
    </w:p>
    <w:p w14:paraId="0D91A9C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（8）已标价的工程量清单；</w:t>
      </w:r>
    </w:p>
    <w:p w14:paraId="44F4E97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（9）投标文件中的投标辅助资料及施工组织设计文件；</w:t>
      </w:r>
    </w:p>
    <w:p w14:paraId="46626D6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（10）经双方确认进入合同的其他文件。</w:t>
      </w:r>
    </w:p>
    <w:p w14:paraId="37663C2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1.7联络</w:t>
      </w:r>
    </w:p>
    <w:p w14:paraId="0D5DA86E">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1.7.2来往函件均应按照技术标准和要求（合同技术条款）约定的期限送达</w:t>
      </w:r>
      <w:r>
        <w:rPr>
          <w:rFonts w:hint="eastAsia" w:ascii="宋体" w:hAnsi="宋体" w:eastAsia="宋体" w:cs="宋体"/>
          <w:color w:val="auto"/>
          <w:sz w:val="24"/>
          <w:szCs w:val="24"/>
          <w:highlight w:val="none"/>
          <w:lang w:val="zh-CN"/>
        </w:rPr>
        <w:t>韶关市武江区江湾镇人民政府</w:t>
      </w:r>
      <w:r>
        <w:rPr>
          <w:rFonts w:hint="eastAsia" w:ascii="宋体" w:hAnsi="宋体" w:eastAsia="宋体" w:cs="宋体"/>
          <w:color w:val="auto"/>
          <w:sz w:val="24"/>
          <w:szCs w:val="24"/>
          <w:highlight w:val="none"/>
        </w:rPr>
        <w:t>。</w:t>
      </w:r>
    </w:p>
    <w:p w14:paraId="3EB0D5A5">
      <w:pPr>
        <w:pageBreakBefore w:val="0"/>
        <w:widowControl w:val="0"/>
        <w:kinsoku/>
        <w:wordWrap/>
        <w:topLinePunct w:val="0"/>
        <w:bidi w:val="0"/>
        <w:spacing w:after="120" w:line="42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1.13工程量清单错误的修正（增加）</w:t>
      </w:r>
    </w:p>
    <w:p w14:paraId="3F22B25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结算时统一调整。</w:t>
      </w:r>
    </w:p>
    <w:p w14:paraId="4F65931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未按照国家现行计量规范强制性规定计量的，按规定按实计量；固定综合单价合同，工程量按实结算。</w:t>
      </w:r>
    </w:p>
    <w:p w14:paraId="50FD7A9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11" w:name="_Toc256773199"/>
      <w:bookmarkStart w:id="212" w:name="_Toc256773207"/>
      <w:r>
        <w:rPr>
          <w:rFonts w:hint="eastAsia" w:ascii="宋体" w:hAnsi="宋体" w:eastAsia="宋体" w:cs="宋体"/>
          <w:b/>
          <w:color w:val="auto"/>
          <w:sz w:val="24"/>
          <w:szCs w:val="24"/>
          <w:highlight w:val="none"/>
        </w:rPr>
        <w:t>2发包人义务</w:t>
      </w:r>
      <w:bookmarkEnd w:id="211"/>
    </w:p>
    <w:p w14:paraId="58A9051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2.3提供施工场地</w:t>
      </w:r>
    </w:p>
    <w:p w14:paraId="4BAB999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2.3.2发包人提供的施工场地范围为：提供的用地范围和时限在签署协议书时商定。如发包方因未能及时移交施工用地，造成工期延误，仅负责工期顺延，不给予经济补偿。</w:t>
      </w:r>
    </w:p>
    <w:p w14:paraId="33EE14B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承包人自行勘察的施工场地范围为：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7BE8975">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2.8其他义务</w:t>
      </w:r>
    </w:p>
    <w:p w14:paraId="6B768CF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125EC62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13" w:name="_Toc256773200"/>
      <w:r>
        <w:rPr>
          <w:rFonts w:hint="eastAsia" w:ascii="宋体" w:hAnsi="宋体" w:eastAsia="宋体" w:cs="宋体"/>
          <w:b/>
          <w:color w:val="auto"/>
          <w:sz w:val="24"/>
          <w:szCs w:val="24"/>
          <w:highlight w:val="none"/>
        </w:rPr>
        <w:t>3监理人</w:t>
      </w:r>
      <w:bookmarkEnd w:id="213"/>
    </w:p>
    <w:p w14:paraId="45A67C8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3.1监理人的职责和权力</w:t>
      </w:r>
    </w:p>
    <w:p w14:paraId="6AE17CC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3.1.1监理人须根据发包人事先批准的权力范围行使权力：发包人批准的权力范围：</w:t>
      </w:r>
    </w:p>
    <w:p w14:paraId="152888C4">
      <w:pPr>
        <w:pageBreakBefore w:val="0"/>
        <w:widowControl w:val="0"/>
        <w:kinsoku/>
        <w:wordWrap/>
        <w:topLinePunct w:val="0"/>
        <w:bidi w:val="0"/>
        <w:spacing w:line="420" w:lineRule="exact"/>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（1）按规定，批准工程的</w:t>
      </w:r>
      <w:r>
        <w:rPr>
          <w:rFonts w:hint="eastAsia" w:ascii="宋体" w:hAnsi="宋体" w:eastAsia="宋体" w:cs="宋体"/>
          <w:color w:val="auto"/>
          <w:sz w:val="24"/>
          <w:szCs w:val="24"/>
          <w:highlight w:val="none"/>
        </w:rPr>
        <w:t>开工、暂停施工</w:t>
      </w:r>
      <w:r>
        <w:rPr>
          <w:rFonts w:hint="eastAsia" w:ascii="宋体" w:hAnsi="宋体" w:eastAsia="宋体" w:cs="宋体"/>
          <w:color w:val="auto"/>
          <w:sz w:val="24"/>
          <w:szCs w:val="24"/>
          <w:highlight w:val="none"/>
          <w:lang w:val="zh-CN"/>
        </w:rPr>
        <w:t>；</w:t>
      </w:r>
    </w:p>
    <w:p w14:paraId="2DBE2BB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（2）按规定，确定延长完工期限；</w:t>
      </w:r>
    </w:p>
    <w:p w14:paraId="6D38D97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（3）其他。</w:t>
      </w:r>
    </w:p>
    <w:p w14:paraId="5A9EE77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发包人在合同履行期间有权根据具体情况调整监理人须经发包人批准的权力范围，并及时通知承包人。</w:t>
      </w:r>
    </w:p>
    <w:p w14:paraId="3067188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规定增加相应的费用，并及时通知承包人。</w:t>
      </w:r>
    </w:p>
    <w:p w14:paraId="43C3F61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14" w:name="_Toc199294322"/>
      <w:bookmarkStart w:id="215" w:name="_Toc198115339"/>
      <w:bookmarkStart w:id="216" w:name="_Toc200536604"/>
      <w:bookmarkStart w:id="217" w:name="_Toc217971054"/>
      <w:bookmarkStart w:id="218" w:name="_Toc199215127"/>
      <w:bookmarkStart w:id="219" w:name="_Toc200167769"/>
      <w:bookmarkStart w:id="220" w:name="_Toc207791270"/>
      <w:bookmarkStart w:id="221" w:name="_Toc199320005"/>
      <w:bookmarkStart w:id="222" w:name="_Toc199155889"/>
      <w:bookmarkStart w:id="223" w:name="_Toc200968283"/>
      <w:r>
        <w:rPr>
          <w:rFonts w:hint="eastAsia" w:ascii="宋体" w:hAnsi="宋体" w:eastAsia="宋体" w:cs="宋体"/>
          <w:b/>
          <w:color w:val="auto"/>
          <w:sz w:val="24"/>
          <w:szCs w:val="24"/>
          <w:highlight w:val="none"/>
        </w:rPr>
        <w:t>4.承包人</w:t>
      </w:r>
      <w:bookmarkEnd w:id="214"/>
      <w:bookmarkEnd w:id="215"/>
      <w:bookmarkEnd w:id="216"/>
      <w:bookmarkEnd w:id="217"/>
      <w:bookmarkEnd w:id="218"/>
      <w:bookmarkEnd w:id="219"/>
      <w:bookmarkEnd w:id="220"/>
      <w:bookmarkEnd w:id="221"/>
      <w:bookmarkEnd w:id="222"/>
      <w:bookmarkEnd w:id="223"/>
    </w:p>
    <w:p w14:paraId="0CE4F7EE">
      <w:pPr>
        <w:pageBreakBefore w:val="0"/>
        <w:widowControl w:val="0"/>
        <w:kinsoku/>
        <w:wordWrap/>
        <w:topLinePunct w:val="0"/>
        <w:bidi w:val="0"/>
        <w:snapToGrid w:val="0"/>
        <w:spacing w:before="93" w:beforeLines="30" w:after="93" w:afterLines="30" w:line="420" w:lineRule="exact"/>
        <w:rPr>
          <w:rFonts w:hint="eastAsia" w:ascii="宋体" w:hAnsi="宋体" w:eastAsia="宋体" w:cs="宋体"/>
          <w:b/>
          <w:bCs/>
          <w:color w:val="auto"/>
          <w:sz w:val="24"/>
          <w:szCs w:val="24"/>
          <w:highlight w:val="none"/>
        </w:rPr>
      </w:pPr>
      <w:bookmarkStart w:id="224" w:name="_Toc199155890"/>
      <w:bookmarkStart w:id="225" w:name="_Toc198115340"/>
      <w:r>
        <w:rPr>
          <w:rFonts w:hint="eastAsia" w:ascii="宋体" w:hAnsi="宋体" w:eastAsia="宋体" w:cs="宋体"/>
          <w:b/>
          <w:bCs/>
          <w:color w:val="auto"/>
          <w:sz w:val="24"/>
          <w:szCs w:val="24"/>
          <w:highlight w:val="none"/>
        </w:rPr>
        <w:t>4.1承包人的一般义务</w:t>
      </w:r>
      <w:bookmarkEnd w:id="224"/>
      <w:bookmarkEnd w:id="225"/>
    </w:p>
    <w:p w14:paraId="0C3921E9">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bookmarkStart w:id="226" w:name="_Toc199155891"/>
      <w:r>
        <w:rPr>
          <w:rFonts w:hint="eastAsia" w:ascii="宋体" w:hAnsi="宋体" w:eastAsia="宋体" w:cs="宋体"/>
          <w:color w:val="auto"/>
          <w:sz w:val="24"/>
          <w:szCs w:val="24"/>
          <w:highlight w:val="none"/>
        </w:rPr>
        <w:t>4.1.10其他义务</w:t>
      </w:r>
      <w:bookmarkEnd w:id="226"/>
    </w:p>
    <w:p w14:paraId="32FE87FA">
      <w:pPr>
        <w:pageBreakBefore w:val="0"/>
        <w:widowControl w:val="0"/>
        <w:kinsoku/>
        <w:wordWrap/>
        <w:topLinePunct w:val="0"/>
        <w:bidi w:val="0"/>
        <w:snapToGrid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1、若发包人要求，承包人应协助发包人办理有关施工用地范围内的拆迁事宜。</w:t>
      </w:r>
    </w:p>
    <w:p w14:paraId="51AB85AC">
      <w:pPr>
        <w:pageBreakBefore w:val="0"/>
        <w:widowControl w:val="0"/>
        <w:kinsoku/>
        <w:wordWrap/>
        <w:topLinePunct w:val="0"/>
        <w:bidi w:val="0"/>
        <w:snapToGrid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2、配合发包方定期或不定期检查工程的安全生产、施工质量、施工进度等，并做好相应工作。</w:t>
      </w:r>
    </w:p>
    <w:p w14:paraId="23510C4A">
      <w:pPr>
        <w:pageBreakBefore w:val="0"/>
        <w:widowControl w:val="0"/>
        <w:kinsoku/>
        <w:wordWrap/>
        <w:topLinePunct w:val="0"/>
        <w:bidi w:val="0"/>
        <w:snapToGrid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3、在签订工程施工合同后承包人应对施工过程、施工场地范围及运输条件所产生的一切问题包括风俗习惯、施工过程中的经济纠纷等由承包人自行处理。</w:t>
      </w:r>
    </w:p>
    <w:p w14:paraId="74FBDE71">
      <w:pPr>
        <w:pageBreakBefore w:val="0"/>
        <w:widowControl w:val="0"/>
        <w:kinsoku/>
        <w:wordWrap/>
        <w:topLinePunct w:val="0"/>
        <w:bidi w:val="0"/>
        <w:snapToGrid w:val="0"/>
        <w:spacing w:line="420" w:lineRule="exact"/>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4、本款添加：</w:t>
      </w:r>
      <w:r>
        <w:rPr>
          <w:rFonts w:hint="eastAsia" w:ascii="宋体" w:hAnsi="宋体" w:eastAsia="宋体" w:cs="宋体"/>
          <w:color w:val="auto"/>
          <w:sz w:val="24"/>
          <w:szCs w:val="24"/>
          <w:highlight w:val="none"/>
        </w:rPr>
        <w:t>承包人需根据省市有关建筑业企业助力“百千万工程”工作要求，需配建签约合同总价</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5%-8%的公益项目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在签订施工合同时明确捐建比例。</w:t>
      </w:r>
    </w:p>
    <w:p w14:paraId="5B91CDE3">
      <w:pPr>
        <w:pageBreakBefore w:val="0"/>
        <w:widowControl w:val="0"/>
        <w:kinsoku/>
        <w:wordWrap/>
        <w:topLinePunct w:val="0"/>
        <w:bidi w:val="0"/>
        <w:snapToGrid w:val="0"/>
        <w:spacing w:before="93" w:beforeLines="30" w:after="93" w:afterLines="30" w:line="4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4.4联合体</w:t>
      </w:r>
    </w:p>
    <w:p w14:paraId="5857141E">
      <w:pPr>
        <w:pageBreakBefore w:val="0"/>
        <w:widowControl w:val="0"/>
        <w:kinsoku/>
        <w:wordWrap/>
        <w:topLinePunct w:val="0"/>
        <w:bidi w:val="0"/>
        <w:snapToGrid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删去通用合同条款4.4.1、4.4.2、4.4.3全文，并以下文代替：</w:t>
      </w:r>
    </w:p>
    <w:p w14:paraId="179602EC">
      <w:pPr>
        <w:pageBreakBefore w:val="0"/>
        <w:widowControl w:val="0"/>
        <w:kinsoku/>
        <w:wordWrap/>
        <w:topLinePunct w:val="0"/>
        <w:bidi w:val="0"/>
        <w:snapToGrid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允许联合体承包。</w:t>
      </w:r>
    </w:p>
    <w:p w14:paraId="2D5BEA79">
      <w:pPr>
        <w:pageBreakBefore w:val="0"/>
        <w:widowControl w:val="0"/>
        <w:kinsoku/>
        <w:wordWrap/>
        <w:topLinePunct w:val="0"/>
        <w:bidi w:val="0"/>
        <w:snapToGrid w:val="0"/>
        <w:spacing w:before="93" w:beforeLines="30" w:after="93" w:afterLines="30" w:line="4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4.5承包人项目经理</w:t>
      </w:r>
    </w:p>
    <w:p w14:paraId="48E41A4F">
      <w:pPr>
        <w:pageBreakBefore w:val="0"/>
        <w:widowControl w:val="0"/>
        <w:kinsoku/>
        <w:wordWrap/>
        <w:overflowPunct w:val="0"/>
        <w:topLinePunct w:val="0"/>
        <w:autoSpaceDE w:val="0"/>
        <w:autoSpaceDN w:val="0"/>
        <w:bidi w:val="0"/>
        <w:adjustRightInd w:val="0"/>
        <w:snapToGrid w:val="0"/>
        <w:spacing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4.5.1</w:t>
      </w:r>
      <w:r>
        <w:rPr>
          <w:rFonts w:hint="eastAsia" w:ascii="宋体" w:hAnsi="宋体" w:eastAsia="宋体" w:cs="宋体"/>
          <w:color w:val="auto"/>
          <w:sz w:val="24"/>
          <w:szCs w:val="24"/>
          <w:highlight w:val="none"/>
        </w:rPr>
        <w:t>本款修改为“承包人应按合同约定指派项目经理，并在监理人发出开工通知后5天内到职。合同履行期间，项目经理无特殊原因不得更换，特殊原因更换项目经理，须经发包人同意，可用资历相同并与承包人有正式的劳动合同关系（以社保证明为准）的项目经理更换，只能更换一次；如第二次及以后再要求更换，视为承包人违约，每更换一次罚款20000元，在月进度款中扣除。”</w:t>
      </w:r>
    </w:p>
    <w:p w14:paraId="3FC3A83F">
      <w:pPr>
        <w:pageBreakBefore w:val="0"/>
        <w:widowControl w:val="0"/>
        <w:kinsoku/>
        <w:wordWrap/>
        <w:topLinePunct w:val="0"/>
        <w:bidi w:val="0"/>
        <w:snapToGrid w:val="0"/>
        <w:spacing w:before="93" w:beforeLines="30" w:after="93" w:afterLines="30" w:line="4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4.6承包人人员的管理</w:t>
      </w:r>
    </w:p>
    <w:p w14:paraId="4978EE4D">
      <w:pPr>
        <w:pStyle w:val="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4.6.1本款中的“28天内”修改为“7天内”。</w:t>
      </w:r>
    </w:p>
    <w:p w14:paraId="300FDC72">
      <w:pPr>
        <w:pStyle w:val="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4.6.3本款的内容修改为：“承包人安排在施工场地的主要管理人员（指项目经理、技术负责人、安全管理人员（专职安全生产管理人员）、质量管理人员、财务负责人）和技术骨干应相对稳定，上述人员的调动应经监理人和发包人同意。”</w:t>
      </w:r>
    </w:p>
    <w:p w14:paraId="3FAF9D82">
      <w:pPr>
        <w:pStyle w:val="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增加4.6.5、4.6.6、4.6.7款</w:t>
      </w:r>
    </w:p>
    <w:p w14:paraId="31F26BD8">
      <w:pPr>
        <w:pStyle w:val="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4.6.5承包人在投标文件中所列的投入本工程的主要管理人员必须在监理人发出开工通知后5天内全部进驻施工现场开展工作，个别确因特殊情况不能进场或中途退出的，须经发包人同意，并更换与原人员具有相同资历条件的并与承包人有正式的劳动合同关系（以社保证明为准）的人员，同时提供相关证明，否则视为承包人违约。</w:t>
      </w:r>
    </w:p>
    <w:p w14:paraId="39A92818">
      <w:pPr>
        <w:pStyle w:val="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4.6.6如果在监理人发出开工通知后30天内，承包人的主要管理人员未能全部进驻现场，则发包人认定承包人合同履行严重不到位。</w:t>
      </w:r>
    </w:p>
    <w:p w14:paraId="3AAADC7F">
      <w:pPr>
        <w:pStyle w:val="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4.6.7承包人须严格按照投标文件中拟投入人员进驻施工现场，合同履行期间人员更换须经发包人同意，且承包人应提供相应的岗位证书及单位社保证明。各岗位人员总数只能更换一人次，如第二次及以后再要求更换，视为承包人违约，项目经理每更换一次罚款20000元，其他岗位人员每更换一次罚款5000元，在月进度款中扣除。</w:t>
      </w:r>
    </w:p>
    <w:p w14:paraId="3FF33A48">
      <w:pPr>
        <w:pStyle w:val="9"/>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4.6.8承包人进驻本工程的项目经理及技术负责人必须与投标文件中承诺的相同，若有特殊</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需换人时必须征得监理人和发包人的同意，项目经理与技术负责人不能同时离开工地，其中一位离开工地时必须征得监理人和发包人同意，否则将被罚款人民币2000元/天；两人同时离开工地，将被罚款2000元/人/天。</w:t>
      </w:r>
    </w:p>
    <w:p w14:paraId="633C9FAF">
      <w:pPr>
        <w:pageBreakBefore w:val="0"/>
        <w:widowControl w:val="0"/>
        <w:kinsoku/>
        <w:wordWrap/>
        <w:topLinePunct w:val="0"/>
        <w:bidi w:val="0"/>
        <w:snapToGrid w:val="0"/>
        <w:spacing w:before="93" w:beforeLines="30" w:after="93" w:afterLines="30" w:line="4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4.8保障承包人人员的合法权益</w:t>
      </w:r>
    </w:p>
    <w:p w14:paraId="539E358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4.8.1将通用合同条款4.8.1条修改为：承包人应与其雇佣的人员（民工）签订劳动合同，并按时发放工资，工资标准不能低于政府发布的最低工资标准，并不得拖欠或克扣雇佣人员的工资，否则发包人有权扣留相应数额的工程款支付雇佣人员（民工）工资。</w:t>
      </w:r>
    </w:p>
    <w:p w14:paraId="704E7E71">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4.11不利物质条件</w:t>
      </w:r>
    </w:p>
    <w:p w14:paraId="20A4B192">
      <w:pPr>
        <w:pageBreakBefore w:val="0"/>
        <w:widowControl w:val="0"/>
        <w:kinsoku/>
        <w:wordWrap/>
        <w:topLinePunct w:val="0"/>
        <w:bidi w:val="0"/>
        <w:spacing w:line="420" w:lineRule="exact"/>
        <w:ind w:firstLine="470" w:firstLineChars="196"/>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4.11.1不利物质条件的范围：</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1DA098F0">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bookmarkStart w:id="227" w:name="_Toc256773204"/>
      <w:r>
        <w:rPr>
          <w:rFonts w:hint="eastAsia" w:ascii="宋体" w:hAnsi="宋体" w:eastAsia="宋体" w:cs="宋体"/>
          <w:b/>
          <w:color w:val="auto"/>
          <w:sz w:val="24"/>
          <w:szCs w:val="24"/>
          <w:highlight w:val="none"/>
        </w:rPr>
        <w:t>5.材料和工程设备的提供</w:t>
      </w:r>
    </w:p>
    <w:p w14:paraId="1070914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5.1承包人提供的材料和工程设备</w:t>
      </w:r>
    </w:p>
    <w:p w14:paraId="559E22A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5.1.1删除通用合同条款5.1.1条全文，并以下文代替：为完成本合同各项工作所需的材料和工程设备均由承包人负责采购、验收、运输和保管。承包人应对其采购的材料和设备负责。</w:t>
      </w:r>
    </w:p>
    <w:p w14:paraId="540A641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删除通用合同条款5.1.2条全文，并以下文代替：承包人应将各项材料和工程设备的供货人及品种、规格、数量、质量等级和供货时间等报送业主和监理人审批。承包人应向监理人提交其负责提供的材料和工程设备的质量证明文件及供货人资质证明材料，并满足合同约定的质量标准。</w:t>
      </w:r>
    </w:p>
    <w:p w14:paraId="26BEEE62">
      <w:pPr>
        <w:pageBreakBefore w:val="0"/>
        <w:widowControl w:val="0"/>
        <w:kinsoku/>
        <w:wordWrap/>
        <w:topLinePunct w:val="0"/>
        <w:bidi w:val="0"/>
        <w:snapToGrid w:val="0"/>
        <w:spacing w:before="93" w:beforeLines="30" w:after="93" w:afterLines="30" w:line="420" w:lineRule="exact"/>
        <w:rPr>
          <w:rFonts w:hint="eastAsia" w:ascii="宋体" w:hAnsi="宋体" w:eastAsia="宋体" w:cs="宋体"/>
          <w:b/>
          <w:bCs/>
          <w:color w:val="auto"/>
          <w:sz w:val="24"/>
          <w:szCs w:val="24"/>
          <w:highlight w:val="none"/>
        </w:rPr>
      </w:pPr>
      <w:bookmarkStart w:id="228" w:name="_Toc199155905"/>
      <w:r>
        <w:rPr>
          <w:rFonts w:hint="eastAsia" w:ascii="宋体" w:hAnsi="宋体" w:eastAsia="宋体" w:cs="宋体"/>
          <w:b/>
          <w:bCs/>
          <w:color w:val="auto"/>
          <w:sz w:val="24"/>
          <w:szCs w:val="24"/>
          <w:highlight w:val="none"/>
        </w:rPr>
        <w:t>5.2发包人提供的材料和工程设备</w:t>
      </w:r>
      <w:bookmarkEnd w:id="228"/>
    </w:p>
    <w:p w14:paraId="0A95541C">
      <w:pPr>
        <w:pageBreakBefore w:val="0"/>
        <w:widowControl w:val="0"/>
        <w:kinsoku/>
        <w:wordWrap/>
        <w:topLinePunct w:val="0"/>
        <w:bidi w:val="0"/>
        <w:snapToGrid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发包人不提供材料和工程设备。</w:t>
      </w:r>
    </w:p>
    <w:p w14:paraId="161821A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29" w:name="_Toc199294324"/>
      <w:bookmarkStart w:id="230" w:name="_Toc200167771"/>
      <w:bookmarkStart w:id="231" w:name="_Toc217971056"/>
      <w:bookmarkStart w:id="232" w:name="_Toc200968285"/>
      <w:bookmarkStart w:id="233" w:name="_Toc199155907"/>
      <w:bookmarkStart w:id="234" w:name="_Toc199215129"/>
      <w:bookmarkStart w:id="235" w:name="_Toc198115346"/>
      <w:bookmarkStart w:id="236" w:name="_Toc200536606"/>
      <w:bookmarkStart w:id="237" w:name="_Toc207791272"/>
      <w:bookmarkStart w:id="238" w:name="_Toc199320007"/>
      <w:r>
        <w:rPr>
          <w:rFonts w:hint="eastAsia" w:ascii="宋体" w:hAnsi="宋体" w:eastAsia="宋体" w:cs="宋体"/>
          <w:b/>
          <w:color w:val="auto"/>
          <w:sz w:val="24"/>
          <w:szCs w:val="24"/>
          <w:highlight w:val="none"/>
        </w:rPr>
        <w:t>6.施工设备和临时设施</w:t>
      </w:r>
      <w:bookmarkEnd w:id="229"/>
      <w:bookmarkEnd w:id="230"/>
      <w:bookmarkEnd w:id="231"/>
      <w:bookmarkEnd w:id="232"/>
      <w:bookmarkEnd w:id="233"/>
      <w:bookmarkEnd w:id="234"/>
      <w:bookmarkEnd w:id="235"/>
      <w:bookmarkEnd w:id="236"/>
      <w:bookmarkEnd w:id="237"/>
      <w:bookmarkEnd w:id="238"/>
    </w:p>
    <w:p w14:paraId="76CD8A14">
      <w:pPr>
        <w:pageBreakBefore w:val="0"/>
        <w:widowControl w:val="0"/>
        <w:kinsoku/>
        <w:wordWrap/>
        <w:topLinePunct w:val="0"/>
        <w:bidi w:val="0"/>
        <w:snapToGrid w:val="0"/>
        <w:spacing w:before="93" w:beforeLines="30" w:after="93" w:afterLines="30" w:line="420" w:lineRule="exact"/>
        <w:rPr>
          <w:rFonts w:hint="eastAsia" w:ascii="宋体" w:hAnsi="宋体" w:eastAsia="宋体" w:cs="宋体"/>
          <w:b/>
          <w:bCs/>
          <w:color w:val="auto"/>
          <w:sz w:val="24"/>
          <w:szCs w:val="24"/>
          <w:highlight w:val="none"/>
        </w:rPr>
      </w:pPr>
      <w:bookmarkStart w:id="239" w:name="_Toc199155909"/>
      <w:r>
        <w:rPr>
          <w:rFonts w:hint="eastAsia" w:ascii="宋体" w:hAnsi="宋体" w:eastAsia="宋体" w:cs="宋体"/>
          <w:b/>
          <w:bCs/>
          <w:color w:val="auto"/>
          <w:sz w:val="24"/>
          <w:szCs w:val="24"/>
          <w:highlight w:val="none"/>
        </w:rPr>
        <w:t>6.2发包人提供的施工设备和临时设施</w:t>
      </w:r>
      <w:bookmarkEnd w:id="239"/>
    </w:p>
    <w:p w14:paraId="4A3255D3">
      <w:pPr>
        <w:pageBreakBefore w:val="0"/>
        <w:widowControl w:val="0"/>
        <w:kinsoku/>
        <w:wordWrap/>
        <w:topLinePunct w:val="0"/>
        <w:bidi w:val="0"/>
        <w:snapToGrid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发包人不提供用于本合同工程的施工设备或临时设施。</w:t>
      </w:r>
    </w:p>
    <w:p w14:paraId="2F12C10C">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7交通运输</w:t>
      </w:r>
      <w:bookmarkEnd w:id="227"/>
      <w:r>
        <w:rPr>
          <w:rFonts w:hint="eastAsia" w:ascii="宋体" w:hAnsi="宋体" w:eastAsia="宋体" w:cs="宋体"/>
          <w:b/>
          <w:color w:val="auto"/>
          <w:sz w:val="24"/>
          <w:szCs w:val="24"/>
          <w:highlight w:val="none"/>
        </w:rPr>
        <w:t>　</w:t>
      </w:r>
    </w:p>
    <w:p w14:paraId="1CF7F4E9">
      <w:pPr>
        <w:pageBreakBefore w:val="0"/>
        <w:widowControl w:val="0"/>
        <w:kinsoku/>
        <w:wordWrap/>
        <w:topLinePunct w:val="0"/>
        <w:bidi w:val="0"/>
        <w:spacing w:line="42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7.1道路通行权和场外设施</w:t>
      </w:r>
    </w:p>
    <w:p w14:paraId="22409FB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道路通行权和场外设施的约定：按相关管理规定。</w:t>
      </w:r>
    </w:p>
    <w:p w14:paraId="06D17C6B">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bookmarkStart w:id="240" w:name="_Toc256773205"/>
      <w:r>
        <w:rPr>
          <w:rFonts w:hint="eastAsia" w:ascii="宋体" w:hAnsi="宋体" w:eastAsia="宋体" w:cs="宋体"/>
          <w:b/>
          <w:color w:val="auto"/>
          <w:sz w:val="24"/>
          <w:szCs w:val="24"/>
          <w:highlight w:val="none"/>
        </w:rPr>
        <w:t>8测量放线</w:t>
      </w:r>
      <w:bookmarkEnd w:id="240"/>
      <w:r>
        <w:rPr>
          <w:rFonts w:hint="eastAsia" w:ascii="宋体" w:hAnsi="宋体" w:eastAsia="宋体" w:cs="宋体"/>
          <w:b/>
          <w:color w:val="auto"/>
          <w:sz w:val="24"/>
          <w:szCs w:val="24"/>
          <w:highlight w:val="none"/>
        </w:rPr>
        <w:t>　</w:t>
      </w:r>
    </w:p>
    <w:p w14:paraId="1B285D63">
      <w:pPr>
        <w:pageBreakBefore w:val="0"/>
        <w:widowControl w:val="0"/>
        <w:kinsoku/>
        <w:wordWrap/>
        <w:topLinePunct w:val="0"/>
        <w:bidi w:val="0"/>
        <w:spacing w:line="42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8.1施工控制网</w:t>
      </w:r>
      <w:r>
        <w:rPr>
          <w:rFonts w:hint="eastAsia" w:ascii="宋体" w:hAnsi="宋体" w:eastAsia="宋体" w:cs="宋体"/>
          <w:color w:val="auto"/>
          <w:sz w:val="24"/>
          <w:szCs w:val="24"/>
          <w:highlight w:val="none"/>
        </w:rPr>
        <w:t>　</w:t>
      </w:r>
    </w:p>
    <w:p w14:paraId="5CB6AC3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8.1.1施工控制网的约定：</w:t>
      </w:r>
      <w:r>
        <w:rPr>
          <w:rFonts w:hint="eastAsia" w:ascii="宋体" w:hAnsi="宋体" w:eastAsia="宋体" w:cs="宋体"/>
          <w:color w:val="auto"/>
          <w:sz w:val="24"/>
          <w:szCs w:val="24"/>
          <w:highlight w:val="none"/>
          <w:u w:val="single"/>
        </w:rPr>
        <w:t>用导线控制</w:t>
      </w:r>
      <w:r>
        <w:rPr>
          <w:rFonts w:hint="eastAsia" w:ascii="宋体" w:hAnsi="宋体" w:eastAsia="宋体" w:cs="宋体"/>
          <w:color w:val="auto"/>
          <w:sz w:val="24"/>
          <w:szCs w:val="24"/>
          <w:highlight w:val="none"/>
        </w:rPr>
        <w:t>。　</w:t>
      </w:r>
    </w:p>
    <w:p w14:paraId="50B180DF">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bookmarkStart w:id="241" w:name="_Toc256773206"/>
      <w:r>
        <w:rPr>
          <w:rFonts w:hint="eastAsia" w:ascii="宋体" w:hAnsi="宋体" w:eastAsia="宋体" w:cs="宋体"/>
          <w:b/>
          <w:color w:val="auto"/>
          <w:sz w:val="24"/>
          <w:szCs w:val="24"/>
          <w:highlight w:val="none"/>
        </w:rPr>
        <w:t>9施工安全、治安保卫和环境保护</w:t>
      </w:r>
      <w:bookmarkEnd w:id="241"/>
      <w:r>
        <w:rPr>
          <w:rFonts w:hint="eastAsia" w:ascii="宋体" w:hAnsi="宋体" w:eastAsia="宋体" w:cs="宋体"/>
          <w:b/>
          <w:color w:val="auto"/>
          <w:sz w:val="24"/>
          <w:szCs w:val="24"/>
          <w:highlight w:val="none"/>
        </w:rPr>
        <w:t>　</w:t>
      </w:r>
    </w:p>
    <w:p w14:paraId="2B28A02A">
      <w:pPr>
        <w:pageBreakBefore w:val="0"/>
        <w:widowControl w:val="0"/>
        <w:kinsoku/>
        <w:wordWrap/>
        <w:topLinePunct w:val="0"/>
        <w:bidi w:val="0"/>
        <w:spacing w:line="42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9.1发包人的施工安全责任</w:t>
      </w:r>
      <w:r>
        <w:rPr>
          <w:rFonts w:hint="eastAsia" w:ascii="宋体" w:hAnsi="宋体" w:eastAsia="宋体" w:cs="宋体"/>
          <w:color w:val="auto"/>
          <w:sz w:val="24"/>
          <w:szCs w:val="24"/>
          <w:highlight w:val="none"/>
        </w:rPr>
        <w:t>　</w:t>
      </w:r>
    </w:p>
    <w:p w14:paraId="4E2A5A1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9.1.4发包人提供</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资料，其余资料由承包人负责收集。</w:t>
      </w:r>
    </w:p>
    <w:p w14:paraId="567510BA">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9.2承包人的施工安全责任</w:t>
      </w:r>
    </w:p>
    <w:p w14:paraId="78C6100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9.2.2</w:t>
      </w:r>
      <w:r>
        <w:rPr>
          <w:rFonts w:hint="eastAsia" w:ascii="宋体" w:hAnsi="宋体" w:eastAsia="宋体" w:cs="宋体"/>
          <w:color w:val="auto"/>
          <w:sz w:val="24"/>
          <w:szCs w:val="24"/>
          <w:highlight w:val="none"/>
          <w:lang w:val="zh-CN"/>
        </w:rPr>
        <w:t>增加：</w:t>
      </w:r>
    </w:p>
    <w:p w14:paraId="2BCB168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炸药的使用：承包人为了履行其在本合同的责任，需要使用、运输并储存炸药或其他类似物品，应遵守与上述物品有关的条例、法律和规定。</w:t>
      </w:r>
    </w:p>
    <w:p w14:paraId="390EFEB0">
      <w:pPr>
        <w:pageBreakBefore w:val="0"/>
        <w:widowControl w:val="0"/>
        <w:kinsoku/>
        <w:wordWrap/>
        <w:topLinePunct w:val="0"/>
        <w:bidi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9.2.12　下列工程应编制专项施工方案：模板工程及支撑体系；起重吊装及安装拆卸工程；土方和石方开挖工程；脚手架工程；监理人认为危险性较大的其他工程。</w:t>
      </w:r>
    </w:p>
    <w:p w14:paraId="706A8D17">
      <w:pPr>
        <w:pageBreakBefore w:val="0"/>
        <w:widowControl w:val="0"/>
        <w:kinsoku/>
        <w:wordWrap/>
        <w:topLinePunct w:val="0"/>
        <w:bidi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9.2.14增加条款</w:t>
      </w:r>
    </w:p>
    <w:p w14:paraId="0324053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承包人项目经理对承包人的安全生产工作全面负责，为第一责任人；安全生产负责人为安全生产直接责任人。承包人必须严格执行国家、广东省及行业的安全法规、规章，承包人在工地应建立专业或业余消防队伍。达不到安全要求，发包人将对承包人进行处罚。发生重大或以上安全事故，按有关法律法规对承包人进行处罚。</w:t>
      </w:r>
    </w:p>
    <w:p w14:paraId="3F88DE0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进入施工现场的各类人员应当戴好安全帽，系好帽带；临空和高空作业的人员应当系好安全带；各类洞口和脚手架应当设置安全网。安全帽、安全带、安全网应当符合技术安全标准；设置带安全护栏的行走通道往每个施工工作面；不符合安全要求的，除责令立即停止工作外，每人次处以100元罚款，并累计计算。</w:t>
      </w:r>
    </w:p>
    <w:p w14:paraId="6717E96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施工现场的用电线路、用电设施的安装和使用应当符合安装规范和安全操作规程，并按照施工组织设计进行架设，禁止任意拉线接电。施工现场应当设有保证施工安全要求的夜间照明、危险潮湿场所照明以及手持照明灯具，应当采用符合安全要求的电压；</w:t>
      </w:r>
    </w:p>
    <w:p w14:paraId="33C0AAA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施工现场内木材加工间、易爆、易燃仓库禁止烟火。危险作业场所禁止吸烟。各类易爆易燃的化学物品、建材、油料必须入库存放，不得露天堆积。乙炔和氧气使用时的两瓶间距必须大于5米以上，存放时必须封闭隔离。运用明火必须由项目经理和安全负责人在现场核验签字后方可进行，操作人员必须持证上岗，现场按规定配备足够的各类有效防火器材，并经常检查。</w:t>
      </w:r>
    </w:p>
    <w:p w14:paraId="11E417F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（5）施工现场内宿舍、办公室、仓库禁止使用电热器具取暖和煮饭，宿舍仓库不得混用。</w:t>
      </w:r>
    </w:p>
    <w:p w14:paraId="1575CD7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（6）特种作业人员必须按照国家有关规定经过专门的安全作业培训，并取得特种作业操作资格证书后，方可上岗作业，并把证件影印件报监理人备查。</w:t>
      </w:r>
    </w:p>
    <w:p w14:paraId="0F81956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（7）危险地段作业，必须将《安全施工防护措施》在施工前5天送监理工程师审批，经采取有效防护措施并经监理工程师检查合格后，方可作业。</w:t>
      </w:r>
    </w:p>
    <w:p w14:paraId="6F55876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（8）施工区爆破作业时间应报监理工程师，由监理工程师根据整个工程的实际情况报发包人批准后统一安排时间，任何单位和个人，未经监理工程师同意，不得在规定时间之外进行爆破。</w:t>
      </w:r>
    </w:p>
    <w:p w14:paraId="450238A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（9）施工区爆破作业，必须设置安全警戒哨。并按统一的信号进行爆破。对爆破作业可能影响到的作业面，必须在爆破前通知到位。统一信号由监理工程师监管。</w:t>
      </w:r>
    </w:p>
    <w:p w14:paraId="68EBAF7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（10）施工作业面使用的防护设施不符合要求，经监理认定后，必须立即整改，五天内整改完毕，每延迟一天，处以500元罚款；拒不整改的，监理有权责令其停止工作。</w:t>
      </w:r>
    </w:p>
    <w:p w14:paraId="398D96C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（11）施工作业面无安全警示牌、标语的，自整改通知书下达之日起十天内完成。每延迟一天处以500元罚款；十天后，由监理派人强制实施，费用由被整改方负责，并追究该单位责任。</w:t>
      </w:r>
    </w:p>
    <w:p w14:paraId="48FA286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（12）道路、水上作业人员必须穿戴相应警示标识及防护用具。</w:t>
      </w:r>
    </w:p>
    <w:p w14:paraId="5B2A0CD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（13）承包人应及时整改安全生产隐患，未按整改期限要求完成的视情节轻重罚款2000到5000元。</w:t>
      </w:r>
    </w:p>
    <w:p w14:paraId="6E8A8DC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（14）工程发生重大及以上安全生产事故，该承包人将被列入全省施工企业诚信管理系统黑名单，并通报全省。</w:t>
      </w:r>
    </w:p>
    <w:p w14:paraId="0C615474">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9.7文明工地</w:t>
      </w:r>
      <w:r>
        <w:rPr>
          <w:rFonts w:hint="eastAsia" w:ascii="宋体" w:hAnsi="宋体" w:eastAsia="宋体" w:cs="宋体"/>
          <w:color w:val="auto"/>
          <w:sz w:val="24"/>
          <w:szCs w:val="24"/>
          <w:highlight w:val="none"/>
        </w:rPr>
        <w:t>　</w:t>
      </w:r>
    </w:p>
    <w:p w14:paraId="35F15D39">
      <w:pPr>
        <w:pageBreakBefore w:val="0"/>
        <w:widowControl w:val="0"/>
        <w:kinsoku/>
        <w:wordWrap/>
        <w:topLinePunct w:val="0"/>
        <w:bidi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9.7.1本合同文明工地的约定：</w:t>
      </w:r>
    </w:p>
    <w:p w14:paraId="5452368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工程开工前承包人应编制文明施工专项方案，报监理人批准，并报发包人备案后实施。</w:t>
      </w:r>
    </w:p>
    <w:p w14:paraId="6B05486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本工程施工实行施工封闭化、围挡标准化、现场临时施工道路采用泥结石路面、保持经常洒水、清扫和养护施工道路、现场硬地化、厨房和厕所卫生化、宿舍和办公室规范化。鼓励美化建筑工地周围环境；</w:t>
      </w:r>
    </w:p>
    <w:p w14:paraId="256AAF4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承包人应对施工现场的设备、材料堆放、场地道路、临时生产和生活设施进行统一合理布局，并纳入施工组织设计，报监理人审核同意后执行；</w:t>
      </w:r>
    </w:p>
    <w:p w14:paraId="2F5EA42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生活区（办公室、宿舍、厨房、厕所、临时水电设施、仓库）统一采用预制板房或砖房，临设布置符合文明施工标准，生活污水经处理后再排放，职工宿舍及周围环境要求卫生、整洁、安全，每间宿舍居住人数不得超过</w:t>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人，消防通道宽不小于</w:t>
      </w:r>
      <w:r>
        <w:rPr>
          <w:rFonts w:hint="eastAsia" w:ascii="宋体" w:hAnsi="宋体" w:eastAsia="宋体" w:cs="宋体"/>
          <w:color w:val="auto"/>
          <w:sz w:val="24"/>
          <w:szCs w:val="24"/>
          <w:highlight w:val="none"/>
        </w:rPr>
        <w:t>1.2m</w:t>
      </w:r>
      <w:r>
        <w:rPr>
          <w:rFonts w:hint="eastAsia" w:ascii="宋体" w:hAnsi="宋体" w:eastAsia="宋体" w:cs="宋体"/>
          <w:color w:val="auto"/>
          <w:sz w:val="24"/>
          <w:szCs w:val="24"/>
          <w:highlight w:val="none"/>
          <w:lang w:val="zh-CN"/>
        </w:rPr>
        <w:t>并保持畅通，宿舍内空气要保持流通。宿舍内应当使用双层铁架床或其他合格的床铺，严禁设置通铺，禁止男女混居。宿舍内应设置封闭式餐具柜，个人物品应摆放整齐，保持卫生整洁。宿舍用电应设置独立的漏电、短路保护器和安全插座，电线必须套管，禁止电线乱拉乱接。宿舍要有管理制度，并落实治安、防火和卫生管理责任人。</w:t>
      </w:r>
    </w:p>
    <w:p w14:paraId="65918F4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生产区临设布置合理，修理厂污水应设隔油池处理后再排放，拌和站污水经三级沉淀池处理后再排放，施工道路采用泥结石路面并定期洒水保证空气质量；</w:t>
      </w:r>
    </w:p>
    <w:p w14:paraId="6CBC15B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无审批手续，不应乱搭乱建生产、生活、临时建筑设施或擅自改变用途，除罚款外，并责令拆除。</w:t>
      </w:r>
    </w:p>
    <w:p w14:paraId="3778503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施工现场的建设材料和设施，不得堆放在围墙和围板外，如确需要占用堆放的，必须按有关规定办理手续，并设置临时围栏，房屋工程的首层建好后（其他工程的一旦条件许可），材料要移入围墙内。材料堆放应当离开围墙地，与生活设施分隔，分类堆放整齐，标识清楚，散料要砌池围筑、杆料要立杆设栏、块料要起堆又叠又放，堆放高度不得高于</w:t>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米。</w:t>
      </w:r>
    </w:p>
    <w:p w14:paraId="3E5F354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施工区公路沿线，禁止停放大型机械、车辆，特别是主要道路交叉口禁止停放闲置设备，任何单位和个人的运输及机械设备，不得占用有效路面。</w:t>
      </w:r>
    </w:p>
    <w:p w14:paraId="47A22AA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（9）各承包人参与工程建设的车辆，必须车况良好，其中混凝土、砂、石料场外运输必须覆盖，并由承包人统一上报车型、编号，办理场内机动车辆通行证。</w:t>
      </w:r>
    </w:p>
    <w:p w14:paraId="68B6A2B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（10）承包人有责任处理好与当地居民及其他承包人之间的关系，服从发包人及当地政府的管理，避免产生矛盾和冲突，严禁打架斗殴。</w:t>
      </w:r>
    </w:p>
    <w:p w14:paraId="24F95A1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（11）承包人应在工地营造文明、和谐的建设氛围。</w:t>
      </w:r>
    </w:p>
    <w:p w14:paraId="79676CF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rPr>
        <w:t>（12）承包人违反文明施工管理规定，发包人将视其情节的轻重处以200-5000元的罚款，罚款在每月进度支付中扣除。</w:t>
      </w:r>
    </w:p>
    <w:p w14:paraId="71BA5C3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10进度计划</w:t>
      </w:r>
    </w:p>
    <w:p w14:paraId="0C22534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10.1合同进度计划</w:t>
      </w:r>
    </w:p>
    <w:p w14:paraId="584815CC">
      <w:pPr>
        <w:pageBreakBefore w:val="0"/>
        <w:widowControl w:val="0"/>
        <w:kinsoku/>
        <w:wordWrap/>
        <w:topLinePunct w:val="0"/>
        <w:bidi w:val="0"/>
        <w:spacing w:line="4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本款增加：</w:t>
      </w:r>
    </w:p>
    <w:p w14:paraId="7942F16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（1）第一次技术交底后，承包人一周内提交一份施工总进度计划报监理人审批，其格式和细节应符合监理工程师的合理要求；</w:t>
      </w:r>
    </w:p>
    <w:p w14:paraId="279B26A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（2）承包人向监理人每季度（及年度）末提供下季度（年度）施工进度计划，每月25日前提供下个月施工进度计划及相关施工投入的人员、设备表；</w:t>
      </w:r>
    </w:p>
    <w:p w14:paraId="1DA2872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（3）每周（月、季、年）例会及重要协调会议，承包人必须由项目经理和项目总工（技术负责人）参加，汇报材料要有项目经理签字的纸质文件和ppt文件汇报，其中要有现场进度相片。</w:t>
      </w:r>
    </w:p>
    <w:p w14:paraId="699C5CA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10.2合同进度计划的修订</w:t>
      </w:r>
    </w:p>
    <w:p w14:paraId="67AB22E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款增加：为了达到工期目标，经监理人批准的工程进度计划，承包人必须采取一切措施保证工期，不允许延误。如监理人认为阶段（季度、月、周）进度计划不能满足确保关键工期的要求，监理人可指示承包人修改原施工计划并提供施工保证措施。承包人应无条件服从并不得向发包人提出任何补偿要求。</w:t>
      </w:r>
    </w:p>
    <w:p w14:paraId="12CCE48D">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11开工和竣工（完工）</w:t>
      </w:r>
      <w:bookmarkEnd w:id="212"/>
      <w:r>
        <w:rPr>
          <w:rFonts w:hint="eastAsia" w:ascii="宋体" w:hAnsi="宋体" w:eastAsia="宋体" w:cs="宋体"/>
          <w:b/>
          <w:color w:val="auto"/>
          <w:sz w:val="24"/>
          <w:szCs w:val="24"/>
          <w:highlight w:val="none"/>
        </w:rPr>
        <w:t>　</w:t>
      </w:r>
    </w:p>
    <w:p w14:paraId="5073489C">
      <w:pPr>
        <w:pageBreakBefore w:val="0"/>
        <w:widowControl w:val="0"/>
        <w:kinsoku/>
        <w:wordWrap/>
        <w:topLinePunct w:val="0"/>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11.4异常恶劣的气候条件</w:t>
      </w:r>
      <w:r>
        <w:rPr>
          <w:rFonts w:hint="eastAsia" w:ascii="宋体" w:hAnsi="宋体" w:eastAsia="宋体" w:cs="宋体"/>
          <w:color w:val="auto"/>
          <w:sz w:val="24"/>
          <w:szCs w:val="24"/>
          <w:highlight w:val="none"/>
        </w:rPr>
        <w:t>　</w:t>
      </w:r>
    </w:p>
    <w:p w14:paraId="3718DAF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本合同工程界定异常恶劣气候条件的范围为：　</w:t>
      </w:r>
    </w:p>
    <w:p w14:paraId="7905214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（1）日降雨量大于</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rPr>
        <w:t>ｍｍ的雨日超过</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天；</w:t>
      </w:r>
    </w:p>
    <w:p w14:paraId="1D8196D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（2）风速大于</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sz w:val="24"/>
          <w:szCs w:val="24"/>
          <w:highlight w:val="none"/>
        </w:rPr>
        <w:t>ｍ/ｓ的</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级以上台风灾害；</w:t>
      </w:r>
    </w:p>
    <w:p w14:paraId="2901D29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（3）日气温超过</w:t>
      </w:r>
      <w:r>
        <w:rPr>
          <w:rFonts w:hint="eastAsia" w:ascii="宋体" w:hAnsi="宋体" w:eastAsia="宋体" w:cs="宋体"/>
          <w:color w:val="auto"/>
          <w:sz w:val="24"/>
          <w:szCs w:val="24"/>
          <w:highlight w:val="none"/>
          <w:u w:val="single"/>
        </w:rPr>
        <w:t>38</w:t>
      </w:r>
      <w:r>
        <w:rPr>
          <w:rFonts w:hint="eastAsia" w:ascii="宋体" w:hAnsi="宋体" w:eastAsia="宋体" w:cs="宋体"/>
          <w:color w:val="auto"/>
          <w:sz w:val="24"/>
          <w:szCs w:val="24"/>
          <w:highlight w:val="none"/>
        </w:rPr>
        <w:t>℃的高温大于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天；</w:t>
      </w:r>
    </w:p>
    <w:p w14:paraId="6CB32E2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（4）日气温低于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℃的严寒大于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天；</w:t>
      </w:r>
    </w:p>
    <w:p w14:paraId="3C24B77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（5）造成工程损坏的冰雹和大雪灾害：</w:t>
      </w:r>
      <w:r>
        <w:rPr>
          <w:rFonts w:hint="eastAsia" w:ascii="宋体" w:hAnsi="宋体" w:eastAsia="宋体" w:cs="宋体"/>
          <w:color w:val="auto"/>
          <w:sz w:val="24"/>
          <w:szCs w:val="24"/>
          <w:highlight w:val="none"/>
          <w:u w:val="single"/>
        </w:rPr>
        <w:t>日降雪量10mm及以上；</w:t>
      </w:r>
    </w:p>
    <w:p w14:paraId="1BA0613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（6）其他异常恶劣气候灾害。</w:t>
      </w:r>
    </w:p>
    <w:p w14:paraId="7373D00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11.5承包人工期延误</w:t>
      </w:r>
    </w:p>
    <w:p w14:paraId="133E636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未能按合同进度计划完成工作，当发生承包人实际施工工期比总进度计划工期滞后，每滞后1天，支付逾期竣工违约金5000元/天；当发生实际施工进度比计划进度每滞后30天以上，支付逾期竣工违约金10000元/天；但其最高限额不应超过签约合同价的2%。当工期已满合同内工期承包人还未完成总工程量50%时，发包人有权解除合同。如因发包人原因造成的工期延误（如征地、拆迁等）及自然灾害（如雨天等无法正常开工的），工期顺延，由此造成的损失，双方应协商解决。</w:t>
      </w:r>
    </w:p>
    <w:p w14:paraId="2E6F9E8A">
      <w:pPr>
        <w:pageBreakBefore w:val="0"/>
        <w:widowControl w:val="0"/>
        <w:kinsoku/>
        <w:wordWrap/>
        <w:topLinePunct w:val="0"/>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11.6工期提前</w:t>
      </w:r>
      <w:r>
        <w:rPr>
          <w:rFonts w:hint="eastAsia" w:ascii="宋体" w:hAnsi="宋体" w:eastAsia="宋体" w:cs="宋体"/>
          <w:color w:val="auto"/>
          <w:sz w:val="24"/>
          <w:szCs w:val="24"/>
          <w:highlight w:val="none"/>
        </w:rPr>
        <w:t>　</w:t>
      </w:r>
    </w:p>
    <w:p w14:paraId="7AB9624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工期提前的奖金约定：</w:t>
      </w:r>
      <w:r>
        <w:rPr>
          <w:rFonts w:hint="eastAsia" w:ascii="宋体" w:hAnsi="宋体" w:eastAsia="宋体" w:cs="宋体"/>
          <w:color w:val="auto"/>
          <w:sz w:val="24"/>
          <w:szCs w:val="24"/>
          <w:highlight w:val="none"/>
          <w:lang w:val="zh-CN"/>
        </w:rPr>
        <w:t>无。</w:t>
      </w:r>
    </w:p>
    <w:p w14:paraId="321272A3">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bookmarkStart w:id="242" w:name="_Toc256773208"/>
      <w:r>
        <w:rPr>
          <w:rFonts w:hint="eastAsia" w:ascii="宋体" w:hAnsi="宋体" w:eastAsia="宋体" w:cs="宋体"/>
          <w:b/>
          <w:color w:val="auto"/>
          <w:sz w:val="24"/>
          <w:szCs w:val="24"/>
          <w:highlight w:val="none"/>
        </w:rPr>
        <w:t>12　暂停施工</w:t>
      </w:r>
      <w:bookmarkEnd w:id="242"/>
    </w:p>
    <w:p w14:paraId="04E7E467">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12.1承包人暂停施工的责任</w:t>
      </w:r>
    </w:p>
    <w:p w14:paraId="0CB7E28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）承包人承担暂停施工责任的其他情形：</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7FCB144B">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12.2发包人暂停施工的责任</w:t>
      </w:r>
    </w:p>
    <w:p w14:paraId="77AD8580">
      <w:pPr>
        <w:pageBreakBefore w:val="0"/>
        <w:widowControl w:val="0"/>
        <w:kinsoku/>
        <w:wordWrap/>
        <w:topLinePunct w:val="0"/>
        <w:bidi w:val="0"/>
        <w:snapToGrid w:val="0"/>
        <w:spacing w:line="420" w:lineRule="exact"/>
        <w:ind w:firstLine="480" w:firstLineChars="200"/>
        <w:rPr>
          <w:rFonts w:hint="eastAsia" w:ascii="宋体" w:hAnsi="宋体" w:eastAsia="宋体" w:cs="宋体"/>
          <w:color w:val="auto"/>
          <w:sz w:val="24"/>
          <w:szCs w:val="24"/>
          <w:highlight w:val="none"/>
        </w:rPr>
      </w:pPr>
      <w:bookmarkStart w:id="243" w:name="_Toc256773209"/>
      <w:r>
        <w:rPr>
          <w:rFonts w:hint="eastAsia" w:ascii="宋体" w:hAnsi="宋体" w:eastAsia="宋体" w:cs="宋体"/>
          <w:color w:val="auto"/>
          <w:sz w:val="24"/>
          <w:szCs w:val="24"/>
          <w:highlight w:val="none"/>
        </w:rPr>
        <w:t>将通用条款中的“由于发包人原因引起的暂停施工造成工期延误的，承包人有权要求发包人延长工期和（或）增加费用，并支付合理利润。”更改为“由于发包人原因引起的暂停施工造成工期延误的，承包人有权要求发包人延长工期，但发包人不向承包人补偿任何费用。”</w:t>
      </w:r>
    </w:p>
    <w:p w14:paraId="12A7BB3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13工程质量</w:t>
      </w:r>
      <w:bookmarkEnd w:id="243"/>
    </w:p>
    <w:p w14:paraId="2A8C7EA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w:t>
      </w:r>
    </w:p>
    <w:p w14:paraId="2ACB899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（1）本工程质量目标：工程项目的单元工程全部质量合格且较大及以上质量事故为零。</w:t>
      </w:r>
    </w:p>
    <w:p w14:paraId="04971BC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（2）承包人必须接受</w:t>
      </w:r>
      <w:r>
        <w:rPr>
          <w:rFonts w:hint="eastAsia" w:ascii="宋体" w:hAnsi="宋体" w:eastAsia="宋体" w:cs="宋体"/>
          <w:color w:val="auto"/>
          <w:sz w:val="24"/>
          <w:szCs w:val="24"/>
          <w:highlight w:val="none"/>
        </w:rPr>
        <w:t>有关行政主管部门</w:t>
      </w:r>
      <w:r>
        <w:rPr>
          <w:rFonts w:hint="eastAsia" w:ascii="宋体" w:hAnsi="宋体" w:eastAsia="宋体" w:cs="宋体"/>
          <w:color w:val="auto"/>
          <w:sz w:val="24"/>
          <w:szCs w:val="24"/>
          <w:highlight w:val="none"/>
          <w:lang w:val="zh-CN"/>
        </w:rPr>
        <w:t>的监督检查。</w:t>
      </w:r>
    </w:p>
    <w:p w14:paraId="7FB3733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（3）承包人应在各单位工程和重要分部工程开工前，向监理人报送施工组织设计，经发包人同意后，由监理人批准实施。施工组织设计应符合设计文件的要求，施工方案和具体措施要确保工程质量和安全。</w:t>
      </w:r>
    </w:p>
    <w:p w14:paraId="27FBB81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承包人必须建立健全《工程质量和安全岗位责任制度》、《质量管理制度》、《原材料、中间产品设备质量检验制度》、《施工质量检验制度》、《工序及单元工程验收制度》、《工程质量等级自评制度》、《质量缺陷检查及处理制度》、《质量事故及重大质量问题责任追究制度》等质量管理规章制度。并在工地设立专门的质量检查机构，配备专职的质量检查人员。</w:t>
      </w:r>
    </w:p>
    <w:p w14:paraId="248D579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（5）严禁承包人擅自掩盖或处理工程质量缺陷。工程施工中如出现质量缺陷，应根据实际情况制定处理方案，并报经监理、设计和发包人等单位同意后，方可实施。</w:t>
      </w:r>
    </w:p>
    <w:p w14:paraId="3E3DBB9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承包人必须建立工程技术档案，及时、准确、完整地记录、提供施工过程中的质量、技术控制情况和试验成果等资料，作为工程质量等级核定和工程验收的依据。及时根据工程进展和完成情况，及时向发包人提交阶段（中间）验收和完工验收申请报告。</w:t>
      </w:r>
    </w:p>
    <w:p w14:paraId="27F4B864">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13.8质量事故处理</w:t>
      </w:r>
    </w:p>
    <w:p w14:paraId="3477D07F">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（1）若工程项目验收质量等级评定达不到上述13.7款要求，发包人有权扣留工程款的1%作为工程施工质量未达质量目标的罚金。</w:t>
      </w:r>
    </w:p>
    <w:p w14:paraId="7B8F85B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根据监理工程师日常质量检查情况，施工时违反工艺技术要求和经审核批准的施工组织设计，同一分部分项工程收到监理工程师下发的《施工违规警告通知单》，除按要求负责处理外，从第二次起，每次罚款1000元；</w:t>
      </w:r>
    </w:p>
    <w:p w14:paraId="7223CD4E">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（3）违反施工验收程序，上道工序未经验收或验收通不过即进行下道工序施工，同一分部分项工程从第二次收到《监理工程师通知》起，除按合同相关规定进行处理外，每次罚款1000元。</w:t>
      </w:r>
    </w:p>
    <w:p w14:paraId="4A89F08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（4）使用未经检验或检验不合格的工程材料，除按合同相关规定进行处理外，每次罚款2000元。</w:t>
      </w:r>
    </w:p>
    <w:p w14:paraId="7A10050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（5）根据工程监理工序验收月度统计情况，验收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一次合格率”低于80%，当月罚款2000元。</w:t>
      </w:r>
    </w:p>
    <w:p w14:paraId="714CAFE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由承包人负主要责任的质量事故，承包人除按设计要求自费返工外，直接经济损失5万元以下的一般质量事故，每次罚款5000元；直接经济损失5万元以上20万元以下的重大质量事故，每次罚款3～5万元；直接经济损失20万元以上的特大质量事故，每次罚款10万元或以上，直至追究单位和个人责任。</w:t>
      </w:r>
    </w:p>
    <w:p w14:paraId="205B065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（7）工程发生重大及以上质量事故，该承包人将被列入全省施工企业诚信管理系统黑名单，并通报全省。</w:t>
      </w:r>
    </w:p>
    <w:p w14:paraId="5550783C">
      <w:pPr>
        <w:pageBreakBefore w:val="0"/>
        <w:widowControl w:val="0"/>
        <w:kinsoku/>
        <w:wordWrap/>
        <w:topLinePunct w:val="0"/>
        <w:bidi w:val="0"/>
        <w:spacing w:line="420" w:lineRule="exact"/>
        <w:rPr>
          <w:rFonts w:hint="eastAsia" w:ascii="宋体" w:hAnsi="宋体" w:eastAsia="宋体" w:cs="宋体"/>
          <w:b/>
          <w:color w:val="auto"/>
          <w:sz w:val="24"/>
          <w:szCs w:val="24"/>
          <w:highlight w:val="none"/>
          <w:lang w:eastAsia="zh-CN"/>
        </w:rPr>
      </w:pPr>
      <w:bookmarkStart w:id="244" w:name="_Toc256773210"/>
      <w:r>
        <w:rPr>
          <w:rFonts w:hint="eastAsia" w:ascii="宋体" w:hAnsi="宋体" w:eastAsia="宋体" w:cs="宋体"/>
          <w:b/>
          <w:color w:val="auto"/>
          <w:sz w:val="24"/>
          <w:szCs w:val="24"/>
          <w:highlight w:val="none"/>
        </w:rPr>
        <w:t>14试验和检验</w:t>
      </w:r>
      <w:bookmarkEnd w:id="244"/>
      <w:r>
        <w:rPr>
          <w:rFonts w:hint="eastAsia" w:ascii="宋体" w:hAnsi="宋体" w:eastAsia="宋体" w:cs="宋体"/>
          <w:b/>
          <w:color w:val="auto"/>
          <w:sz w:val="24"/>
          <w:szCs w:val="24"/>
          <w:highlight w:val="none"/>
        </w:rPr>
        <w:t>　</w:t>
      </w:r>
    </w:p>
    <w:p w14:paraId="1154B58B">
      <w:pPr>
        <w:pageBreakBefore w:val="0"/>
        <w:widowControl w:val="0"/>
        <w:kinsoku/>
        <w:wordWrap/>
        <w:topLinePunct w:val="0"/>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14.1材料、工程设备和工程的试验和检验</w:t>
      </w:r>
      <w:r>
        <w:rPr>
          <w:rFonts w:hint="eastAsia" w:ascii="宋体" w:hAnsi="宋体" w:eastAsia="宋体" w:cs="宋体"/>
          <w:color w:val="auto"/>
          <w:sz w:val="24"/>
          <w:szCs w:val="24"/>
          <w:highlight w:val="none"/>
        </w:rPr>
        <w:t>　</w:t>
      </w:r>
    </w:p>
    <w:p w14:paraId="5FBCB10E">
      <w:pPr>
        <w:pageBreakBefore w:val="0"/>
        <w:widowControl w:val="0"/>
        <w:kinsoku/>
        <w:wordWrap/>
        <w:topLinePunct w:val="0"/>
        <w:bidi w:val="0"/>
        <w:adjustRightInd w:val="0"/>
        <w:snapToGrid w:val="0"/>
        <w:spacing w:line="42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本工程实行见证取样的试块、试件及有关材料：</w:t>
      </w:r>
      <w:r>
        <w:rPr>
          <w:rFonts w:hint="eastAsia" w:ascii="宋体" w:hAnsi="宋体" w:eastAsia="宋体" w:cs="宋体"/>
          <w:color w:val="auto"/>
          <w:sz w:val="24"/>
          <w:szCs w:val="24"/>
          <w:highlight w:val="none"/>
          <w:u w:val="single"/>
        </w:rPr>
        <w:t>按有关规范、规程</w:t>
      </w:r>
      <w:r>
        <w:rPr>
          <w:rFonts w:hint="eastAsia" w:ascii="宋体" w:hAnsi="宋体" w:eastAsia="宋体" w:cs="宋体"/>
          <w:color w:val="auto"/>
          <w:sz w:val="24"/>
          <w:szCs w:val="24"/>
          <w:highlight w:val="none"/>
        </w:rPr>
        <w:t>。</w:t>
      </w:r>
    </w:p>
    <w:p w14:paraId="587C367D">
      <w:pPr>
        <w:pageBreakBefore w:val="0"/>
        <w:widowControl w:val="0"/>
        <w:kinsoku/>
        <w:wordWrap/>
        <w:topLinePunct w:val="0"/>
        <w:bidi w:val="0"/>
        <w:adjustRightInd w:val="0"/>
        <w:snapToGrid w:val="0"/>
        <w:spacing w:line="420" w:lineRule="exact"/>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工程质量第三方检测100%由甲方负责，甲方负责与第三方质量检测机构签订质量检测合同。　</w:t>
      </w:r>
    </w:p>
    <w:p w14:paraId="7062488E">
      <w:pPr>
        <w:pageBreakBefore w:val="0"/>
        <w:widowControl w:val="0"/>
        <w:kinsoku/>
        <w:wordWrap/>
        <w:topLinePunct w:val="0"/>
        <w:bidi w:val="0"/>
        <w:spacing w:line="420" w:lineRule="exact"/>
        <w:rPr>
          <w:rFonts w:hint="eastAsia" w:ascii="宋体" w:hAnsi="宋体" w:eastAsia="宋体" w:cs="宋体"/>
          <w:color w:val="auto"/>
          <w:sz w:val="24"/>
          <w:szCs w:val="24"/>
          <w:highlight w:val="none"/>
          <w:lang w:eastAsia="zh-CN"/>
        </w:rPr>
      </w:pPr>
      <w:bookmarkStart w:id="245" w:name="_Toc256773211"/>
      <w:bookmarkStart w:id="246" w:name="_Toc263413214"/>
      <w:r>
        <w:rPr>
          <w:rFonts w:hint="eastAsia" w:ascii="宋体" w:hAnsi="宋体" w:eastAsia="宋体" w:cs="宋体"/>
          <w:b/>
          <w:color w:val="auto"/>
          <w:sz w:val="24"/>
          <w:szCs w:val="24"/>
          <w:highlight w:val="none"/>
        </w:rPr>
        <w:t>15变更</w:t>
      </w:r>
      <w:bookmarkEnd w:id="245"/>
      <w:bookmarkEnd w:id="246"/>
      <w:r>
        <w:rPr>
          <w:rFonts w:hint="eastAsia" w:ascii="宋体" w:hAnsi="宋体" w:eastAsia="宋体" w:cs="宋体"/>
          <w:color w:val="auto"/>
          <w:sz w:val="24"/>
          <w:szCs w:val="24"/>
          <w:highlight w:val="none"/>
        </w:rPr>
        <w:t>　</w:t>
      </w:r>
    </w:p>
    <w:p w14:paraId="3FB5C9D6">
      <w:pPr>
        <w:pageBreakBefore w:val="0"/>
        <w:widowControl w:val="0"/>
        <w:kinsoku/>
        <w:wordWrap/>
        <w:topLinePunct w:val="0"/>
        <w:bidi w:val="0"/>
        <w:spacing w:line="4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15.4变更的估价原则</w:t>
      </w:r>
    </w:p>
    <w:p w14:paraId="31957E4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本合同《工程量清单》</w:t>
      </w:r>
      <w:r>
        <w:rPr>
          <w:rFonts w:hint="eastAsia" w:ascii="宋体" w:hAnsi="宋体" w:eastAsia="宋体" w:cs="宋体"/>
          <w:color w:val="auto"/>
          <w:sz w:val="24"/>
          <w:szCs w:val="24"/>
          <w:highlight w:val="none"/>
          <w:lang w:val="zh-CN"/>
        </w:rPr>
        <w:t>有适用于变更工作的项目的，按该项目的单价或总价调整。合同中没有适用、只有类似于变更工程项目的，可在合理范围内参照类似项目的单价或总价调整。合同中没有适用也没有类似于变更工程项目的，根据变更工程资料、计量规则和计价办法、单价套用《</w:t>
      </w:r>
      <w:r>
        <w:rPr>
          <w:rFonts w:hint="eastAsia" w:ascii="宋体" w:hAnsi="宋体" w:eastAsia="宋体" w:cs="宋体"/>
          <w:color w:val="auto"/>
          <w:sz w:val="24"/>
          <w:szCs w:val="24"/>
          <w:highlight w:val="none"/>
        </w:rPr>
        <w:t>2017广东省水利预算定额</w:t>
      </w:r>
      <w:r>
        <w:rPr>
          <w:rFonts w:hint="eastAsia" w:ascii="宋体" w:hAnsi="宋体" w:eastAsia="宋体" w:cs="宋体"/>
          <w:color w:val="auto"/>
          <w:sz w:val="24"/>
          <w:szCs w:val="24"/>
          <w:highlight w:val="none"/>
          <w:lang w:val="zh-CN"/>
        </w:rPr>
        <w:t>》、参照施工同期工程造价管理机构发布的信息（参考）价格和承包人中标下浮率提出变更工程项目的单价或总价，经合同双方当事人确认后调整。</w:t>
      </w:r>
    </w:p>
    <w:p w14:paraId="02FCA43C">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15.5承包人的合理化建议</w:t>
      </w:r>
    </w:p>
    <w:p w14:paraId="7979AE4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15.5.2承包人实现合理化建议的奖励金额为：</w:t>
      </w:r>
      <w:r>
        <w:rPr>
          <w:rFonts w:hint="eastAsia" w:ascii="宋体" w:hAnsi="宋体" w:eastAsia="宋体" w:cs="宋体"/>
          <w:color w:val="auto"/>
          <w:sz w:val="24"/>
          <w:szCs w:val="24"/>
          <w:highlight w:val="none"/>
          <w:u w:val="single"/>
          <w:lang w:val="zh-CN"/>
        </w:rPr>
        <w:t>无。</w:t>
      </w:r>
    </w:p>
    <w:p w14:paraId="5321038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15.6暂列金额</w:t>
      </w:r>
    </w:p>
    <w:p w14:paraId="3F85ED6E">
      <w:pPr>
        <w:pageBreakBefore w:val="0"/>
        <w:widowControl w:val="0"/>
        <w:kinsoku/>
        <w:wordWrap/>
        <w:topLinePunct w:val="0"/>
        <w:bidi w:val="0"/>
        <w:spacing w:line="42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281DC43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15.8暂估价</w:t>
      </w:r>
    </w:p>
    <w:p w14:paraId="5BE3E6CC">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43C03A8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47" w:name="_Toc256773212"/>
      <w:r>
        <w:rPr>
          <w:rFonts w:hint="eastAsia" w:ascii="宋体" w:hAnsi="宋体" w:eastAsia="宋体" w:cs="宋体"/>
          <w:b/>
          <w:color w:val="auto"/>
          <w:sz w:val="24"/>
          <w:szCs w:val="24"/>
          <w:highlight w:val="none"/>
        </w:rPr>
        <w:t>15.9不可预见费（增加）</w:t>
      </w:r>
    </w:p>
    <w:p w14:paraId="6A86658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不可预见费为暂定计算项目，投标时按给定金额统一报价，但并不属于承包人所有，也不必然发生，只能按照发包人（建设单位）的指示使用，其最终结算费用应以实际发生为准，其余额仍归发包人（建设单位）所有。该费用用于施工中可能发生的不可预见、工程变更、合同约定调整因素出现时的工程价款调整以及发生的索赔、现场签证、政策性调整。</w:t>
      </w:r>
    </w:p>
    <w:p w14:paraId="391612F4">
      <w:pPr>
        <w:pageBreakBefore w:val="0"/>
        <w:widowControl w:val="0"/>
        <w:kinsoku/>
        <w:wordWrap/>
        <w:topLinePunct w:val="0"/>
        <w:bidi w:val="0"/>
        <w:spacing w:line="420" w:lineRule="exact"/>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16价格调整</w:t>
      </w:r>
      <w:bookmarkEnd w:id="247"/>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不作调整。</w:t>
      </w:r>
    </w:p>
    <w:p w14:paraId="47A9FE6F">
      <w:pPr>
        <w:pageBreakBefore w:val="0"/>
        <w:widowControl w:val="0"/>
        <w:kinsoku/>
        <w:wordWrap/>
        <w:topLinePunct w:val="0"/>
        <w:bidi w:val="0"/>
        <w:spacing w:line="420" w:lineRule="exact"/>
        <w:outlineLvl w:val="1"/>
        <w:rPr>
          <w:rFonts w:hint="eastAsia" w:ascii="宋体" w:hAnsi="宋体" w:eastAsia="宋体" w:cs="宋体"/>
          <w:b/>
          <w:color w:val="auto"/>
          <w:sz w:val="24"/>
          <w:szCs w:val="24"/>
          <w:highlight w:val="none"/>
        </w:rPr>
      </w:pPr>
      <w:bookmarkStart w:id="248" w:name="_Toc14413"/>
      <w:bookmarkStart w:id="249" w:name="_Toc13163"/>
      <w:bookmarkStart w:id="250" w:name="_Toc4982"/>
      <w:r>
        <w:rPr>
          <w:rFonts w:hint="eastAsia" w:ascii="宋体" w:hAnsi="宋体" w:eastAsia="宋体" w:cs="宋体"/>
          <w:b/>
          <w:color w:val="auto"/>
          <w:sz w:val="24"/>
          <w:szCs w:val="24"/>
          <w:highlight w:val="none"/>
        </w:rPr>
        <w:t>17计量与支付</w:t>
      </w:r>
      <w:bookmarkEnd w:id="248"/>
      <w:bookmarkEnd w:id="249"/>
      <w:bookmarkEnd w:id="250"/>
    </w:p>
    <w:p w14:paraId="340E8840">
      <w:pPr>
        <w:pageBreakBefore w:val="0"/>
        <w:widowControl w:val="0"/>
        <w:kinsoku/>
        <w:wordWrap/>
        <w:topLinePunct w:val="0"/>
        <w:bidi w:val="0"/>
        <w:adjustRightInd w:val="0"/>
        <w:snapToGrid w:val="0"/>
        <w:spacing w:line="420" w:lineRule="exac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预付款</w:t>
      </w:r>
    </w:p>
    <w:p w14:paraId="11C17096">
      <w:pPr>
        <w:pageBreakBefore w:val="0"/>
        <w:widowControl w:val="0"/>
        <w:kinsoku/>
        <w:wordWrap/>
        <w:topLinePunct w:val="0"/>
        <w:bidi w:val="0"/>
        <w:spacing w:line="420" w:lineRule="exact"/>
        <w:ind w:firstLine="480" w:firstLineChars="200"/>
        <w:rPr>
          <w:rFonts w:hint="eastAsia" w:ascii="宋体" w:hAnsi="宋体" w:eastAsia="宋体" w:cs="宋体"/>
          <w:bCs/>
          <w:color w:val="auto"/>
          <w:sz w:val="24"/>
          <w:szCs w:val="24"/>
          <w:highlight w:val="none"/>
        </w:rPr>
      </w:pPr>
      <w:bookmarkStart w:id="251" w:name="_Toc48666950"/>
      <w:r>
        <w:rPr>
          <w:rFonts w:hint="eastAsia" w:ascii="宋体" w:hAnsi="宋体" w:eastAsia="宋体" w:cs="宋体"/>
          <w:bCs/>
          <w:color w:val="auto"/>
          <w:sz w:val="24"/>
          <w:szCs w:val="24"/>
          <w:highlight w:val="none"/>
        </w:rPr>
        <w:t>17.</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.1预付款</w:t>
      </w:r>
      <w:bookmarkEnd w:id="251"/>
    </w:p>
    <w:p w14:paraId="4EA8CFAE">
      <w:pPr>
        <w:spacing w:line="284"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w:t>
      </w:r>
      <w:r>
        <w:rPr>
          <w:rFonts w:hint="eastAsia" w:ascii="宋体" w:hAnsi="宋体" w:eastAsia="宋体" w:cs="宋体"/>
          <w:color w:val="auto"/>
          <w:sz w:val="24"/>
          <w:szCs w:val="24"/>
          <w:highlight w:val="none"/>
          <w:lang w:eastAsia="zh-CN"/>
        </w:rPr>
        <w:t>预付款</w:t>
      </w:r>
      <w:r>
        <w:rPr>
          <w:rFonts w:hint="eastAsia" w:ascii="宋体" w:hAnsi="宋体" w:eastAsia="宋体" w:cs="宋体"/>
          <w:color w:val="auto"/>
          <w:sz w:val="24"/>
          <w:szCs w:val="24"/>
          <w:highlight w:val="none"/>
        </w:rPr>
        <w:t xml:space="preserve">的总金额为签约合同价的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0 %，分 1 次支付给承包人。</w:t>
      </w:r>
    </w:p>
    <w:p w14:paraId="12FC0325">
      <w:pPr>
        <w:spacing w:line="284"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（2）工程预付款及材料预付款的支付：承包人进场后7天内办理，预付款一次性支付。</w:t>
      </w:r>
    </w:p>
    <w:p w14:paraId="53F31B3C">
      <w:pPr>
        <w:pageBreakBefore w:val="0"/>
        <w:widowControl w:val="0"/>
        <w:kinsoku/>
        <w:wordWrap/>
        <w:topLinePunct w:val="0"/>
        <w:bidi w:val="0"/>
        <w:adjustRightInd w:val="0"/>
        <w:snapToGrid w:val="0"/>
        <w:spacing w:line="420" w:lineRule="exact"/>
        <w:ind w:firstLine="480" w:firstLineChars="200"/>
        <w:rPr>
          <w:rFonts w:hint="eastAsia" w:ascii="宋体" w:hAnsi="宋体" w:eastAsia="宋体" w:cs="宋体"/>
          <w:b/>
          <w:bCs/>
          <w:color w:val="auto"/>
          <w:sz w:val="24"/>
          <w:szCs w:val="24"/>
          <w:highlight w:val="none"/>
        </w:rPr>
      </w:pPr>
      <w:bookmarkStart w:id="252" w:name="_Toc48667352"/>
      <w:r>
        <w:rPr>
          <w:rFonts w:hint="eastAsia" w:ascii="宋体" w:hAnsi="宋体" w:eastAsia="宋体" w:cs="宋体"/>
          <w:color w:val="auto"/>
          <w:sz w:val="24"/>
          <w:szCs w:val="24"/>
          <w:highlight w:val="none"/>
        </w:rPr>
        <w:t>17.2 预付款保函（担保）</w:t>
      </w:r>
      <w:bookmarkEnd w:id="252"/>
      <w:bookmarkStart w:id="253" w:name="_Toc48667353"/>
      <w:r>
        <w:rPr>
          <w:rFonts w:hint="eastAsia" w:ascii="宋体" w:hAnsi="宋体" w:eastAsia="宋体" w:cs="宋体"/>
          <w:color w:val="auto"/>
          <w:sz w:val="24"/>
          <w:szCs w:val="24"/>
          <w:highlight w:val="none"/>
          <w:lang w:eastAsia="zh-CN"/>
        </w:rPr>
        <w:t>：</w:t>
      </w:r>
      <w:bookmarkEnd w:id="253"/>
      <w:r>
        <w:rPr>
          <w:rFonts w:hint="eastAsia" w:ascii="宋体" w:hAnsi="宋体" w:eastAsia="宋体" w:cs="宋体"/>
          <w:color w:val="auto"/>
          <w:sz w:val="24"/>
          <w:szCs w:val="24"/>
          <w:highlight w:val="none"/>
          <w:u w:val="single"/>
          <w:lang w:val="en-US" w:eastAsia="zh-CN"/>
        </w:rPr>
        <w:t>中标人提供银行保函或保险保函。</w:t>
      </w:r>
    </w:p>
    <w:p w14:paraId="1AE9F81F">
      <w:pPr>
        <w:pageBreakBefore w:val="0"/>
        <w:widowControl w:val="0"/>
        <w:kinsoku/>
        <w:wordWrap/>
        <w:topLinePunct w:val="0"/>
        <w:bidi w:val="0"/>
        <w:spacing w:line="420" w:lineRule="exact"/>
        <w:ind w:firstLine="480" w:firstLineChars="200"/>
        <w:rPr>
          <w:rFonts w:hint="eastAsia" w:ascii="宋体" w:hAnsi="宋体" w:eastAsia="宋体" w:cs="宋体"/>
          <w:bCs/>
          <w:color w:val="auto"/>
          <w:sz w:val="24"/>
          <w:szCs w:val="24"/>
          <w:highlight w:val="none"/>
          <w:lang w:val="en-US" w:eastAsia="zh-CN"/>
        </w:rPr>
      </w:pPr>
      <w:bookmarkStart w:id="254" w:name="_Toc48666956"/>
      <w:r>
        <w:rPr>
          <w:rFonts w:hint="eastAsia" w:ascii="宋体" w:hAnsi="宋体" w:eastAsia="宋体" w:cs="宋体"/>
          <w:bCs/>
          <w:color w:val="auto"/>
          <w:sz w:val="24"/>
          <w:szCs w:val="24"/>
          <w:highlight w:val="none"/>
          <w:lang w:val="en-US" w:eastAsia="zh-CN"/>
        </w:rPr>
        <w:t>17.2.1预付款的扣回与还清</w:t>
      </w:r>
      <w:bookmarkEnd w:id="254"/>
    </w:p>
    <w:p w14:paraId="0D2EDBD5">
      <w:pPr>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sz w:val="24"/>
          <w:szCs w:val="24"/>
          <w:highlight w:val="none"/>
        </w:rPr>
      </w:pPr>
      <w:bookmarkStart w:id="255" w:name="_Toc48667355"/>
      <w:r>
        <w:rPr>
          <w:rFonts w:hint="eastAsia" w:ascii="宋体" w:hAnsi="宋体" w:eastAsia="宋体" w:cs="宋体"/>
          <w:color w:val="auto"/>
          <w:sz w:val="24"/>
          <w:szCs w:val="24"/>
          <w:highlight w:val="none"/>
        </w:rPr>
        <w:t>（1） 工程预付款在合同累计完成金额达到签约合同价的</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%时开始扣款，直至合同累计完成金额达到签约合同价的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 xml:space="preserve"> %时全部扣清。</w:t>
      </w:r>
      <w:bookmarkEnd w:id="255"/>
    </w:p>
    <w:p w14:paraId="067FC0AB">
      <w:pPr>
        <w:adjustRightInd w:val="0"/>
        <w:snapToGrid w:val="0"/>
        <w:spacing w:line="284" w:lineRule="auto"/>
        <w:ind w:left="330" w:leftChars="157" w:firstLine="120" w:firstLineChars="50"/>
        <w:jc w:val="both"/>
        <w:rPr>
          <w:rFonts w:hint="eastAsia" w:ascii="宋体" w:hAnsi="宋体" w:eastAsia="宋体" w:cs="宋体"/>
          <w:color w:val="auto"/>
          <w:sz w:val="24"/>
          <w:szCs w:val="24"/>
          <w:highlight w:val="none"/>
        </w:rPr>
      </w:pPr>
      <w:bookmarkStart w:id="256" w:name="_Toc48667357"/>
      <w:r>
        <w:rPr>
          <w:rFonts w:hint="eastAsia" w:ascii="宋体" w:hAnsi="宋体" w:eastAsia="宋体" w:cs="宋体"/>
          <w:color w:val="auto"/>
          <w:sz w:val="24"/>
          <w:szCs w:val="24"/>
          <w:highlight w:val="none"/>
        </w:rPr>
        <w:t>R=</w:t>
      </w:r>
      <w:r>
        <w:rPr>
          <w:rFonts w:hint="eastAsia" w:ascii="宋体" w:hAnsi="宋体" w:eastAsia="宋体" w:cs="宋体"/>
          <w:color w:val="auto"/>
          <w:position w:val="-28"/>
          <w:sz w:val="24"/>
          <w:szCs w:val="24"/>
          <w:highlight w:val="none"/>
        </w:rPr>
        <w:object>
          <v:shape id="_x0000_i1025" o:spt="75" type="#_x0000_t75" style="height:33pt;width:60pt;" o:ole="t" filled="f" o:preferrelative="t" stroked="f" coordsize="21600,21600">
            <v:path/>
            <v:fill on="f" alignshape="1" focussize="0,0"/>
            <v:stroke on="f"/>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ascii="宋体" w:hAnsi="宋体" w:eastAsia="宋体" w:cs="宋体"/>
          <w:color w:val="auto"/>
          <w:sz w:val="24"/>
          <w:szCs w:val="24"/>
          <w:highlight w:val="none"/>
        </w:rPr>
        <w:t>（C-F</w:t>
      </w:r>
      <w:r>
        <w:rPr>
          <w:rFonts w:hint="eastAsia" w:ascii="宋体" w:hAnsi="宋体" w:eastAsia="宋体" w:cs="宋体"/>
          <w:color w:val="auto"/>
          <w:sz w:val="24"/>
          <w:szCs w:val="24"/>
          <w:highlight w:val="none"/>
          <w:vertAlign w:val="subscript"/>
        </w:rPr>
        <w:t>1</w:t>
      </w:r>
      <w:r>
        <w:rPr>
          <w:rFonts w:hint="eastAsia" w:ascii="宋体" w:hAnsi="宋体" w:eastAsia="宋体" w:cs="宋体"/>
          <w:color w:val="auto"/>
          <w:sz w:val="24"/>
          <w:szCs w:val="24"/>
          <w:highlight w:val="none"/>
        </w:rPr>
        <w:t>S）</w:t>
      </w:r>
    </w:p>
    <w:p w14:paraId="5DA98B19">
      <w:pPr>
        <w:adjustRightInd w:val="0"/>
        <w:snapToGrid w:val="0"/>
        <w:spacing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  R——每次进度付款中累计扣回的金额；</w:t>
      </w:r>
      <w:bookmarkEnd w:id="256"/>
    </w:p>
    <w:p w14:paraId="5ED5AAAB">
      <w:pPr>
        <w:adjustRightInd w:val="0"/>
        <w:snapToGrid w:val="0"/>
        <w:spacing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57" w:name="_Toc48667358"/>
      <w:r>
        <w:rPr>
          <w:rFonts w:hint="eastAsia" w:ascii="宋体" w:hAnsi="宋体" w:eastAsia="宋体" w:cs="宋体"/>
          <w:color w:val="auto"/>
          <w:sz w:val="24"/>
          <w:szCs w:val="24"/>
          <w:highlight w:val="none"/>
        </w:rPr>
        <w:t>A——工程预付款总金额；</w:t>
      </w:r>
      <w:bookmarkEnd w:id="257"/>
    </w:p>
    <w:p w14:paraId="7027996C">
      <w:pPr>
        <w:adjustRightInd w:val="0"/>
        <w:snapToGrid w:val="0"/>
        <w:spacing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58" w:name="_Toc48667359"/>
      <w:r>
        <w:rPr>
          <w:rFonts w:hint="eastAsia" w:ascii="宋体" w:hAnsi="宋体" w:eastAsia="宋体" w:cs="宋体"/>
          <w:color w:val="auto"/>
          <w:sz w:val="24"/>
          <w:szCs w:val="24"/>
          <w:highlight w:val="none"/>
        </w:rPr>
        <w:t>S——签约合同价；</w:t>
      </w:r>
      <w:bookmarkEnd w:id="258"/>
    </w:p>
    <w:p w14:paraId="45E4BDBF">
      <w:pPr>
        <w:adjustRightInd w:val="0"/>
        <w:snapToGrid w:val="0"/>
        <w:spacing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59" w:name="_Toc48667360"/>
      <w:r>
        <w:rPr>
          <w:rFonts w:hint="eastAsia" w:ascii="宋体" w:hAnsi="宋体" w:eastAsia="宋体" w:cs="宋体"/>
          <w:color w:val="auto"/>
          <w:sz w:val="24"/>
          <w:szCs w:val="24"/>
          <w:highlight w:val="none"/>
        </w:rPr>
        <w:t>C——合同累计完成金额；</w:t>
      </w:r>
      <w:bookmarkEnd w:id="259"/>
    </w:p>
    <w:p w14:paraId="3FF10C38">
      <w:pPr>
        <w:adjustRightInd w:val="0"/>
        <w:snapToGrid w:val="0"/>
        <w:spacing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60" w:name="_Toc48667361"/>
      <w:r>
        <w:rPr>
          <w:rFonts w:hint="eastAsia" w:ascii="宋体" w:hAnsi="宋体" w:eastAsia="宋体" w:cs="宋体"/>
          <w:color w:val="auto"/>
          <w:sz w:val="24"/>
          <w:szCs w:val="24"/>
          <w:highlight w:val="none"/>
        </w:rPr>
        <w:t>F1——开始扣款时合同累计完成金额达到签约合同价的比例；</w:t>
      </w:r>
      <w:bookmarkEnd w:id="260"/>
    </w:p>
    <w:p w14:paraId="4F8C2D00">
      <w:pPr>
        <w:adjustRightInd w:val="0"/>
        <w:snapToGrid w:val="0"/>
        <w:spacing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61" w:name="_Toc48667362"/>
      <w:r>
        <w:rPr>
          <w:rFonts w:hint="eastAsia" w:ascii="宋体" w:hAnsi="宋体" w:eastAsia="宋体" w:cs="宋体"/>
          <w:color w:val="auto"/>
          <w:sz w:val="24"/>
          <w:szCs w:val="24"/>
          <w:highlight w:val="none"/>
        </w:rPr>
        <w:t>F2——全部扣清时合同累计完成金额达到签约合同价的比例。</w:t>
      </w:r>
      <w:bookmarkEnd w:id="261"/>
    </w:p>
    <w:p w14:paraId="2D6B6C87">
      <w:pPr>
        <w:adjustRightInd w:val="0"/>
        <w:snapToGrid w:val="0"/>
        <w:spacing w:line="360" w:lineRule="auto"/>
        <w:ind w:left="3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62" w:name="_Toc48667363"/>
      <w:r>
        <w:rPr>
          <w:rFonts w:hint="eastAsia" w:ascii="宋体" w:hAnsi="宋体" w:eastAsia="宋体" w:cs="宋体"/>
          <w:color w:val="auto"/>
          <w:sz w:val="24"/>
          <w:szCs w:val="24"/>
          <w:highlight w:val="none"/>
        </w:rPr>
        <w:t>上述合同累计完成金额均指价格调整前未</w:t>
      </w:r>
      <w:r>
        <w:rPr>
          <w:rFonts w:hint="eastAsia" w:ascii="宋体" w:hAnsi="宋体" w:eastAsia="宋体" w:cs="宋体"/>
          <w:color w:val="auto"/>
          <w:sz w:val="24"/>
          <w:szCs w:val="24"/>
          <w:highlight w:val="none"/>
          <w:lang w:eastAsia="zh-CN"/>
        </w:rPr>
        <w:t>扣除</w:t>
      </w:r>
      <w:r>
        <w:rPr>
          <w:rFonts w:hint="eastAsia" w:ascii="宋体" w:hAnsi="宋体" w:eastAsia="宋体" w:cs="宋体"/>
          <w:color w:val="auto"/>
          <w:sz w:val="24"/>
          <w:szCs w:val="24"/>
          <w:highlight w:val="none"/>
        </w:rPr>
        <w:t>质量保证金的金额。</w:t>
      </w:r>
      <w:bookmarkEnd w:id="262"/>
    </w:p>
    <w:p w14:paraId="1B421ADF">
      <w:pPr>
        <w:pStyle w:val="9"/>
        <w:pageBreakBefore w:val="0"/>
        <w:widowControl w:val="0"/>
        <w:kinsoku/>
        <w:wordWrap/>
        <w:topLinePunct w:val="0"/>
        <w:bidi w:val="0"/>
        <w:spacing w:line="420" w:lineRule="exact"/>
        <w:outlineLvl w:val="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17.3工程进度付款</w:t>
      </w:r>
    </w:p>
    <w:p w14:paraId="3822C206">
      <w:pPr>
        <w:pageBreakBefore w:val="0"/>
        <w:widowControl w:val="0"/>
        <w:kinsoku/>
        <w:wordWrap/>
        <w:topLinePunct w:val="0"/>
        <w:bidi w:val="0"/>
        <w:adjustRightInd w:val="0"/>
        <w:snapToGrid w:val="0"/>
        <w:spacing w:line="420" w:lineRule="exact"/>
        <w:ind w:firstLine="480" w:firstLineChars="200"/>
        <w:rPr>
          <w:rFonts w:hint="eastAsia" w:ascii="宋体" w:hAnsi="宋体" w:eastAsia="宋体" w:cs="宋体"/>
          <w:color w:val="auto"/>
          <w:sz w:val="24"/>
          <w:szCs w:val="24"/>
          <w:highlight w:val="none"/>
          <w:u w:val="none"/>
        </w:rPr>
      </w:pPr>
      <w:bookmarkStart w:id="263" w:name="_Toc48667365"/>
      <w:r>
        <w:rPr>
          <w:rFonts w:hint="eastAsia" w:ascii="宋体" w:hAnsi="宋体" w:eastAsia="宋体" w:cs="宋体"/>
          <w:color w:val="auto"/>
          <w:sz w:val="24"/>
          <w:szCs w:val="24"/>
          <w:highlight w:val="none"/>
        </w:rPr>
        <w:t>17.3.</w:t>
      </w:r>
      <w:bookmarkEnd w:id="263"/>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none"/>
        </w:rPr>
        <w:t>付款周期</w:t>
      </w:r>
    </w:p>
    <w:p w14:paraId="3E719D5D">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修改为：付款周期由中标人根据工程进度不定期申请付款。</w:t>
      </w:r>
    </w:p>
    <w:p w14:paraId="37DCA978">
      <w:pPr>
        <w:pageBreakBefore w:val="0"/>
        <w:widowControl w:val="0"/>
        <w:kinsoku/>
        <w:wordWrap/>
        <w:topLinePunct w:val="0"/>
        <w:bidi w:val="0"/>
        <w:spacing w:line="42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17.3.3 进度付款证书和支付时间</w:t>
      </w:r>
    </w:p>
    <w:p w14:paraId="46251573">
      <w:pPr>
        <w:pageBreakBefore w:val="0"/>
        <w:widowControl w:val="0"/>
        <w:kinsoku/>
        <w:wordWrap/>
        <w:topLinePunct w:val="0"/>
        <w:bidi w:val="0"/>
        <w:spacing w:line="42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增加：发包人根据资金到位情况支付工程进度款。本项目为省级奖补资金，承包人需配合提供各阶段资金支付申请所需材料，如因承包人所负责提供的资金支付材料不齐造成的支付延误，由承包人承担。</w:t>
      </w:r>
    </w:p>
    <w:p w14:paraId="6C82462C">
      <w:pPr>
        <w:pageBreakBefore w:val="0"/>
        <w:widowControl w:val="0"/>
        <w:kinsoku/>
        <w:wordWrap/>
        <w:topLinePunct w:val="0"/>
        <w:bidi w:val="0"/>
        <w:spacing w:line="42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第(4)目修改为：(4)根据广东省基本建设财政资金集中支付的规定，工程进度款和竣工结算价款的支付时间最终以财政拨付的时间为准。因财政基本建设资金的支付需财政部门的审批和办理，发包人不对财政部门审批和办理所需时间承担任何责任。承包人须协助监理人和发包人办理有关集中支付所需的资料。</w:t>
      </w:r>
    </w:p>
    <w:p w14:paraId="46DF2166">
      <w:pPr>
        <w:pageBreakBefore w:val="0"/>
        <w:widowControl w:val="0"/>
        <w:kinsoku/>
        <w:wordWrap/>
        <w:topLinePunct w:val="0"/>
        <w:bidi w:val="0"/>
        <w:spacing w:line="42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增加(5)、(6)</w:t>
      </w:r>
    </w:p>
    <w:p w14:paraId="3FB2722D">
      <w:pPr>
        <w:pageBreakBefore w:val="0"/>
        <w:widowControl w:val="0"/>
        <w:numPr>
          <w:ilvl w:val="0"/>
          <w:numId w:val="0"/>
        </w:numPr>
        <w:kinsoku/>
        <w:wordWrap/>
        <w:topLinePunct w:val="0"/>
        <w:bidi w:val="0"/>
        <w:spacing w:line="42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）工程进度款按每次完成合格工程量的90%支付，工程进度款在支付</w:t>
      </w:r>
      <w:r>
        <w:rPr>
          <w:rFonts w:hint="eastAsia" w:ascii="宋体" w:hAnsi="宋体" w:eastAsia="宋体" w:cs="宋体"/>
          <w:b w:val="0"/>
          <w:bCs/>
          <w:color w:val="auto"/>
          <w:sz w:val="24"/>
          <w:szCs w:val="24"/>
          <w:highlight w:val="none"/>
          <w:lang w:val="en-US" w:eastAsia="zh-CN"/>
        </w:rPr>
        <w:t>至</w:t>
      </w:r>
      <w:r>
        <w:rPr>
          <w:rFonts w:hint="eastAsia" w:ascii="宋体" w:hAnsi="宋体" w:eastAsia="宋体" w:cs="宋体"/>
          <w:b w:val="0"/>
          <w:bCs/>
          <w:color w:val="auto"/>
          <w:sz w:val="24"/>
          <w:szCs w:val="24"/>
          <w:highlight w:val="none"/>
          <w:lang w:eastAsia="zh-CN"/>
        </w:rPr>
        <w:t>签约合同价的</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0％时停止支付。</w:t>
      </w:r>
    </w:p>
    <w:p w14:paraId="5CD90B7C">
      <w:pPr>
        <w:pageBreakBefore w:val="0"/>
        <w:widowControl w:val="0"/>
        <w:kinsoku/>
        <w:wordWrap/>
        <w:topLinePunct w:val="0"/>
        <w:bidi w:val="0"/>
        <w:spacing w:line="42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）合同工程完工验收合格且经财政投资评审中心对完工结算财审后，承包人将进度款的3%作为质量保证金，发包人将余下的工程款支付至工程结算价的100%。</w:t>
      </w:r>
    </w:p>
    <w:p w14:paraId="1B4D1E86">
      <w:pPr>
        <w:pageBreakBefore w:val="0"/>
        <w:widowControl w:val="0"/>
        <w:kinsoku/>
        <w:wordWrap/>
        <w:topLinePunct w:val="0"/>
        <w:bidi w:val="0"/>
        <w:spacing w:line="42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rPr>
        <w:t>17.4质量保证金</w:t>
      </w:r>
    </w:p>
    <w:p w14:paraId="3D70F6F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17.4.1款修改如下：</w:t>
      </w:r>
    </w:p>
    <w:p w14:paraId="496FC71A">
      <w:pPr>
        <w:pageBreakBefore w:val="0"/>
        <w:widowControl w:val="0"/>
        <w:kinsoku/>
        <w:wordWrap/>
        <w:topLinePunct w:val="0"/>
        <w:bidi w:val="0"/>
        <w:adjustRightInd w:val="0"/>
        <w:snapToGrid w:val="0"/>
        <w:spacing w:line="4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17.4.1扣留的质量保证金总额为工程结算价的3%。</w:t>
      </w:r>
    </w:p>
    <w:p w14:paraId="59C017F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17.4.2若</w:t>
      </w:r>
      <w:r>
        <w:rPr>
          <w:rFonts w:hint="eastAsia" w:ascii="宋体" w:hAnsi="宋体" w:eastAsia="宋体" w:cs="宋体"/>
          <w:color w:val="auto"/>
          <w:sz w:val="24"/>
          <w:szCs w:val="24"/>
          <w:highlight w:val="none"/>
        </w:rPr>
        <w:t>中标单位提交了银行保函、保证保险后，本项目不再扣留工程质量保证金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但</w:t>
      </w:r>
      <w:r>
        <w:rPr>
          <w:rFonts w:hint="eastAsia" w:ascii="宋体" w:hAnsi="宋体" w:eastAsia="宋体" w:cs="宋体"/>
          <w:color w:val="auto"/>
          <w:sz w:val="24"/>
          <w:szCs w:val="24"/>
          <w:highlight w:val="none"/>
          <w:u w:val="none"/>
        </w:rPr>
        <w:t>银行保函、保证保险</w:t>
      </w:r>
      <w:r>
        <w:rPr>
          <w:rFonts w:hint="eastAsia" w:ascii="宋体" w:hAnsi="宋体" w:eastAsia="宋体" w:cs="宋体"/>
          <w:color w:val="auto"/>
          <w:sz w:val="24"/>
          <w:szCs w:val="24"/>
          <w:highlight w:val="none"/>
          <w:u w:val="none"/>
          <w:lang w:eastAsia="zh-CN"/>
        </w:rPr>
        <w:t>有</w:t>
      </w:r>
      <w:r>
        <w:rPr>
          <w:rFonts w:hint="eastAsia" w:ascii="宋体" w:hAnsi="宋体" w:eastAsia="宋体" w:cs="宋体"/>
          <w:color w:val="auto"/>
          <w:sz w:val="24"/>
          <w:szCs w:val="24"/>
          <w:highlight w:val="none"/>
          <w:u w:val="none"/>
          <w:lang w:val="en-US" w:eastAsia="zh-CN"/>
        </w:rPr>
        <w:t>效期必须覆盖项目质保期。在约定的缺陷责任期（工程质量保修期）满时，发包人将在30个工作日内会同承包人按照合同约定的内容核实承包人是否完成保修责任。如无异议，发包人应当在核实后将剩余的质量保证金支付给承包人。</w:t>
      </w:r>
    </w:p>
    <w:p w14:paraId="53B23C5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17.5竣工结算（完工结算）</w:t>
      </w:r>
    </w:p>
    <w:p w14:paraId="110E25C9">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17.5.1竣工（完工）付款申请单</w:t>
      </w:r>
    </w:p>
    <w:p w14:paraId="37558E12">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（1）承包人应提交完工付款申请单一式</w:t>
      </w:r>
      <w:r>
        <w:rPr>
          <w:rFonts w:hint="eastAsia" w:ascii="宋体" w:hAnsi="宋体" w:eastAsia="宋体" w:cs="宋体"/>
          <w:color w:val="auto"/>
          <w:sz w:val="24"/>
          <w:szCs w:val="24"/>
          <w:highlight w:val="none"/>
          <w:u w:val="single"/>
        </w:rPr>
        <w:t>六</w:t>
      </w:r>
      <w:r>
        <w:rPr>
          <w:rFonts w:hint="eastAsia" w:ascii="宋体" w:hAnsi="宋体" w:eastAsia="宋体" w:cs="宋体"/>
          <w:color w:val="auto"/>
          <w:sz w:val="24"/>
          <w:szCs w:val="24"/>
          <w:highlight w:val="none"/>
        </w:rPr>
        <w:t>份。</w:t>
      </w:r>
    </w:p>
    <w:p w14:paraId="5A034CE9">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增加条款17.5.2（4）</w:t>
      </w:r>
      <w:r>
        <w:rPr>
          <w:rFonts w:hint="eastAsia" w:ascii="宋体" w:hAnsi="宋体" w:eastAsia="宋体" w:cs="宋体"/>
          <w:color w:val="auto"/>
          <w:sz w:val="24"/>
          <w:szCs w:val="24"/>
          <w:highlight w:val="none"/>
          <w:lang w:val="zh-CN"/>
        </w:rPr>
        <w:t>最终结算价以财政审核数为准。</w:t>
      </w:r>
    </w:p>
    <w:p w14:paraId="083807C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17.6最终结清</w:t>
      </w:r>
    </w:p>
    <w:p w14:paraId="3D2382E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17.6.1最终结清申请单</w:t>
      </w:r>
    </w:p>
    <w:p w14:paraId="71C41DB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（1）承包人应提交最终结清申请单一式</w:t>
      </w:r>
      <w:r>
        <w:rPr>
          <w:rFonts w:hint="eastAsia" w:ascii="宋体" w:hAnsi="宋体" w:eastAsia="宋体" w:cs="宋体"/>
          <w:color w:val="auto"/>
          <w:sz w:val="24"/>
          <w:szCs w:val="24"/>
          <w:highlight w:val="none"/>
          <w:u w:val="single"/>
        </w:rPr>
        <w:t>六</w:t>
      </w:r>
      <w:r>
        <w:rPr>
          <w:rFonts w:hint="eastAsia" w:ascii="宋体" w:hAnsi="宋体" w:eastAsia="宋体" w:cs="宋体"/>
          <w:color w:val="auto"/>
          <w:sz w:val="24"/>
          <w:szCs w:val="24"/>
          <w:highlight w:val="none"/>
        </w:rPr>
        <w:t>份。</w:t>
      </w:r>
    </w:p>
    <w:p w14:paraId="7C2C0CF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17.7竣工财务决算</w:t>
      </w:r>
    </w:p>
    <w:p w14:paraId="7F5FD86F">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承包人应为竣工财务决算编制提供的资料：</w:t>
      </w:r>
      <w:r>
        <w:rPr>
          <w:rFonts w:hint="eastAsia" w:ascii="宋体" w:hAnsi="宋体" w:eastAsia="宋体" w:cs="宋体"/>
          <w:color w:val="auto"/>
          <w:sz w:val="24"/>
          <w:szCs w:val="24"/>
          <w:highlight w:val="none"/>
          <w:u w:val="single"/>
        </w:rPr>
        <w:t>按有关规定</w:t>
      </w:r>
      <w:r>
        <w:rPr>
          <w:rFonts w:hint="eastAsia" w:ascii="宋体" w:hAnsi="宋体" w:eastAsia="宋体" w:cs="宋体"/>
          <w:color w:val="auto"/>
          <w:sz w:val="24"/>
          <w:szCs w:val="24"/>
          <w:highlight w:val="none"/>
        </w:rPr>
        <w:t>。</w:t>
      </w:r>
    </w:p>
    <w:p w14:paraId="25DF7B1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18竣工验收（验收）</w:t>
      </w:r>
    </w:p>
    <w:p w14:paraId="179B553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18.1验收工作分类</w:t>
      </w:r>
    </w:p>
    <w:p w14:paraId="0D26D65A">
      <w:pPr>
        <w:pageBreakBefore w:val="0"/>
        <w:widowControl w:val="0"/>
        <w:kinsoku/>
        <w:wordWrap/>
        <w:topLinePunct w:val="0"/>
        <w:bidi w:val="0"/>
        <w:adjustRightInd w:val="0"/>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本工程法人验收包括分部、单位工程及合同工程完工验收；政府验收包括：竣工验收。验收条件为：符合有关规范规定，验收程序为：符合有关规范规定。</w:t>
      </w:r>
    </w:p>
    <w:p w14:paraId="0E8DF4D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18.2分部工程验收</w:t>
      </w:r>
    </w:p>
    <w:p w14:paraId="5BFB915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本工程由发包人主持的分部工程验收为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，其余由监理人主持。</w:t>
      </w:r>
    </w:p>
    <w:p w14:paraId="50254963">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18.3单位工程验收</w:t>
      </w:r>
    </w:p>
    <w:p w14:paraId="4463689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提前投入使用的单位工程包括：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746419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18.5阶段验收</w:t>
      </w:r>
    </w:p>
    <w:p w14:paraId="09A92B01">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18.5.1本合同工程阶段验收类别包括：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CA8F47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18.6专项验收</w:t>
      </w:r>
    </w:p>
    <w:p w14:paraId="3B1F020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本合同工程专项验收类别包括：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253486E">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18.7竣工验收</w:t>
      </w:r>
    </w:p>
    <w:p w14:paraId="6B706B18">
      <w:pPr>
        <w:pageBreakBefore w:val="0"/>
        <w:widowControl w:val="0"/>
        <w:kinsoku/>
        <w:wordWrap/>
        <w:topLinePunct w:val="0"/>
        <w:bidi w:val="0"/>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w:t>
      </w:r>
      <w:r>
        <w:rPr>
          <w:rFonts w:hint="eastAsia" w:ascii="宋体" w:hAnsi="宋体" w:eastAsia="宋体" w:cs="宋体"/>
          <w:color w:val="auto"/>
          <w:sz w:val="24"/>
          <w:szCs w:val="24"/>
          <w:highlight w:val="none"/>
          <w:u w:val="single"/>
        </w:rPr>
        <w:t>需要</w:t>
      </w:r>
      <w:r>
        <w:rPr>
          <w:rFonts w:hint="eastAsia" w:ascii="宋体" w:hAnsi="宋体" w:eastAsia="宋体" w:cs="宋体"/>
          <w:color w:val="auto"/>
          <w:sz w:val="24"/>
          <w:szCs w:val="24"/>
          <w:highlight w:val="none"/>
        </w:rPr>
        <w:t>竣工验收技术鉴定。</w:t>
      </w:r>
    </w:p>
    <w:p w14:paraId="54B9692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增加条款18.7.6：</w:t>
      </w:r>
      <w:r>
        <w:rPr>
          <w:rFonts w:hint="eastAsia" w:ascii="宋体" w:hAnsi="宋体" w:eastAsia="宋体" w:cs="宋体"/>
          <w:color w:val="auto"/>
          <w:sz w:val="24"/>
          <w:szCs w:val="24"/>
          <w:highlight w:val="none"/>
          <w:lang w:val="zh-CN"/>
        </w:rPr>
        <w:t>所有资料应提交电子文档光盘</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文字材料采用</w:t>
      </w:r>
      <w:r>
        <w:rPr>
          <w:rFonts w:hint="eastAsia" w:ascii="宋体" w:hAnsi="宋体" w:eastAsia="宋体" w:cs="宋体"/>
          <w:color w:val="auto"/>
          <w:sz w:val="24"/>
          <w:szCs w:val="24"/>
          <w:highlight w:val="none"/>
        </w:rPr>
        <w:t>“WORD”</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“EXECL”</w:t>
      </w:r>
      <w:r>
        <w:rPr>
          <w:rFonts w:hint="eastAsia" w:ascii="宋体" w:hAnsi="宋体" w:eastAsia="宋体" w:cs="宋体"/>
          <w:color w:val="auto"/>
          <w:sz w:val="24"/>
          <w:szCs w:val="24"/>
          <w:highlight w:val="none"/>
          <w:lang w:val="zh-CN"/>
        </w:rPr>
        <w:t>格式</w:t>
      </w:r>
      <w:r>
        <w:rPr>
          <w:rFonts w:hint="eastAsia" w:ascii="宋体" w:hAnsi="宋体" w:eastAsia="宋体" w:cs="宋体"/>
          <w:color w:val="auto"/>
          <w:sz w:val="24"/>
          <w:szCs w:val="24"/>
          <w:highlight w:val="none"/>
        </w:rPr>
        <w:t>2003</w:t>
      </w:r>
      <w:r>
        <w:rPr>
          <w:rFonts w:hint="eastAsia" w:ascii="宋体" w:hAnsi="宋体" w:eastAsia="宋体" w:cs="宋体"/>
          <w:color w:val="auto"/>
          <w:sz w:val="24"/>
          <w:szCs w:val="24"/>
          <w:highlight w:val="none"/>
          <w:lang w:val="zh-CN"/>
        </w:rPr>
        <w:t>版本</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图纸采用</w:t>
      </w:r>
      <w:r>
        <w:rPr>
          <w:rFonts w:hint="eastAsia" w:ascii="宋体" w:hAnsi="宋体" w:eastAsia="宋体" w:cs="宋体"/>
          <w:color w:val="auto"/>
          <w:sz w:val="24"/>
          <w:szCs w:val="24"/>
          <w:highlight w:val="none"/>
        </w:rPr>
        <w:t>“DWG”</w:t>
      </w:r>
      <w:r>
        <w:rPr>
          <w:rFonts w:hint="eastAsia" w:ascii="宋体" w:hAnsi="宋体" w:eastAsia="宋体" w:cs="宋体"/>
          <w:color w:val="auto"/>
          <w:sz w:val="24"/>
          <w:szCs w:val="24"/>
          <w:highlight w:val="none"/>
          <w:lang w:val="zh-CN"/>
        </w:rPr>
        <w:t>格式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相片采用</w:t>
      </w:r>
      <w:r>
        <w:rPr>
          <w:rFonts w:hint="eastAsia" w:ascii="宋体" w:hAnsi="宋体" w:eastAsia="宋体" w:cs="宋体"/>
          <w:color w:val="auto"/>
          <w:sz w:val="24"/>
          <w:szCs w:val="24"/>
          <w:highlight w:val="none"/>
        </w:rPr>
        <w:t>“JPG”</w:t>
      </w:r>
      <w:r>
        <w:rPr>
          <w:rFonts w:hint="eastAsia" w:ascii="宋体" w:hAnsi="宋体" w:eastAsia="宋体" w:cs="宋体"/>
          <w:color w:val="auto"/>
          <w:sz w:val="24"/>
          <w:szCs w:val="24"/>
          <w:highlight w:val="none"/>
          <w:lang w:val="zh-CN"/>
        </w:rPr>
        <w:t>或</w:t>
      </w:r>
      <w:r>
        <w:rPr>
          <w:rFonts w:hint="eastAsia" w:ascii="宋体" w:hAnsi="宋体" w:eastAsia="宋体" w:cs="宋体"/>
          <w:color w:val="auto"/>
          <w:sz w:val="24"/>
          <w:szCs w:val="24"/>
          <w:highlight w:val="none"/>
        </w:rPr>
        <w:t>“JPEG”</w:t>
      </w:r>
      <w:r>
        <w:rPr>
          <w:rFonts w:hint="eastAsia" w:ascii="宋体" w:hAnsi="宋体" w:eastAsia="宋体" w:cs="宋体"/>
          <w:color w:val="auto"/>
          <w:sz w:val="24"/>
          <w:szCs w:val="24"/>
          <w:highlight w:val="none"/>
          <w:lang w:val="zh-CN"/>
        </w:rPr>
        <w:t>格式。</w:t>
      </w:r>
    </w:p>
    <w:p w14:paraId="06F7ABA1">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18.8施工期运行</w:t>
      </w:r>
    </w:p>
    <w:p w14:paraId="5A27FD40">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18.8.1需要在施工期运行的单位工程或工程设备为：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858527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18.9试运行</w:t>
      </w:r>
    </w:p>
    <w:p w14:paraId="68E72A9A">
      <w:pPr>
        <w:pageBreakBefore w:val="0"/>
        <w:widowControl w:val="0"/>
        <w:kinsoku/>
        <w:wordWrap/>
        <w:topLinePunct w:val="0"/>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18.9.1试运行的组织：</w:t>
      </w:r>
      <w:r>
        <w:rPr>
          <w:rFonts w:hint="eastAsia" w:ascii="宋体" w:hAnsi="宋体" w:eastAsia="宋体" w:cs="宋体"/>
          <w:color w:val="auto"/>
          <w:sz w:val="24"/>
          <w:szCs w:val="24"/>
          <w:highlight w:val="none"/>
          <w:u w:val="single"/>
        </w:rPr>
        <w:t>发包人或委托监理人</w:t>
      </w:r>
      <w:r>
        <w:rPr>
          <w:rFonts w:hint="eastAsia" w:ascii="宋体" w:hAnsi="宋体" w:eastAsia="宋体" w:cs="宋体"/>
          <w:color w:val="auto"/>
          <w:sz w:val="24"/>
          <w:szCs w:val="24"/>
          <w:highlight w:val="none"/>
        </w:rPr>
        <w:t>；费用承担：</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w:t>
      </w:r>
    </w:p>
    <w:p w14:paraId="7857F21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64" w:name="_Toc256773215"/>
      <w:r>
        <w:rPr>
          <w:rFonts w:hint="eastAsia" w:ascii="宋体" w:hAnsi="宋体" w:eastAsia="宋体" w:cs="宋体"/>
          <w:b/>
          <w:color w:val="auto"/>
          <w:sz w:val="24"/>
          <w:szCs w:val="24"/>
          <w:highlight w:val="none"/>
        </w:rPr>
        <w:t>19缺陷责任与保修责任</w:t>
      </w:r>
      <w:bookmarkEnd w:id="264"/>
    </w:p>
    <w:p w14:paraId="059C93F2">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19.1缺陷责任期（工程质量保修期）的起算时间</w:t>
      </w:r>
    </w:p>
    <w:p w14:paraId="1AA24207">
      <w:pPr>
        <w:pageBreakBefore w:val="0"/>
        <w:widowControl w:val="0"/>
        <w:kinsoku/>
        <w:wordWrap/>
        <w:topLinePunct w:val="0"/>
        <w:bidi w:val="0"/>
        <w:spacing w:line="42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本工程经各方均确认为缺陷备案的部分，工程量不予结算，缺陷责任期（工程质量保修期）计算如下：</w:t>
      </w:r>
      <w:r>
        <w:rPr>
          <w:rFonts w:hint="eastAsia" w:ascii="宋体" w:hAnsi="宋体" w:eastAsia="宋体" w:cs="宋体"/>
          <w:color w:val="auto"/>
          <w:sz w:val="24"/>
          <w:szCs w:val="24"/>
          <w:highlight w:val="none"/>
          <w:u w:val="single"/>
        </w:rPr>
        <w:t>保修期自工程移交证书中写明的全部工程完工日开始算起，时间为1年。</w:t>
      </w:r>
    </w:p>
    <w:p w14:paraId="53F9333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65" w:name="_Toc256773216"/>
      <w:r>
        <w:rPr>
          <w:rFonts w:hint="eastAsia" w:ascii="宋体" w:hAnsi="宋体" w:eastAsia="宋体" w:cs="宋体"/>
          <w:b/>
          <w:color w:val="auto"/>
          <w:sz w:val="24"/>
          <w:szCs w:val="24"/>
          <w:highlight w:val="none"/>
        </w:rPr>
        <w:t>20保险</w:t>
      </w:r>
      <w:bookmarkEnd w:id="265"/>
    </w:p>
    <w:p w14:paraId="47BED8A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20.1工程保险</w:t>
      </w:r>
    </w:p>
    <w:p w14:paraId="299D6BB0">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建筑工程一切险和（或）安装工程一切险投保人：</w:t>
      </w:r>
      <w:r>
        <w:rPr>
          <w:rFonts w:hint="eastAsia" w:ascii="宋体" w:hAnsi="宋体" w:eastAsia="宋体" w:cs="宋体"/>
          <w:color w:val="auto"/>
          <w:sz w:val="24"/>
          <w:szCs w:val="24"/>
          <w:highlight w:val="none"/>
          <w:u w:val="single"/>
        </w:rPr>
        <w:t>以承包人和发包人的共同名义</w:t>
      </w:r>
      <w:r>
        <w:rPr>
          <w:rFonts w:hint="eastAsia" w:ascii="宋体" w:hAnsi="宋体" w:eastAsia="宋体" w:cs="宋体"/>
          <w:color w:val="auto"/>
          <w:sz w:val="24"/>
          <w:szCs w:val="24"/>
          <w:highlight w:val="none"/>
        </w:rPr>
        <w:t>；</w:t>
      </w:r>
    </w:p>
    <w:p w14:paraId="7A3CEABD">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投保内容：</w:t>
      </w:r>
      <w:r>
        <w:rPr>
          <w:rFonts w:hint="eastAsia" w:ascii="宋体" w:hAnsi="宋体" w:eastAsia="宋体" w:cs="宋体"/>
          <w:color w:val="auto"/>
          <w:sz w:val="24"/>
          <w:szCs w:val="24"/>
          <w:highlight w:val="none"/>
          <w:u w:val="single"/>
        </w:rPr>
        <w:t>按规定办理</w:t>
      </w:r>
      <w:r>
        <w:rPr>
          <w:rFonts w:hint="eastAsia" w:ascii="宋体" w:hAnsi="宋体" w:eastAsia="宋体" w:cs="宋体"/>
          <w:color w:val="auto"/>
          <w:sz w:val="24"/>
          <w:szCs w:val="24"/>
          <w:highlight w:val="none"/>
        </w:rPr>
        <w:t>；</w:t>
      </w:r>
    </w:p>
    <w:p w14:paraId="542B7AE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保险金额、保险费率和保险期限：</w:t>
      </w:r>
      <w:r>
        <w:rPr>
          <w:rFonts w:hint="eastAsia" w:ascii="宋体" w:hAnsi="宋体" w:eastAsia="宋体" w:cs="宋体"/>
          <w:color w:val="auto"/>
          <w:sz w:val="24"/>
          <w:szCs w:val="24"/>
          <w:highlight w:val="none"/>
          <w:u w:val="single"/>
        </w:rPr>
        <w:t>按规定办理</w:t>
      </w:r>
      <w:r>
        <w:rPr>
          <w:rFonts w:hint="eastAsia" w:ascii="宋体" w:hAnsi="宋体" w:eastAsia="宋体" w:cs="宋体"/>
          <w:color w:val="auto"/>
          <w:sz w:val="24"/>
          <w:szCs w:val="24"/>
          <w:highlight w:val="none"/>
        </w:rPr>
        <w:t>。</w:t>
      </w:r>
    </w:p>
    <w:p w14:paraId="4CBF645D">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20.4第三者责任险</w:t>
      </w:r>
    </w:p>
    <w:p w14:paraId="4740EFD4">
      <w:pPr>
        <w:pageBreakBefore w:val="0"/>
        <w:widowControl w:val="0"/>
        <w:kinsoku/>
        <w:wordWrap/>
        <w:topLinePunct w:val="0"/>
        <w:bidi w:val="0"/>
        <w:spacing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20.4.2</w:t>
      </w:r>
      <w:r>
        <w:rPr>
          <w:rFonts w:hint="eastAsia" w:ascii="宋体" w:hAnsi="宋体" w:eastAsia="宋体" w:cs="宋体"/>
          <w:color w:val="auto"/>
          <w:sz w:val="24"/>
          <w:szCs w:val="24"/>
          <w:highlight w:val="none"/>
        </w:rPr>
        <w:t>第三者责任险保险费率：</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9503123">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第三者责任险保险金额：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57B5C8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20.5其他保险</w:t>
      </w:r>
    </w:p>
    <w:p w14:paraId="17EE8B8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投保的其他内容：承包人应以承包人的名义投保施工设备险，投保项目及其保险金额由承包人根据其配备的施工设备状况自行确定，但承包人应充分估计主要施工设备可能发生的重大事故或因自然灾害造成施工设备的损失和损坏对工程的影响；保险金额、保险费率和保险期限：按与保险公司已签订的协议由承包人支付。</w:t>
      </w:r>
    </w:p>
    <w:p w14:paraId="3CBDCCD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20.6对各项保险的一般要求</w:t>
      </w:r>
    </w:p>
    <w:p w14:paraId="195AB4B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20.6.1保险凭证</w:t>
      </w:r>
    </w:p>
    <w:p w14:paraId="2054B266">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承包人提交保险凭证的期限：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50E905C">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保险条件：</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131306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20.6.4保险金不足的补偿</w:t>
      </w:r>
    </w:p>
    <w:p w14:paraId="437E50D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承包人负责补偿的范围与金额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0AA857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发包人负责补偿的范围与金额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6CAB01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22违约</w:t>
      </w:r>
    </w:p>
    <w:p w14:paraId="4FEA6C19">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22.1承包人违约</w:t>
      </w:r>
    </w:p>
    <w:p w14:paraId="72DB2CBB">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增加条款22.1.7</w:t>
      </w:r>
      <w:r>
        <w:rPr>
          <w:rFonts w:hint="eastAsia" w:ascii="宋体" w:hAnsi="宋体" w:eastAsia="宋体" w:cs="宋体"/>
          <w:color w:val="auto"/>
          <w:sz w:val="24"/>
          <w:szCs w:val="24"/>
          <w:highlight w:val="none"/>
          <w:lang w:val="zh-CN"/>
        </w:rPr>
        <w:t>未经发包人同意擅自更换项目经理、项目技术负责人，每更换一人次，发包人将对承包人处以人民币</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zh-CN"/>
        </w:rPr>
        <w:t>的违约金；承包人多次更换上述人员，发包人有权解除合同。</w:t>
      </w:r>
    </w:p>
    <w:p w14:paraId="2B78AA4B">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22.2发包人违约</w:t>
      </w:r>
    </w:p>
    <w:p w14:paraId="34EDD1B5">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22.2.1（6）</w:t>
      </w:r>
      <w:r>
        <w:rPr>
          <w:rFonts w:hint="eastAsia" w:ascii="宋体" w:hAnsi="宋体" w:eastAsia="宋体" w:cs="宋体"/>
          <w:color w:val="auto"/>
          <w:sz w:val="24"/>
          <w:szCs w:val="24"/>
          <w:highlight w:val="none"/>
          <w:lang w:val="zh-CN"/>
        </w:rPr>
        <w:t>发包人未能按合同规定的内容和时间提供测量基准和应由发包人负责的部分准备工程等（除征地拆迁和移民安置工作除外）承包人施工所需的条件。</w:t>
      </w:r>
    </w:p>
    <w:p w14:paraId="32DA63D8">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22.2.4</w:t>
      </w:r>
      <w:r>
        <w:rPr>
          <w:rFonts w:hint="eastAsia" w:ascii="宋体" w:hAnsi="宋体" w:eastAsia="宋体" w:cs="宋体"/>
          <w:color w:val="auto"/>
          <w:sz w:val="24"/>
          <w:szCs w:val="24"/>
          <w:highlight w:val="none"/>
          <w:lang w:val="zh-CN"/>
        </w:rPr>
        <w:t>本款第一段末补充：本合同项目执行资金集中支付方式，按集中支付的有关规定办理，发包人不对财政的审核方式和付款时间负任何责任。</w:t>
      </w:r>
    </w:p>
    <w:p w14:paraId="13AEF320">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66" w:name="_Toc256773217"/>
      <w:r>
        <w:rPr>
          <w:rFonts w:hint="eastAsia" w:ascii="宋体" w:hAnsi="宋体" w:eastAsia="宋体" w:cs="宋体"/>
          <w:b/>
          <w:color w:val="auto"/>
          <w:sz w:val="24"/>
          <w:szCs w:val="24"/>
          <w:highlight w:val="none"/>
        </w:rPr>
        <w:t>24争议的解决</w:t>
      </w:r>
      <w:bookmarkEnd w:id="266"/>
    </w:p>
    <w:p w14:paraId="1A4CF7F8">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24.1争议的解决方式</w:t>
      </w:r>
    </w:p>
    <w:p w14:paraId="382A7C63">
      <w:pPr>
        <w:pageBreakBefore w:val="0"/>
        <w:widowControl w:val="0"/>
        <w:kinsoku/>
        <w:wordWrap/>
        <w:topLinePunct w:val="0"/>
        <w:bidi w:val="0"/>
        <w:spacing w:line="42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合同当事人友好协商解决不成、不愿提请争议评审或不接受争议评审组意见的，约定的合同争议解决方式：</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向发包人所在地有管辖权的人民法院提起</w:t>
      </w:r>
      <w:r>
        <w:rPr>
          <w:rFonts w:hint="eastAsia" w:ascii="宋体" w:hAnsi="宋体" w:eastAsia="宋体" w:cs="宋体"/>
          <w:color w:val="auto"/>
          <w:sz w:val="24"/>
          <w:szCs w:val="24"/>
          <w:highlight w:val="none"/>
          <w:lang w:val="zh-CN"/>
        </w:rPr>
        <w:t>诉讼</w:t>
      </w:r>
      <w:r>
        <w:rPr>
          <w:rFonts w:hint="eastAsia" w:ascii="宋体" w:hAnsi="宋体" w:eastAsia="宋体" w:cs="宋体"/>
          <w:color w:val="auto"/>
          <w:sz w:val="24"/>
          <w:szCs w:val="24"/>
          <w:highlight w:val="none"/>
        </w:rPr>
        <w:t>。</w:t>
      </w:r>
      <w:bookmarkStart w:id="267" w:name="_Toc236912473"/>
      <w:bookmarkStart w:id="268" w:name="_Toc274217994"/>
    </w:p>
    <w:bookmarkEnd w:id="267"/>
    <w:bookmarkEnd w:id="268"/>
    <w:p w14:paraId="1885C507">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bookmarkStart w:id="269" w:name="_Toc274217995"/>
      <w:bookmarkStart w:id="270" w:name="_Toc236912474"/>
      <w:r>
        <w:rPr>
          <w:rFonts w:hint="eastAsia" w:ascii="宋体" w:hAnsi="宋体" w:eastAsia="宋体" w:cs="宋体"/>
          <w:b/>
          <w:color w:val="auto"/>
          <w:sz w:val="24"/>
          <w:szCs w:val="24"/>
          <w:highlight w:val="none"/>
        </w:rPr>
        <w:t>25保密</w:t>
      </w:r>
      <w:bookmarkEnd w:id="269"/>
      <w:bookmarkEnd w:id="270"/>
    </w:p>
    <w:p w14:paraId="586FE334">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双方还应对本合同内容及双方相互提供标有密级的文件保密，违者应对泄密造成的后果承担责任。</w:t>
      </w:r>
      <w:bookmarkStart w:id="271" w:name="_Toc274217997"/>
      <w:bookmarkStart w:id="272" w:name="_Toc236912476"/>
    </w:p>
    <w:p w14:paraId="19A4F1A6">
      <w:pPr>
        <w:pageBreakBefore w:val="0"/>
        <w:widowControl w:val="0"/>
        <w:kinsoku/>
        <w:wordWrap/>
        <w:topLinePunct w:val="0"/>
        <w:bidi w:val="0"/>
        <w:spacing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26其他</w:t>
      </w:r>
      <w:bookmarkEnd w:id="271"/>
      <w:bookmarkEnd w:id="272"/>
    </w:p>
    <w:p w14:paraId="5C7DDB3A">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承包人应遵守当地政府的法规规定和各项管理制度，根据当地政府的要求办理相关的登记、注册、备案等，并承担相关的费用；</w:t>
      </w:r>
    </w:p>
    <w:p w14:paraId="49F944D7">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（2）承包人及其人员应尊重工程所在地的民风民俗。</w:t>
      </w:r>
    </w:p>
    <w:p w14:paraId="0AA122E2">
      <w:pPr>
        <w:pageBreakBefore w:val="0"/>
        <w:widowControl w:val="0"/>
        <w:kinsoku/>
        <w:wordWrap/>
        <w:topLinePunct w:val="0"/>
        <w:bidi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根据转发《广东省人力资源和社会保障厅广东省住房和城乡建设厅广东省交通运输厅广东省水利厅关于建设工程领域农民工工资支付保证金管理办法》的通知(韶人社〔2020〕3号)规定:我市行政区域范围内从事各类建设活动的建筑施工企业在与建设单位签订工程施工承包合同后，必须到人力资源和社会保障局办理工资保证金登记手续，并到指定的银行设立工资保证金专用账户，按照中标价的3％(不超过300万元)一次性提取资金存入该账户或采用本地银行保函或国有保险机构工资保证金保险保函制度。如果发现拖欠工人工资或其他劳动纠纷行为，有关部门将从保证金专用账户中提取资金用于支付工人工资或出具保函的银行、保险公司按《保函履约协议》约定垫付或经依法裁定应由承包人支付的劳动纠纷款项。承包人在签订工程施工承包合同后一个月内必须办妥该事项，并将回执交发包人。如签订工程施工承包合同后一个月内未办妥的，项目所在地水行政主管部门将上报上级水行政主管部门记录承包人水利建设市场主体信用信息情况。</w:t>
      </w:r>
    </w:p>
    <w:p w14:paraId="4EC41933">
      <w:pPr>
        <w:pageBreakBefore w:val="0"/>
        <w:widowControl w:val="0"/>
        <w:kinsoku/>
        <w:wordWrap/>
        <w:topLinePunct w:val="0"/>
        <w:bidi w:val="0"/>
        <w:spacing w:line="420" w:lineRule="exact"/>
        <w:ind w:firstLine="48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依据人力资源社会保障部等十部门印发的《工程建设领域农民工工资专用账户管理暂行办法》（人社部发〔2021〕53号），本项目必须执行建设领域工人工资支付分账管理，并于项目开工建设前到项目施工所在地银行设立工人工资支付专用账户，为每个工人办理工资个人账户，并建立劳动用工管理台账备查。根据水利工程人工工资所占比例，于每次拨付工程进度款时，按工程款的</w:t>
      </w:r>
      <w:r>
        <w:rPr>
          <w:rFonts w:hint="eastAsia" w:ascii="宋体" w:hAnsi="宋体" w:eastAsia="宋体" w:cs="宋体"/>
          <w:color w:val="auto"/>
          <w:sz w:val="24"/>
          <w:szCs w:val="24"/>
          <w:highlight w:val="none"/>
          <w:lang w:val="en-US" w:eastAsia="zh-CN"/>
        </w:rPr>
        <w:t>12%以上</w:t>
      </w:r>
      <w:r>
        <w:rPr>
          <w:rFonts w:hint="eastAsia" w:ascii="宋体" w:hAnsi="宋体" w:eastAsia="宋体" w:cs="宋体"/>
          <w:color w:val="auto"/>
          <w:sz w:val="24"/>
          <w:szCs w:val="24"/>
          <w:highlight w:val="none"/>
          <w:lang w:val="zh-CN"/>
        </w:rPr>
        <w:t>将资金转存到中标单位开设的工人工资专用账户上，确保足额支付工人工资。若未按期执行，将上报省市水行政主管部门将此行为列入不良信用记录。</w:t>
      </w:r>
    </w:p>
    <w:p w14:paraId="165AB719">
      <w:pPr>
        <w:pageBreakBefore w:val="0"/>
        <w:widowControl w:val="0"/>
        <w:kinsoku/>
        <w:wordWrap/>
        <w:topLinePunct w:val="0"/>
        <w:bidi w:val="0"/>
        <w:spacing w:line="420" w:lineRule="exact"/>
        <w:rPr>
          <w:rFonts w:hint="eastAsia" w:ascii="宋体" w:hAnsi="宋体" w:eastAsia="宋体" w:cs="宋体"/>
          <w:color w:val="auto"/>
          <w:sz w:val="21"/>
          <w:szCs w:val="21"/>
          <w:highlight w:val="none"/>
        </w:rPr>
      </w:pPr>
    </w:p>
    <w:p w14:paraId="3748C031">
      <w:pPr>
        <w:pStyle w:val="3"/>
        <w:keepNext/>
        <w:keepLines/>
        <w:pageBreakBefore w:val="0"/>
        <w:widowControl w:val="0"/>
        <w:kinsoku/>
        <w:wordWrap/>
        <w:overflowPunct/>
        <w:topLinePunct w:val="0"/>
        <w:autoSpaceDE/>
        <w:autoSpaceDN/>
        <w:bidi w:val="0"/>
        <w:adjustRightInd/>
        <w:snapToGrid/>
        <w:spacing w:before="20" w:after="20" w:line="416"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1"/>
          <w:szCs w:val="21"/>
          <w:highlight w:val="none"/>
        </w:rPr>
        <w:br w:type="page"/>
      </w:r>
      <w:bookmarkStart w:id="273" w:name="_Toc24001"/>
      <w:r>
        <w:rPr>
          <w:rFonts w:hint="eastAsia" w:ascii="宋体" w:hAnsi="宋体" w:eastAsia="宋体" w:cs="宋体"/>
          <w:color w:val="auto"/>
          <w:sz w:val="28"/>
          <w:szCs w:val="28"/>
        </w:rPr>
        <w:t>第3节</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合同附件格式</w:t>
      </w:r>
      <w:bookmarkEnd w:id="176"/>
      <w:bookmarkEnd w:id="273"/>
    </w:p>
    <w:p w14:paraId="361EA98B">
      <w:pPr>
        <w:tabs>
          <w:tab w:val="left" w:pos="3480"/>
        </w:tabs>
        <w:adjustRightInd w:val="0"/>
        <w:snapToGrid w:val="0"/>
        <w:rPr>
          <w:rFonts w:hint="eastAsia" w:ascii="宋体" w:hAnsi="宋体" w:eastAsia="宋体" w:cs="宋体"/>
          <w:b/>
          <w:color w:val="auto"/>
          <w:sz w:val="21"/>
          <w:szCs w:val="21"/>
          <w:highlight w:val="none"/>
        </w:rPr>
      </w:pPr>
    </w:p>
    <w:p w14:paraId="4785585E">
      <w:pPr>
        <w:tabs>
          <w:tab w:val="left" w:pos="3480"/>
        </w:tabs>
        <w:adjustRightInd w:val="0"/>
        <w:snapToGrid w:val="0"/>
        <w:outlineLvl w:val="1"/>
        <w:rPr>
          <w:rFonts w:hint="eastAsia" w:ascii="宋体" w:hAnsi="宋体" w:eastAsia="宋体" w:cs="宋体"/>
          <w:color w:val="auto"/>
          <w:sz w:val="24"/>
          <w:szCs w:val="24"/>
          <w:highlight w:val="none"/>
        </w:rPr>
      </w:pPr>
      <w:bookmarkStart w:id="274" w:name="_Toc18117"/>
      <w:bookmarkStart w:id="275" w:name="_Toc23166"/>
      <w:bookmarkStart w:id="276" w:name="_Toc5956"/>
      <w:r>
        <w:rPr>
          <w:rFonts w:hint="eastAsia" w:ascii="宋体" w:hAnsi="宋体" w:eastAsia="宋体" w:cs="宋体"/>
          <w:b/>
          <w:color w:val="auto"/>
          <w:sz w:val="24"/>
          <w:szCs w:val="24"/>
          <w:highlight w:val="none"/>
        </w:rPr>
        <w:t>附件一：合同协议书</w:t>
      </w:r>
      <w:bookmarkEnd w:id="274"/>
      <w:bookmarkEnd w:id="275"/>
      <w:bookmarkEnd w:id="276"/>
    </w:p>
    <w:p w14:paraId="6FB02663">
      <w:pPr>
        <w:adjustRightInd w:val="0"/>
        <w:snapToGrid w:val="0"/>
        <w:spacing w:line="320" w:lineRule="exact"/>
        <w:ind w:left="838" w:leftChars="342"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（发包人名称，以下简称“发包人” ）经公开招标程序，于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703EE443">
      <w:pPr>
        <w:adjustRightInd w:val="0"/>
        <w:snapToGrid w:val="0"/>
        <w:spacing w:line="320" w:lineRule="exact"/>
        <w:ind w:left="240" w:hanging="240" w:hanging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（项目名称）施工招标文件规定的定标方式确定</w:t>
      </w:r>
      <w:r>
        <w:rPr>
          <w:rFonts w:hint="eastAsia" w:ascii="宋体" w:hAnsi="宋体" w:eastAsia="宋体" w:cs="宋体"/>
          <w:color w:val="auto"/>
          <w:sz w:val="24"/>
          <w:highlight w:val="none"/>
          <w:u w:val="single"/>
        </w:rPr>
        <w:t xml:space="preserve">                   </w:t>
      </w:r>
    </w:p>
    <w:p w14:paraId="0C3287F5">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（承包人名称，以下简称“承包人” ）为本项目施工招标的中标单位。依照《中华人民共和国民法典》《中华人民共和国招标投标法》及其他相关法律法规、部门规章、地方性法规和规章，遵循平等、自愿、公平和诚实信用的原则，就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项目名称）施工事宜达成一致，特订立本协议。</w:t>
      </w:r>
    </w:p>
    <w:p w14:paraId="38E4643C">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33EDFB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(l)补充协议；</w:t>
      </w:r>
    </w:p>
    <w:p w14:paraId="04DA2C0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14:paraId="71972DD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投标函及投标函附录；</w:t>
      </w:r>
    </w:p>
    <w:p w14:paraId="5AABCB3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专用合同条款；</w:t>
      </w:r>
    </w:p>
    <w:p w14:paraId="29E01B7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(5)通用合同条款；</w:t>
      </w:r>
    </w:p>
    <w:p w14:paraId="26BAB3A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(6)招标文件（含招标文件的补充文件、澄清文件、答疑文件、招标图纸等）；</w:t>
      </w:r>
    </w:p>
    <w:p w14:paraId="1B08AA6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(7)中标的投标文件（含投标文件的澄清等）；</w:t>
      </w:r>
    </w:p>
    <w:p w14:paraId="3EECA0C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(8)国家及广东省、韶关市的标准、规范及有关技术文件；</w:t>
      </w:r>
    </w:p>
    <w:p w14:paraId="4BFEEE5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(9)经双方确认进入合同的其他文件。</w:t>
      </w:r>
    </w:p>
    <w:p w14:paraId="1A024DF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2．上述文件互相补充和解释，如有不明确或不一致之处，以合同约定次序在先者为准。</w:t>
      </w:r>
    </w:p>
    <w:p w14:paraId="4F1BEC0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签约含税合同价：人民币（大写）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），其中不可预见费为人民币（大写）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3004934">
      <w:pPr>
        <w:snapToGrid w:val="0"/>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本项目主体工程采用综合单价承包（综合单价为财政审核控制单价×（1-中标下浮率）为中标的综合单价，合同总价为</w:t>
      </w:r>
      <w:r>
        <w:rPr>
          <w:rFonts w:hint="eastAsia" w:ascii="宋体" w:hAnsi="宋体" w:eastAsia="宋体" w:cs="宋体"/>
          <w:color w:val="auto"/>
          <w:sz w:val="24"/>
          <w:szCs w:val="24"/>
          <w:highlight w:val="none"/>
          <w:lang w:eastAsia="zh-CN"/>
        </w:rPr>
        <w:t>（最高投标限价-安全生产措施费、其他临时工程费）</w:t>
      </w:r>
      <w:r>
        <w:rPr>
          <w:rFonts w:hint="eastAsia" w:ascii="宋体" w:hAnsi="宋体" w:eastAsia="宋体" w:cs="宋体"/>
          <w:color w:val="auto"/>
          <w:sz w:val="24"/>
          <w:szCs w:val="24"/>
          <w:highlight w:val="none"/>
        </w:rPr>
        <w:t>×（1-中标下浮率）+</w:t>
      </w:r>
      <w:r>
        <w:rPr>
          <w:rFonts w:hint="eastAsia" w:ascii="宋体" w:hAnsi="宋体" w:eastAsia="宋体" w:cs="宋体"/>
          <w:color w:val="auto"/>
          <w:sz w:val="24"/>
          <w:szCs w:val="24"/>
          <w:highlight w:val="none"/>
          <w:lang w:eastAsia="zh-CN"/>
        </w:rPr>
        <w:t>安全生产措施费</w:t>
      </w:r>
      <w:r>
        <w:rPr>
          <w:rFonts w:hint="eastAsia" w:ascii="宋体" w:hAnsi="宋体" w:eastAsia="宋体" w:cs="宋体"/>
          <w:color w:val="auto"/>
          <w:sz w:val="24"/>
          <w:szCs w:val="24"/>
          <w:highlight w:val="none"/>
        </w:rPr>
        <w:t>、其他临时工程费</w:t>
      </w:r>
      <w:r>
        <w:rPr>
          <w:rFonts w:hint="eastAsia" w:ascii="宋体" w:hAnsi="宋体" w:eastAsia="宋体" w:cs="宋体"/>
          <w:color w:val="auto"/>
          <w:sz w:val="24"/>
          <w:szCs w:val="24"/>
          <w:highlight w:val="none"/>
          <w:lang w:eastAsia="zh-CN"/>
        </w:rPr>
        <w:t>（安全生产措施费、其他临时工程费控制价不下浮）。</w:t>
      </w:r>
    </w:p>
    <w:p w14:paraId="1F43EEF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ABE162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5．工程质量符合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标准。</w:t>
      </w:r>
    </w:p>
    <w:p w14:paraId="350DCF4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6．承包人承诺按合同约定承担工程的实施、完成及缺陷修复。</w:t>
      </w:r>
    </w:p>
    <w:p w14:paraId="2859B00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7．发包人承诺按合同约定的条件、时间和方式向承包人支付合同价款。</w:t>
      </w:r>
    </w:p>
    <w:p w14:paraId="53B5655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8．承包人承诺执行监理人开工通知，计划工期为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369444A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9．本协议书一式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份，正本</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份，合同双方各执</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份；副本陆份，合同双方各执</w:t>
      </w:r>
      <w:r>
        <w:rPr>
          <w:rFonts w:hint="eastAsia" w:ascii="宋体" w:hAnsi="宋体" w:eastAsia="宋体" w:cs="宋体"/>
          <w:color w:val="auto"/>
          <w:sz w:val="24"/>
          <w:szCs w:val="24"/>
          <w:highlight w:val="none"/>
          <w:u w:val="single"/>
        </w:rPr>
        <w:t>叁</w:t>
      </w:r>
      <w:r>
        <w:rPr>
          <w:rFonts w:hint="eastAsia" w:ascii="宋体" w:hAnsi="宋体" w:eastAsia="宋体" w:cs="宋体"/>
          <w:color w:val="auto"/>
          <w:sz w:val="24"/>
          <w:szCs w:val="24"/>
          <w:highlight w:val="none"/>
        </w:rPr>
        <w:t>份，双方签字盖章后即时生效。</w:t>
      </w:r>
    </w:p>
    <w:p w14:paraId="482BB4B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10．合同未尽事宜，双方另行签订补充协议，补充协议是合同的组成部分。</w:t>
      </w:r>
    </w:p>
    <w:p w14:paraId="1C9F915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p>
    <w:p w14:paraId="4BF64F9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   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51D39C3F">
      <w:pPr>
        <w:adjustRightInd w:val="0"/>
        <w:snapToGrid w:val="0"/>
        <w:spacing w:line="360" w:lineRule="auto"/>
        <w:ind w:firstLine="480" w:firstLineChars="200"/>
        <w:rPr>
          <w:rFonts w:hint="eastAsia" w:ascii="宋体" w:hAnsi="宋体" w:eastAsia="宋体" w:cs="宋体"/>
          <w:color w:val="auto"/>
          <w:sz w:val="24"/>
          <w:highlight w:val="none"/>
        </w:rPr>
      </w:pPr>
    </w:p>
    <w:p w14:paraId="02732F9C">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 法定代表人（或授权委托人）：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14:paraId="6EA8B531">
      <w:pPr>
        <w:keepNext w:val="0"/>
        <w:keepLines w:val="0"/>
        <w:pageBreakBefore w:val="0"/>
        <w:widowControl w:val="0"/>
        <w:kinsoku/>
        <w:wordWrap/>
        <w:overflowPunct/>
        <w:topLinePunct w:val="0"/>
        <w:autoSpaceDE/>
        <w:autoSpaceDN/>
        <w:bidi w:val="0"/>
        <w:snapToGrid w:val="0"/>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21A180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bookmarkStart w:id="277" w:name="_Toc9320"/>
      <w:bookmarkStart w:id="278" w:name="_Toc524"/>
      <w:bookmarkStart w:id="279" w:name="_Toc5560"/>
      <w:r>
        <w:rPr>
          <w:rFonts w:hint="eastAsia" w:ascii="宋体" w:hAnsi="宋体" w:eastAsia="宋体" w:cs="宋体"/>
          <w:b/>
          <w:color w:val="auto"/>
          <w:sz w:val="24"/>
          <w:szCs w:val="24"/>
          <w:highlight w:val="none"/>
        </w:rPr>
        <w:t>附件二：工程建设项目安全生产责任书（格式）</w:t>
      </w:r>
      <w:bookmarkEnd w:id="277"/>
      <w:bookmarkEnd w:id="278"/>
      <w:bookmarkEnd w:id="279"/>
    </w:p>
    <w:p w14:paraId="44214A6F">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工程项目地址：</w:t>
      </w:r>
    </w:p>
    <w:p w14:paraId="348CCFC0">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建设单位（甲方）：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施工单位（乙方）：</w:t>
      </w:r>
    </w:p>
    <w:p w14:paraId="4018039A">
      <w:pPr>
        <w:pStyle w:val="111"/>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在工程项目实施过程中创造安全、高效的施工环境，加强工程建设中的安全生产建设，切实搞好本项目的安全管理工作，规范工程建设项目承发包双方的各项安全生产活动，防止发生各种安全生产事故，保护国家、集体和当事人的合法财产，根据国家有关工程建设的法律法规和安全生产建设责任制规定，特订立本安全生产责任书。</w:t>
      </w:r>
    </w:p>
    <w:p w14:paraId="10F1D29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一、甲方职责</w:t>
      </w:r>
    </w:p>
    <w:p w14:paraId="7E576838">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1．严格遵守国家有关安全生产的法律法规，认真执行工程承包合同中的有关安全要求。</w:t>
      </w:r>
    </w:p>
    <w:p w14:paraId="54C0A4D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2．按照“安全第一、预防为主”和坚持“管生产必须安全”的原则进行安全生产管理，做到生产与安全工作同时计划、布置、检查、总结和评比。</w:t>
      </w:r>
    </w:p>
    <w:p w14:paraId="2083E3B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3．重要的安全设施必须坚持与主体工程“三同时”的原则，即：同时设计、审批；同时施工，同时验收，投入使用。</w:t>
      </w:r>
    </w:p>
    <w:p w14:paraId="6408D65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4．定期召开安全生产调度会，及时传达中央及地方有关安全生产的精神。</w:t>
      </w:r>
    </w:p>
    <w:p w14:paraId="0A2684F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5．组织对乙方施工现场安全生产检查，监督乙方及时处理发现的各种安全隐患。</w:t>
      </w:r>
    </w:p>
    <w:p w14:paraId="687FD0A8">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二、乙方职责</w:t>
      </w:r>
    </w:p>
    <w:p w14:paraId="6E09F32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1．严格遵守国家有关安全生产的法律法规、有关安全生产的规定，认真执行工程承包合同中的有关安全要求。</w:t>
      </w:r>
    </w:p>
    <w:p w14:paraId="393BC21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和“管生产必须管安全”的原则，加强安全生产宣传教育，增强全员安全生产意识，建立健全各项安全生产的管理机械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1B17202">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3．建立健全安全生产责任制。从派往项目实施的项目经理到生产工人（包括临时雇请</w:t>
      </w:r>
      <w:r>
        <w:rPr>
          <w:rFonts w:hint="eastAsia" w:ascii="宋体" w:hAnsi="宋体" w:eastAsia="宋体" w:cs="宋体"/>
          <w:color w:val="auto"/>
          <w:sz w:val="24"/>
          <w:szCs w:val="24"/>
          <w:highlight w:val="none"/>
          <w:lang w:eastAsia="zh-CN"/>
        </w:rPr>
        <w:t>的农</w:t>
      </w:r>
      <w:r>
        <w:rPr>
          <w:rFonts w:hint="eastAsia" w:ascii="宋体" w:hAnsi="宋体" w:eastAsia="宋体" w:cs="宋体"/>
          <w:color w:val="auto"/>
          <w:sz w:val="24"/>
          <w:szCs w:val="24"/>
          <w:highlight w:val="none"/>
        </w:rPr>
        <w:t>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A9D7CA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4．乙方在任何时候都应采取各种合理的预防措施，防止其员工发生任何违法、违禁、暴力或妨碍治安的行为。</w:t>
      </w:r>
    </w:p>
    <w:p w14:paraId="1E1B8ADB">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具有劳动安全管理部门颁发的安全生产证书，参加施工的人员，必须接受安全技术教育，熟知和遵守本工程的各项安全技术操作规程，定期进行安全技术考核，合格者方准上岗操作，对于从事电气、起重、建筑登高架设作业、锅炉、压力容器、焊接、机动车船艇驾驶、爆破、潜水、瓦斯检验等特殊工程的人员，经过专业培训，获得《安全操作合格证》后，方准持证上岗。施工现场</w:t>
      </w:r>
      <w:r>
        <w:rPr>
          <w:rFonts w:hint="eastAsia" w:ascii="宋体" w:hAnsi="宋体" w:eastAsia="宋体" w:cs="宋体"/>
          <w:color w:val="auto"/>
          <w:sz w:val="24"/>
          <w:szCs w:val="24"/>
          <w:highlight w:val="none"/>
          <w:lang w:eastAsia="zh-CN"/>
        </w:rPr>
        <w:t>出现</w:t>
      </w:r>
      <w:r>
        <w:rPr>
          <w:rFonts w:hint="eastAsia" w:ascii="宋体" w:hAnsi="宋体" w:eastAsia="宋体" w:cs="宋体"/>
          <w:color w:val="auto"/>
          <w:sz w:val="24"/>
          <w:szCs w:val="24"/>
          <w:highlight w:val="none"/>
        </w:rPr>
        <w:t>特种作业无证操作现象时，项目经理必须承担管理责任。</w:t>
      </w:r>
    </w:p>
    <w:p w14:paraId="60F5506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5764EF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7．操作人员上岗，必须按规定穿戴防护用品。施工负责人和安全检查员应随时检查劳动防护用品的穿戴情况，不按规定穿戴防护用品的人员不得上岗。</w:t>
      </w:r>
    </w:p>
    <w:p w14:paraId="57AEFE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8．所有施工机具设备和高空作业的设备均应定期检查，并有安全员的签字记录，保证其经常处于完好状态；不合格的机具、设备和劳动保护用品严禁使用。</w:t>
      </w:r>
    </w:p>
    <w:p w14:paraId="2D37377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9．施工中采用新技术、新工艺、新设备、新材料时，必须制定相应的安全技术措施，施工现场必须具有相关的安全标志牌。</w:t>
      </w:r>
    </w:p>
    <w:p w14:paraId="75716AD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必须按照本工程项目特点，组织制定本工程实施中的生产安全事故应急救援预案；如果发生安全事故，应按照《国务院关于特大安全事故行政责任追究的规定》以及其他有关规定，及时上报有关部门，并坚持“三不放过”的原则，严肃处理相关责任人。</w:t>
      </w:r>
    </w:p>
    <w:p w14:paraId="3AE46FF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11．在汛期施工，乙方应制订度汛方案，采取相应度汛措施，确保汛期施工安全，如发生相关安全责任事故，乙方应负全责。</w:t>
      </w:r>
    </w:p>
    <w:p w14:paraId="2C6818F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12．在施工期间，乙方应做好相应安全防护措施，确保施工安全，如发生相关安全责任事故，乙方应负全责。</w:t>
      </w:r>
    </w:p>
    <w:p w14:paraId="4522042E">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三、违约责任</w:t>
      </w:r>
    </w:p>
    <w:p w14:paraId="219F867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如因甲方或乙方违约造成安全事故，将依法追究责任。</w:t>
      </w:r>
    </w:p>
    <w:p w14:paraId="49ADC4B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四、本责任书作为工程施工合同的附件，与工程施工合同具有同等法律效力。经双方签署后立即生效。</w:t>
      </w:r>
    </w:p>
    <w:p w14:paraId="5E5564B9">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五、责任书的有效期为双方签署之日起至该工程项目竣工验收合格时止。</w:t>
      </w:r>
    </w:p>
    <w:p w14:paraId="3186D1F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六、本责任书一式四份，由甲乙双方各执一份，送交甲乙双方的监督单位各一份。</w:t>
      </w:r>
    </w:p>
    <w:p w14:paraId="2EDB4CA9">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建设单位（甲方）：（盖章）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施工单位（乙方）：（盖章）</w:t>
      </w:r>
    </w:p>
    <w:p w14:paraId="7E08393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74697F1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14:paraId="76E0C19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p>
    <w:p w14:paraId="369BE8A2">
      <w:pPr>
        <w:keepNext w:val="0"/>
        <w:keepLines w:val="0"/>
        <w:pageBreakBefore w:val="0"/>
        <w:widowControl w:val="0"/>
        <w:kinsoku/>
        <w:wordWrap/>
        <w:overflowPunct/>
        <w:topLinePunct w:val="0"/>
        <w:autoSpaceDE/>
        <w:autoSpaceDN/>
        <w:bidi w:val="0"/>
        <w:snapToGrid/>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A80060">
      <w:pPr>
        <w:rPr>
          <w:rFonts w:hint="eastAsia" w:ascii="宋体" w:hAnsi="宋体" w:eastAsia="宋体" w:cs="宋体"/>
          <w:color w:val="auto"/>
          <w:highlight w:val="none"/>
        </w:rPr>
      </w:pPr>
    </w:p>
    <w:p w14:paraId="1032176C">
      <w:pPr>
        <w:pStyle w:val="3"/>
        <w:spacing w:before="0" w:after="0" w:line="360" w:lineRule="auto"/>
        <w:outlineLvl w:val="1"/>
        <w:rPr>
          <w:rFonts w:hint="eastAsia" w:ascii="宋体" w:hAnsi="宋体" w:eastAsia="宋体" w:cs="宋体"/>
          <w:color w:val="auto"/>
          <w:highlight w:val="none"/>
        </w:rPr>
      </w:pPr>
      <w:bookmarkStart w:id="280" w:name="_Toc31972"/>
      <w:bookmarkStart w:id="281" w:name="_Toc8724"/>
      <w:bookmarkStart w:id="282" w:name="_Toc10625"/>
      <w:bookmarkStart w:id="283" w:name="_Toc12286"/>
      <w:r>
        <w:rPr>
          <w:rFonts w:hint="eastAsia" w:ascii="宋体" w:hAnsi="宋体" w:eastAsia="宋体" w:cs="宋体"/>
          <w:color w:val="auto"/>
          <w:highlight w:val="none"/>
        </w:rPr>
        <w:t>附件三：工程建设项目工人工资支付责任书</w:t>
      </w:r>
      <w:bookmarkEnd w:id="280"/>
      <w:bookmarkEnd w:id="281"/>
      <w:bookmarkEnd w:id="282"/>
      <w:bookmarkEnd w:id="283"/>
    </w:p>
    <w:p w14:paraId="0440573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建设单位（甲方）：</w:t>
      </w:r>
    </w:p>
    <w:p w14:paraId="6DA9A8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施工单位（乙方）：</w:t>
      </w:r>
    </w:p>
    <w:p w14:paraId="5D64C5E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为维护劳动者的合法权益，规范施工企业的工资支付行为，根据《广东省人力资源和社会保障厅广东省住房和城乡建设厅广东省交通运输厅广东省水利厅关于建设工程领域农民工工资支付保证金管理办法》（粤人社规〔2019〕10 号）和《韶关市工程建设领域农民工工资保证金管理实施细则》（韶法审〔2023〕2 号），甲、乙双方就</w:t>
      </w:r>
      <w:r>
        <w:rPr>
          <w:rFonts w:hint="eastAsia" w:ascii="宋体" w:hAnsi="宋体" w:eastAsia="宋体" w:cs="宋体"/>
          <w:color w:val="auto"/>
          <w:sz w:val="24"/>
          <w:szCs w:val="24"/>
          <w:highlight w:val="none"/>
          <w:u w:val="single"/>
          <w:shd w:val="clear" w:color="auto" w:fill="FFFFFF"/>
        </w:rPr>
        <w:t>项目</w:t>
      </w:r>
      <w:r>
        <w:rPr>
          <w:rFonts w:hint="eastAsia" w:ascii="宋体" w:hAnsi="宋体" w:eastAsia="宋体" w:cs="宋体"/>
          <w:color w:val="auto"/>
          <w:kern w:val="0"/>
          <w:sz w:val="24"/>
          <w:szCs w:val="24"/>
          <w:highlight w:val="none"/>
        </w:rPr>
        <w:t>特订立本工人工资支付责任书。</w:t>
      </w:r>
    </w:p>
    <w:p w14:paraId="481CA8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1、用工实名管理</w:t>
      </w:r>
    </w:p>
    <w:p w14:paraId="1B3783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1.1、乙方必须与劳动者（或劳务公司）签订劳动合同。劳动合同必须明确规定劳动者工作时间、工作内容、工资支付标准、支付项目、支付形式和支付时间等内容。</w:t>
      </w:r>
    </w:p>
    <w:p w14:paraId="0168BD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应当在劳动者进场三日内采集其实名信息，劳动者实名信息包括：姓名、性别、出生年月、民族、户口性质、身份证号码、家庭住址、在本县的暂住地址、联系电话、用工主体、直属班组长及其联系电话、进场及撤场时间、工种、持证情况、文化程度、培训记录、政治面貌、婚姻状况、工资、考勤、个人信用等。 劳动者上述信息发生变化的，乙方应当在三日内进行更新。</w:t>
      </w:r>
    </w:p>
    <w:p w14:paraId="36F3D6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必须配备劳资专管员，建立劳动者进出场登记制度和考勤计量、工资支付等用工管理台账，实时掌握施工现场用工及其工资支付情况，不得以包代管。用工管理台账由劳动者签字确认并保存至工程竣工且工资全部结清后至少两年。并随时接受甲方的检查。</w:t>
      </w:r>
    </w:p>
    <w:p w14:paraId="2EB28A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1.4甲方监督、督促乙方做好施工现场用工实名管理的工作。</w:t>
      </w:r>
    </w:p>
    <w:p w14:paraId="7C826C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2、工人工资支付</w:t>
      </w:r>
    </w:p>
    <w:p w14:paraId="09EF0B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2.1、乙方必须在建设项目所在地银行机构设立工人工资支付专用账户。</w:t>
      </w:r>
    </w:p>
    <w:p w14:paraId="579502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账号：</w:t>
      </w:r>
    </w:p>
    <w:p w14:paraId="3BA127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2.2、乙方必须以实名制为每一位工人办理个人银行账户（可使用工人自己提供的银行账户），不得以任何形式截留、拖欠工人工资、弄虚作假。工资发放后及时整理资料归档，并随时接受甲方的检查。</w:t>
      </w:r>
    </w:p>
    <w:p w14:paraId="4DDB4E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2.3、甲方根据工程建设监理等单位核定的工程量支付工程款时，将应付工程款的</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%作为工人工资拨</w:t>
      </w:r>
      <w:r>
        <w:rPr>
          <w:rFonts w:hint="eastAsia" w:ascii="宋体" w:hAnsi="宋体" w:eastAsia="宋体" w:cs="宋体"/>
          <w:color w:val="auto"/>
          <w:sz w:val="24"/>
          <w:szCs w:val="24"/>
          <w:highlight w:val="none"/>
          <w:lang w:eastAsia="zh-CN"/>
        </w:rPr>
        <w:t>入</w:t>
      </w:r>
      <w:r>
        <w:rPr>
          <w:rFonts w:hint="eastAsia" w:ascii="宋体" w:hAnsi="宋体" w:eastAsia="宋体" w:cs="宋体"/>
          <w:color w:val="auto"/>
          <w:sz w:val="24"/>
          <w:szCs w:val="24"/>
          <w:highlight w:val="none"/>
        </w:rPr>
        <w:t>乙方设立的工人工资支付专用账户。</w:t>
      </w:r>
    </w:p>
    <w:p w14:paraId="35ED57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2.4、甲方对工人工资的发放有权监督和检查。</w:t>
      </w:r>
    </w:p>
    <w:p w14:paraId="7C8DB6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3、乙方在与甲方签订工程施工承包合同后，可选择以下其中一种方式提供担保：</w:t>
      </w:r>
    </w:p>
    <w:p w14:paraId="1506C8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（1）在县人力资源和社会保障行政部门办理工资支付保证金缴存手续，并一次性将应缴保证金存入工人工资支付保证金专用账户。</w:t>
      </w:r>
    </w:p>
    <w:p w14:paraId="652E9E20">
      <w:pPr>
        <w:bidi w:val="0"/>
        <w:rPr>
          <w:rFonts w:hint="eastAsia" w:ascii="宋体" w:hAnsi="宋体" w:eastAsia="宋体" w:cs="宋体"/>
          <w:color w:val="auto"/>
          <w:sz w:val="24"/>
          <w:szCs w:val="32"/>
        </w:rPr>
      </w:pPr>
      <w:r>
        <w:rPr>
          <w:rFonts w:hint="eastAsia" w:ascii="宋体" w:hAnsi="宋体" w:eastAsia="宋体" w:cs="宋体"/>
          <w:color w:val="auto"/>
          <w:sz w:val="24"/>
          <w:szCs w:val="32"/>
        </w:rPr>
        <w:t>（2）提交有效的银行保函。</w:t>
      </w:r>
    </w:p>
    <w:p w14:paraId="443B92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4、如乙方违反以上条款，未按规定履行相关职责，甲方将协同相关主管部门按相关规定处罚乙方。</w:t>
      </w:r>
    </w:p>
    <w:p w14:paraId="10D737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5、未尽事宜，另行协商解决。</w:t>
      </w:r>
    </w:p>
    <w:p w14:paraId="29301D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6、本责任书一式捌份，由甲、乙双方各执肆份，自双方签字盖章后生效。</w:t>
      </w:r>
    </w:p>
    <w:p w14:paraId="29C298EB">
      <w:pPr>
        <w:bidi w:val="0"/>
        <w:rPr>
          <w:rFonts w:hint="eastAsia" w:ascii="宋体" w:hAnsi="宋体" w:eastAsia="宋体" w:cs="宋体"/>
          <w:color w:val="auto"/>
        </w:rPr>
      </w:pPr>
    </w:p>
    <w:p w14:paraId="6CEB7B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建设单位（甲方）：（盖章）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施工单位（乙方）：（盖章）</w:t>
      </w:r>
    </w:p>
    <w:p w14:paraId="09F2A6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p>
    <w:p w14:paraId="2095E22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14:paraId="3106691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p>
    <w:p w14:paraId="672C899E">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3CBE0913">
      <w:pPr>
        <w:spacing w:line="360" w:lineRule="auto"/>
        <w:ind w:firstLine="480" w:firstLineChars="200"/>
        <w:rPr>
          <w:rFonts w:hint="eastAsia" w:ascii="宋体" w:hAnsi="宋体" w:eastAsia="宋体" w:cs="宋体"/>
          <w:color w:val="auto"/>
          <w:sz w:val="24"/>
          <w:szCs w:val="32"/>
          <w:highlight w:val="none"/>
        </w:rPr>
      </w:pPr>
    </w:p>
    <w:p w14:paraId="5FA30302">
      <w:pPr>
        <w:pStyle w:val="9"/>
        <w:rPr>
          <w:rFonts w:hint="eastAsia" w:ascii="宋体" w:hAnsi="宋体" w:eastAsia="宋体" w:cs="宋体"/>
          <w:color w:val="auto"/>
          <w:sz w:val="24"/>
          <w:szCs w:val="28"/>
          <w:highlight w:val="none"/>
        </w:rPr>
      </w:pPr>
    </w:p>
    <w:p w14:paraId="47F90950">
      <w:pPr>
        <w:pStyle w:val="9"/>
        <w:rPr>
          <w:rFonts w:hint="eastAsia" w:ascii="宋体" w:hAnsi="宋体" w:eastAsia="宋体" w:cs="宋体"/>
          <w:color w:val="auto"/>
          <w:sz w:val="24"/>
          <w:szCs w:val="28"/>
          <w:highlight w:val="none"/>
        </w:rPr>
      </w:pPr>
    </w:p>
    <w:p w14:paraId="2EF9CDFC">
      <w:pPr>
        <w:pStyle w:val="9"/>
        <w:rPr>
          <w:rFonts w:hint="eastAsia" w:ascii="宋体" w:hAnsi="宋体" w:eastAsia="宋体" w:cs="宋体"/>
          <w:color w:val="auto"/>
          <w:highlight w:val="none"/>
        </w:rPr>
      </w:pPr>
    </w:p>
    <w:p w14:paraId="7C9B7C74">
      <w:pPr>
        <w:pStyle w:val="9"/>
        <w:rPr>
          <w:rFonts w:hint="eastAsia" w:ascii="宋体" w:hAnsi="宋体" w:eastAsia="宋体" w:cs="宋体"/>
          <w:color w:val="auto"/>
          <w:highlight w:val="none"/>
        </w:rPr>
      </w:pPr>
    </w:p>
    <w:p w14:paraId="38F2080D">
      <w:pPr>
        <w:pStyle w:val="9"/>
        <w:rPr>
          <w:rFonts w:hint="eastAsia" w:ascii="宋体" w:hAnsi="宋体" w:eastAsia="宋体" w:cs="宋体"/>
          <w:color w:val="auto"/>
          <w:highlight w:val="none"/>
        </w:rPr>
      </w:pPr>
    </w:p>
    <w:p w14:paraId="3D660FBD">
      <w:pPr>
        <w:pStyle w:val="9"/>
        <w:rPr>
          <w:rFonts w:hint="eastAsia" w:ascii="宋体" w:hAnsi="宋体" w:eastAsia="宋体" w:cs="宋体"/>
          <w:color w:val="auto"/>
          <w:highlight w:val="none"/>
        </w:rPr>
      </w:pPr>
    </w:p>
    <w:p w14:paraId="67A7A3F5">
      <w:pPr>
        <w:pStyle w:val="9"/>
        <w:rPr>
          <w:rFonts w:hint="eastAsia" w:ascii="宋体" w:hAnsi="宋体" w:eastAsia="宋体" w:cs="宋体"/>
          <w:color w:val="auto"/>
          <w:highlight w:val="none"/>
        </w:rPr>
      </w:pPr>
    </w:p>
    <w:p w14:paraId="1192D969">
      <w:pPr>
        <w:pStyle w:val="9"/>
        <w:rPr>
          <w:rFonts w:hint="eastAsia" w:ascii="宋体" w:hAnsi="宋体" w:eastAsia="宋体" w:cs="宋体"/>
          <w:color w:val="auto"/>
          <w:highlight w:val="none"/>
        </w:rPr>
      </w:pPr>
    </w:p>
    <w:p w14:paraId="4E934867">
      <w:pPr>
        <w:pStyle w:val="9"/>
        <w:rPr>
          <w:rFonts w:hint="eastAsia" w:ascii="宋体" w:hAnsi="宋体" w:eastAsia="宋体" w:cs="宋体"/>
          <w:color w:val="auto"/>
          <w:highlight w:val="none"/>
        </w:rPr>
      </w:pPr>
    </w:p>
    <w:p w14:paraId="58B201DE">
      <w:pPr>
        <w:pStyle w:val="9"/>
        <w:rPr>
          <w:rFonts w:hint="eastAsia" w:ascii="宋体" w:hAnsi="宋体" w:eastAsia="宋体" w:cs="宋体"/>
          <w:color w:val="auto"/>
          <w:highlight w:val="none"/>
        </w:rPr>
      </w:pPr>
    </w:p>
    <w:p w14:paraId="22FA4557">
      <w:pPr>
        <w:pStyle w:val="9"/>
        <w:rPr>
          <w:rFonts w:hint="eastAsia" w:ascii="宋体" w:hAnsi="宋体" w:eastAsia="宋体" w:cs="宋体"/>
          <w:color w:val="auto"/>
          <w:highlight w:val="none"/>
        </w:rPr>
      </w:pPr>
    </w:p>
    <w:p w14:paraId="24519E4E">
      <w:pPr>
        <w:pStyle w:val="9"/>
        <w:rPr>
          <w:rFonts w:hint="eastAsia" w:ascii="宋体" w:hAnsi="宋体" w:eastAsia="宋体" w:cs="宋体"/>
          <w:color w:val="auto"/>
          <w:highlight w:val="none"/>
        </w:rPr>
      </w:pPr>
    </w:p>
    <w:p w14:paraId="25BF5B48">
      <w:pPr>
        <w:pStyle w:val="9"/>
        <w:rPr>
          <w:rFonts w:hint="eastAsia" w:ascii="宋体" w:hAnsi="宋体" w:eastAsia="宋体" w:cs="宋体"/>
          <w:color w:val="auto"/>
          <w:highlight w:val="none"/>
        </w:rPr>
      </w:pPr>
    </w:p>
    <w:p w14:paraId="051BCD10">
      <w:pPr>
        <w:pStyle w:val="9"/>
        <w:rPr>
          <w:rFonts w:hint="eastAsia" w:ascii="宋体" w:hAnsi="宋体" w:eastAsia="宋体" w:cs="宋体"/>
          <w:color w:val="auto"/>
          <w:highlight w:val="none"/>
        </w:rPr>
      </w:pPr>
    </w:p>
    <w:p w14:paraId="52204424">
      <w:pPr>
        <w:pStyle w:val="9"/>
        <w:rPr>
          <w:rFonts w:hint="eastAsia" w:ascii="宋体" w:hAnsi="宋体" w:eastAsia="宋体" w:cs="宋体"/>
          <w:color w:val="auto"/>
          <w:highlight w:val="none"/>
        </w:rPr>
      </w:pPr>
    </w:p>
    <w:p w14:paraId="0F425D93">
      <w:pPr>
        <w:pStyle w:val="9"/>
        <w:rPr>
          <w:rFonts w:hint="eastAsia" w:ascii="宋体" w:hAnsi="宋体" w:eastAsia="宋体" w:cs="宋体"/>
          <w:color w:val="auto"/>
          <w:highlight w:val="none"/>
        </w:rPr>
      </w:pPr>
    </w:p>
    <w:bookmarkEnd w:id="177"/>
    <w:bookmarkEnd w:id="178"/>
    <w:p w14:paraId="2D4B5E3F">
      <w:pPr>
        <w:bidi w:val="0"/>
        <w:rPr>
          <w:rFonts w:hint="eastAsia" w:ascii="宋体" w:hAnsi="宋体" w:eastAsia="宋体" w:cs="宋体"/>
          <w:color w:val="auto"/>
        </w:rPr>
      </w:pPr>
      <w:bookmarkStart w:id="284" w:name="_Toc263675351"/>
      <w:bookmarkStart w:id="285" w:name="_Toc263675432"/>
      <w:bookmarkStart w:id="286" w:name="_Toc263674960"/>
      <w:bookmarkStart w:id="287" w:name="_Toc256773225"/>
      <w:bookmarkStart w:id="288" w:name="_Toc263413223"/>
    </w:p>
    <w:p w14:paraId="55946066">
      <w:pPr>
        <w:bidi w:val="0"/>
        <w:rPr>
          <w:rFonts w:hint="eastAsia" w:ascii="宋体" w:hAnsi="宋体" w:eastAsia="宋体" w:cs="宋体"/>
          <w:color w:val="auto"/>
        </w:rPr>
      </w:pPr>
    </w:p>
    <w:p w14:paraId="15D09F01">
      <w:pPr>
        <w:bidi w:val="0"/>
        <w:rPr>
          <w:rFonts w:hint="eastAsia" w:ascii="宋体" w:hAnsi="宋体" w:eastAsia="宋体" w:cs="宋体"/>
          <w:color w:val="auto"/>
        </w:rPr>
      </w:pPr>
    </w:p>
    <w:p w14:paraId="688DBD40">
      <w:pPr>
        <w:bidi w:val="0"/>
        <w:rPr>
          <w:rFonts w:hint="eastAsia" w:ascii="宋体" w:hAnsi="宋体" w:eastAsia="宋体" w:cs="宋体"/>
          <w:color w:val="auto"/>
        </w:rPr>
      </w:pPr>
    </w:p>
    <w:p w14:paraId="21BBB981">
      <w:pPr>
        <w:bidi w:val="0"/>
        <w:rPr>
          <w:rFonts w:hint="eastAsia" w:ascii="宋体" w:hAnsi="宋体" w:eastAsia="宋体" w:cs="宋体"/>
          <w:color w:val="auto"/>
        </w:rPr>
      </w:pPr>
    </w:p>
    <w:p w14:paraId="5C69F84F">
      <w:pPr>
        <w:bidi w:val="0"/>
        <w:rPr>
          <w:rFonts w:hint="eastAsia" w:ascii="宋体" w:hAnsi="宋体" w:eastAsia="宋体" w:cs="宋体"/>
          <w:color w:val="auto"/>
        </w:rPr>
      </w:pPr>
    </w:p>
    <w:p w14:paraId="577B2BD4">
      <w:pPr>
        <w:bidi w:val="0"/>
        <w:rPr>
          <w:rFonts w:hint="eastAsia" w:ascii="宋体" w:hAnsi="宋体" w:eastAsia="宋体" w:cs="宋体"/>
          <w:color w:val="auto"/>
        </w:rPr>
      </w:pPr>
    </w:p>
    <w:p w14:paraId="1E2213F4">
      <w:pPr>
        <w:pStyle w:val="2"/>
        <w:bidi w:val="0"/>
        <w:jc w:val="center"/>
        <w:rPr>
          <w:rFonts w:hint="eastAsia" w:ascii="宋体" w:hAnsi="宋体" w:eastAsia="宋体" w:cs="宋体"/>
          <w:color w:val="auto"/>
          <w:lang w:val="en-US" w:eastAsia="zh-CN"/>
        </w:rPr>
      </w:pPr>
      <w:bookmarkStart w:id="289" w:name="_Toc5167"/>
      <w:bookmarkStart w:id="290" w:name="_Toc13814"/>
      <w:bookmarkStart w:id="291" w:name="_Toc32276"/>
      <w:r>
        <w:rPr>
          <w:rFonts w:hint="eastAsia" w:ascii="宋体" w:hAnsi="宋体" w:eastAsia="宋体" w:cs="宋体"/>
          <w:color w:val="auto"/>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工程量清单</w:t>
      </w:r>
      <w:bookmarkEnd w:id="284"/>
      <w:bookmarkEnd w:id="285"/>
      <w:bookmarkEnd w:id="286"/>
      <w:bookmarkEnd w:id="287"/>
      <w:bookmarkEnd w:id="288"/>
      <w:r>
        <w:rPr>
          <w:rFonts w:hint="eastAsia" w:ascii="宋体" w:hAnsi="宋体" w:eastAsia="宋体" w:cs="宋体"/>
          <w:color w:val="auto"/>
          <w:lang w:eastAsia="zh-CN"/>
        </w:rPr>
        <w:t>（</w:t>
      </w:r>
      <w:r>
        <w:rPr>
          <w:rFonts w:hint="eastAsia" w:ascii="宋体" w:hAnsi="宋体" w:eastAsia="宋体" w:cs="宋体"/>
          <w:color w:val="auto"/>
          <w:lang w:val="en-US" w:eastAsia="zh-CN"/>
        </w:rPr>
        <w:t>另附）</w:t>
      </w:r>
      <w:bookmarkEnd w:id="289"/>
      <w:bookmarkEnd w:id="290"/>
      <w:bookmarkEnd w:id="291"/>
    </w:p>
    <w:p w14:paraId="0B8E7161">
      <w:pPr>
        <w:bidi w:val="0"/>
        <w:rPr>
          <w:rFonts w:hint="eastAsia" w:ascii="宋体" w:hAnsi="宋体" w:eastAsia="宋体" w:cs="宋体"/>
          <w:color w:val="auto"/>
        </w:rPr>
      </w:pPr>
    </w:p>
    <w:p w14:paraId="2E25262C">
      <w:pPr>
        <w:bidi w:val="0"/>
        <w:rPr>
          <w:rFonts w:hint="eastAsia" w:ascii="宋体" w:hAnsi="宋体" w:eastAsia="宋体" w:cs="宋体"/>
          <w:b/>
          <w:bCs/>
          <w:sz w:val="28"/>
          <w:szCs w:val="36"/>
        </w:rPr>
      </w:pPr>
      <w:bookmarkStart w:id="292" w:name="_Toc465864840"/>
      <w:bookmarkStart w:id="293" w:name="_Toc20627"/>
      <w:bookmarkStart w:id="294" w:name="_Toc256773226"/>
      <w:bookmarkStart w:id="295" w:name="_Toc263413224"/>
      <w:r>
        <w:rPr>
          <w:rFonts w:hint="eastAsia" w:ascii="宋体" w:hAnsi="宋体" w:eastAsia="宋体" w:cs="宋体"/>
          <w:b/>
          <w:bCs/>
          <w:sz w:val="28"/>
          <w:szCs w:val="36"/>
        </w:rPr>
        <w:t>1说明</w:t>
      </w:r>
      <w:bookmarkEnd w:id="292"/>
      <w:bookmarkEnd w:id="293"/>
      <w:bookmarkEnd w:id="294"/>
      <w:bookmarkEnd w:id="295"/>
    </w:p>
    <w:p w14:paraId="25EF6109">
      <w:pPr>
        <w:spacing w:line="4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1.1 本工程主体部分采用单价承包方式，临时工程跟标下浮后总价承包。</w:t>
      </w:r>
    </w:p>
    <w:p w14:paraId="12D171A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1.2工程量清单（</w:t>
      </w:r>
      <w:r>
        <w:rPr>
          <w:rFonts w:hint="eastAsia" w:ascii="宋体" w:hAnsi="宋体" w:eastAsia="宋体" w:cs="宋体"/>
          <w:color w:val="auto"/>
          <w:sz w:val="24"/>
          <w:highlight w:val="none"/>
          <w:lang w:eastAsia="zh-CN"/>
        </w:rPr>
        <w:t>最高投标限价</w:t>
      </w:r>
      <w:r>
        <w:rPr>
          <w:rFonts w:hint="eastAsia" w:ascii="宋体" w:hAnsi="宋体" w:eastAsia="宋体" w:cs="宋体"/>
          <w:color w:val="auto"/>
          <w:sz w:val="24"/>
          <w:highlight w:val="none"/>
        </w:rPr>
        <w:t>）应与招标文件中的投标人须知、通用合同条款、专用合同条款、技术标准和要求（合同技术条款）、图纸等一起参照阅读和理解。</w:t>
      </w:r>
    </w:p>
    <w:p w14:paraId="0614EE93">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 符合合同规定的全部工程量应包括在工程量清单所列的各项目中，如投标人认为存在合同规定应由其承担而在工程量清单中未详细列出的项目（不是漏项的工程量），则应提出书面异议。</w:t>
      </w:r>
    </w:p>
    <w:p w14:paraId="6440870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工程量清单不作为最终结算工程量，用于结算的工程量是承包人实际完成并符合技术标准和要求（合同技术条款）规定，按施工图纸计算的有效工程量。完成某一项目所需完成的工序，但工程量清单中并未标列的，则视作漏项，而完成所需工序的相关费用被视为已包含在完成该项目的价格内。</w:t>
      </w:r>
    </w:p>
    <w:p w14:paraId="799AA37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  招标工程量清单中的工程量仅为提供给投标人投标时的参考工程量。</w:t>
      </w:r>
    </w:p>
    <w:p w14:paraId="7F9C82A5">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  工程量清单中各项目的工作内容和要求应符合相关技术标准和要求（合同技术条款）的规定。</w:t>
      </w:r>
    </w:p>
    <w:p w14:paraId="688A7A86">
      <w:pPr>
        <w:spacing w:line="480" w:lineRule="exact"/>
        <w:ind w:firstLine="420"/>
        <w:rPr>
          <w:rFonts w:hint="eastAsia" w:ascii="宋体" w:hAnsi="宋体" w:eastAsia="宋体" w:cs="宋体"/>
          <w:color w:val="auto"/>
          <w:sz w:val="24"/>
          <w:highlight w:val="none"/>
        </w:rPr>
      </w:pPr>
    </w:p>
    <w:p w14:paraId="00E9612A">
      <w:pPr>
        <w:spacing w:line="480" w:lineRule="exact"/>
        <w:ind w:firstLine="420"/>
        <w:rPr>
          <w:rFonts w:hint="eastAsia" w:ascii="宋体" w:hAnsi="宋体" w:eastAsia="宋体" w:cs="宋体"/>
          <w:color w:val="auto"/>
          <w:sz w:val="24"/>
          <w:highlight w:val="none"/>
        </w:rPr>
      </w:pPr>
    </w:p>
    <w:p w14:paraId="5D4C6E5D">
      <w:pPr>
        <w:bidi w:val="0"/>
        <w:rPr>
          <w:rFonts w:hint="eastAsia" w:ascii="宋体" w:hAnsi="宋体" w:eastAsia="宋体" w:cs="宋体"/>
          <w:color w:val="auto"/>
        </w:rPr>
      </w:pPr>
    </w:p>
    <w:p w14:paraId="00F93164">
      <w:pPr>
        <w:bidi w:val="0"/>
        <w:rPr>
          <w:rFonts w:hint="eastAsia" w:ascii="宋体" w:hAnsi="宋体" w:eastAsia="宋体" w:cs="宋体"/>
          <w:color w:val="auto"/>
        </w:rPr>
      </w:pPr>
    </w:p>
    <w:p w14:paraId="47ABF0BC">
      <w:pPr>
        <w:bidi w:val="0"/>
        <w:rPr>
          <w:rFonts w:hint="eastAsia" w:ascii="宋体" w:hAnsi="宋体" w:eastAsia="宋体" w:cs="宋体"/>
          <w:color w:val="auto"/>
        </w:rPr>
      </w:pPr>
    </w:p>
    <w:p w14:paraId="661B253A">
      <w:pPr>
        <w:bidi w:val="0"/>
        <w:rPr>
          <w:rFonts w:hint="eastAsia" w:ascii="宋体" w:hAnsi="宋体" w:eastAsia="宋体" w:cs="宋体"/>
          <w:color w:val="auto"/>
        </w:rPr>
      </w:pPr>
    </w:p>
    <w:p w14:paraId="5C46955A">
      <w:pPr>
        <w:bidi w:val="0"/>
        <w:rPr>
          <w:rFonts w:hint="eastAsia" w:ascii="宋体" w:hAnsi="宋体" w:eastAsia="宋体" w:cs="宋体"/>
          <w:color w:val="auto"/>
        </w:rPr>
      </w:pPr>
    </w:p>
    <w:p w14:paraId="46976045">
      <w:pPr>
        <w:bidi w:val="0"/>
        <w:rPr>
          <w:rFonts w:hint="eastAsia" w:ascii="宋体" w:hAnsi="宋体" w:eastAsia="宋体" w:cs="宋体"/>
          <w:color w:val="auto"/>
        </w:rPr>
      </w:pPr>
    </w:p>
    <w:p w14:paraId="48067BAF">
      <w:pPr>
        <w:bidi w:val="0"/>
        <w:rPr>
          <w:rFonts w:hint="eastAsia" w:ascii="宋体" w:hAnsi="宋体" w:eastAsia="宋体" w:cs="宋体"/>
          <w:color w:val="auto"/>
        </w:rPr>
      </w:pPr>
    </w:p>
    <w:p w14:paraId="1FF6086E">
      <w:pPr>
        <w:bidi w:val="0"/>
        <w:rPr>
          <w:rFonts w:hint="eastAsia" w:ascii="宋体" w:hAnsi="宋体" w:eastAsia="宋体" w:cs="宋体"/>
          <w:color w:val="auto"/>
        </w:rPr>
      </w:pPr>
    </w:p>
    <w:p w14:paraId="67EBCB95">
      <w:pPr>
        <w:bidi w:val="0"/>
        <w:rPr>
          <w:rFonts w:hint="eastAsia" w:ascii="宋体" w:hAnsi="宋体" w:eastAsia="宋体" w:cs="宋体"/>
          <w:color w:val="auto"/>
        </w:rPr>
      </w:pPr>
    </w:p>
    <w:p w14:paraId="22B9CF4C">
      <w:pPr>
        <w:bidi w:val="0"/>
        <w:rPr>
          <w:rFonts w:hint="eastAsia" w:ascii="宋体" w:hAnsi="宋体" w:eastAsia="宋体" w:cs="宋体"/>
          <w:color w:val="auto"/>
        </w:rPr>
      </w:pPr>
    </w:p>
    <w:p w14:paraId="31660A9A">
      <w:pPr>
        <w:bidi w:val="0"/>
        <w:rPr>
          <w:rFonts w:hint="eastAsia" w:ascii="宋体" w:hAnsi="宋体" w:eastAsia="宋体" w:cs="宋体"/>
          <w:color w:val="auto"/>
        </w:rPr>
      </w:pPr>
    </w:p>
    <w:p w14:paraId="44E7F9CC">
      <w:pPr>
        <w:bidi w:val="0"/>
        <w:rPr>
          <w:rFonts w:hint="eastAsia" w:ascii="宋体" w:hAnsi="宋体" w:eastAsia="宋体" w:cs="宋体"/>
          <w:color w:val="auto"/>
        </w:rPr>
      </w:pPr>
    </w:p>
    <w:p w14:paraId="71D4FB7A">
      <w:pPr>
        <w:bidi w:val="0"/>
        <w:rPr>
          <w:rFonts w:hint="eastAsia" w:ascii="宋体" w:hAnsi="宋体" w:eastAsia="宋体" w:cs="宋体"/>
          <w:color w:val="auto"/>
        </w:rPr>
      </w:pPr>
    </w:p>
    <w:p w14:paraId="19FF3A2A">
      <w:pPr>
        <w:bidi w:val="0"/>
        <w:rPr>
          <w:rFonts w:hint="eastAsia" w:ascii="宋体" w:hAnsi="宋体" w:eastAsia="宋体" w:cs="宋体"/>
          <w:color w:val="auto"/>
        </w:rPr>
      </w:pPr>
    </w:p>
    <w:p w14:paraId="5D337E55">
      <w:pPr>
        <w:bidi w:val="0"/>
        <w:rPr>
          <w:rFonts w:hint="eastAsia" w:ascii="宋体" w:hAnsi="宋体" w:eastAsia="宋体" w:cs="宋体"/>
          <w:color w:val="auto"/>
        </w:rPr>
      </w:pPr>
    </w:p>
    <w:p w14:paraId="27D7FD87">
      <w:pPr>
        <w:bidi w:val="0"/>
        <w:rPr>
          <w:rFonts w:hint="eastAsia" w:ascii="宋体" w:hAnsi="宋体" w:eastAsia="宋体" w:cs="宋体"/>
          <w:color w:val="auto"/>
        </w:rPr>
      </w:pPr>
    </w:p>
    <w:p w14:paraId="706284C8">
      <w:pPr>
        <w:bidi w:val="0"/>
        <w:rPr>
          <w:rFonts w:hint="eastAsia" w:ascii="宋体" w:hAnsi="宋体" w:eastAsia="宋体" w:cs="宋体"/>
          <w:color w:val="auto"/>
        </w:rPr>
      </w:pPr>
    </w:p>
    <w:p w14:paraId="403887E6">
      <w:pPr>
        <w:bidi w:val="0"/>
        <w:rPr>
          <w:rFonts w:hint="eastAsia" w:ascii="宋体" w:hAnsi="宋体" w:eastAsia="宋体" w:cs="宋体"/>
          <w:color w:val="auto"/>
        </w:rPr>
      </w:pPr>
    </w:p>
    <w:p w14:paraId="410E7E23">
      <w:pPr>
        <w:bidi w:val="0"/>
        <w:rPr>
          <w:rFonts w:hint="eastAsia" w:ascii="宋体" w:hAnsi="宋体" w:eastAsia="宋体" w:cs="宋体"/>
          <w:color w:val="auto"/>
        </w:rPr>
      </w:pPr>
    </w:p>
    <w:p w14:paraId="74458133">
      <w:pPr>
        <w:bidi w:val="0"/>
        <w:rPr>
          <w:rFonts w:hint="eastAsia" w:ascii="宋体" w:hAnsi="宋体" w:eastAsia="宋体" w:cs="宋体"/>
          <w:color w:val="auto"/>
        </w:rPr>
      </w:pPr>
    </w:p>
    <w:p w14:paraId="5430CD97">
      <w:pPr>
        <w:bidi w:val="0"/>
        <w:rPr>
          <w:rFonts w:hint="eastAsia" w:ascii="宋体" w:hAnsi="宋体" w:eastAsia="宋体" w:cs="宋体"/>
          <w:color w:val="auto"/>
        </w:rPr>
      </w:pPr>
    </w:p>
    <w:p w14:paraId="27751455">
      <w:pPr>
        <w:bidi w:val="0"/>
        <w:rPr>
          <w:rFonts w:hint="eastAsia" w:ascii="宋体" w:hAnsi="宋体" w:eastAsia="宋体" w:cs="宋体"/>
          <w:color w:val="auto"/>
        </w:rPr>
      </w:pPr>
    </w:p>
    <w:p w14:paraId="601D8F6B">
      <w:pPr>
        <w:bidi w:val="0"/>
        <w:rPr>
          <w:rFonts w:hint="eastAsia" w:ascii="宋体" w:hAnsi="宋体" w:eastAsia="宋体" w:cs="宋体"/>
          <w:color w:val="auto"/>
        </w:rPr>
      </w:pPr>
    </w:p>
    <w:p w14:paraId="38D251D1">
      <w:pPr>
        <w:bidi w:val="0"/>
        <w:rPr>
          <w:rFonts w:hint="eastAsia" w:ascii="宋体" w:hAnsi="宋体" w:eastAsia="宋体" w:cs="宋体"/>
          <w:color w:val="auto"/>
        </w:rPr>
      </w:pPr>
    </w:p>
    <w:p w14:paraId="0FE6492E">
      <w:pPr>
        <w:bidi w:val="0"/>
        <w:rPr>
          <w:rFonts w:hint="eastAsia" w:ascii="宋体" w:hAnsi="宋体" w:eastAsia="宋体" w:cs="宋体"/>
          <w:color w:val="auto"/>
        </w:rPr>
      </w:pPr>
    </w:p>
    <w:p w14:paraId="5F5AA2AC">
      <w:pPr>
        <w:bidi w:val="0"/>
        <w:rPr>
          <w:rFonts w:hint="eastAsia" w:ascii="宋体" w:hAnsi="宋体" w:eastAsia="宋体" w:cs="宋体"/>
          <w:color w:val="auto"/>
        </w:rPr>
      </w:pPr>
    </w:p>
    <w:p w14:paraId="5C39386D">
      <w:pPr>
        <w:bidi w:val="0"/>
        <w:rPr>
          <w:rFonts w:hint="eastAsia" w:ascii="宋体" w:hAnsi="宋体" w:eastAsia="宋体" w:cs="宋体"/>
          <w:color w:val="auto"/>
        </w:rPr>
      </w:pPr>
    </w:p>
    <w:p w14:paraId="51EBEDB5">
      <w:pPr>
        <w:bidi w:val="0"/>
        <w:rPr>
          <w:rFonts w:hint="eastAsia" w:ascii="宋体" w:hAnsi="宋体" w:eastAsia="宋体" w:cs="宋体"/>
          <w:color w:val="auto"/>
        </w:rPr>
      </w:pPr>
    </w:p>
    <w:p w14:paraId="5A1DAA0E">
      <w:pPr>
        <w:bidi w:val="0"/>
        <w:rPr>
          <w:rFonts w:hint="eastAsia" w:ascii="宋体" w:hAnsi="宋体" w:eastAsia="宋体" w:cs="宋体"/>
          <w:color w:val="auto"/>
        </w:rPr>
      </w:pPr>
    </w:p>
    <w:p w14:paraId="5836A983">
      <w:pPr>
        <w:bidi w:val="0"/>
        <w:rPr>
          <w:rFonts w:hint="eastAsia" w:ascii="宋体" w:hAnsi="宋体" w:eastAsia="宋体" w:cs="宋体"/>
          <w:color w:val="auto"/>
        </w:rPr>
      </w:pPr>
    </w:p>
    <w:p w14:paraId="7A4A0405">
      <w:pPr>
        <w:bidi w:val="0"/>
        <w:rPr>
          <w:rFonts w:hint="eastAsia" w:ascii="宋体" w:hAnsi="宋体" w:eastAsia="宋体" w:cs="宋体"/>
          <w:color w:val="auto"/>
        </w:rPr>
      </w:pPr>
    </w:p>
    <w:p w14:paraId="3F194F71">
      <w:pPr>
        <w:bidi w:val="0"/>
        <w:rPr>
          <w:rFonts w:hint="eastAsia" w:ascii="宋体" w:hAnsi="宋体" w:eastAsia="宋体" w:cs="宋体"/>
          <w:color w:val="auto"/>
        </w:rPr>
      </w:pPr>
    </w:p>
    <w:p w14:paraId="3E586306">
      <w:pPr>
        <w:bidi w:val="0"/>
        <w:rPr>
          <w:rFonts w:hint="eastAsia" w:ascii="宋体" w:hAnsi="宋体" w:eastAsia="宋体" w:cs="宋体"/>
          <w:color w:val="auto"/>
        </w:rPr>
      </w:pPr>
    </w:p>
    <w:p w14:paraId="3AB3646B">
      <w:pPr>
        <w:pStyle w:val="2"/>
        <w:bidi w:val="0"/>
        <w:jc w:val="center"/>
        <w:rPr>
          <w:rFonts w:hint="eastAsia" w:ascii="宋体" w:hAnsi="宋体" w:eastAsia="宋体" w:cs="宋体"/>
          <w:color w:val="auto"/>
          <w:sz w:val="72"/>
          <w:szCs w:val="144"/>
        </w:rPr>
      </w:pPr>
      <w:bookmarkStart w:id="296" w:name="_Toc6987"/>
      <w:bookmarkStart w:id="297" w:name="_Toc18927"/>
      <w:bookmarkStart w:id="298" w:name="_Toc27823"/>
      <w:r>
        <w:rPr>
          <w:rFonts w:hint="eastAsia" w:ascii="宋体" w:hAnsi="宋体" w:eastAsia="宋体" w:cs="宋体"/>
          <w:color w:val="auto"/>
          <w:sz w:val="72"/>
          <w:szCs w:val="144"/>
        </w:rPr>
        <w:t>第二卷</w:t>
      </w:r>
      <w:bookmarkEnd w:id="296"/>
      <w:bookmarkEnd w:id="297"/>
      <w:bookmarkEnd w:id="298"/>
    </w:p>
    <w:p w14:paraId="720AF089">
      <w:pPr>
        <w:rPr>
          <w:rFonts w:hint="eastAsia" w:ascii="宋体" w:hAnsi="宋体" w:eastAsia="宋体" w:cs="宋体"/>
          <w:color w:val="auto"/>
          <w:highlight w:val="none"/>
        </w:rPr>
      </w:pPr>
    </w:p>
    <w:p w14:paraId="4838F857">
      <w:pPr>
        <w:bidi w:val="0"/>
        <w:rPr>
          <w:rFonts w:hint="eastAsia" w:ascii="宋体" w:hAnsi="宋体" w:eastAsia="宋体" w:cs="宋体"/>
          <w:color w:val="auto"/>
        </w:rPr>
      </w:pPr>
    </w:p>
    <w:p w14:paraId="4460825F">
      <w:pPr>
        <w:bidi w:val="0"/>
        <w:rPr>
          <w:rFonts w:hint="eastAsia" w:ascii="宋体" w:hAnsi="宋体" w:eastAsia="宋体" w:cs="宋体"/>
          <w:color w:val="auto"/>
        </w:rPr>
      </w:pPr>
    </w:p>
    <w:p w14:paraId="59667998">
      <w:pPr>
        <w:bidi w:val="0"/>
        <w:rPr>
          <w:rFonts w:hint="eastAsia" w:ascii="宋体" w:hAnsi="宋体" w:eastAsia="宋体" w:cs="宋体"/>
          <w:color w:val="auto"/>
        </w:rPr>
      </w:pPr>
    </w:p>
    <w:p w14:paraId="45DECCD6">
      <w:pPr>
        <w:bidi w:val="0"/>
        <w:rPr>
          <w:rFonts w:hint="eastAsia" w:ascii="宋体" w:hAnsi="宋体" w:eastAsia="宋体" w:cs="宋体"/>
          <w:color w:val="auto"/>
        </w:rPr>
      </w:pPr>
    </w:p>
    <w:p w14:paraId="4F097944">
      <w:pPr>
        <w:bidi w:val="0"/>
        <w:rPr>
          <w:rFonts w:hint="eastAsia" w:ascii="宋体" w:hAnsi="宋体" w:eastAsia="宋体" w:cs="宋体"/>
          <w:color w:val="auto"/>
        </w:rPr>
      </w:pPr>
    </w:p>
    <w:p w14:paraId="1F264BD8">
      <w:pPr>
        <w:bidi w:val="0"/>
        <w:rPr>
          <w:rFonts w:hint="eastAsia" w:ascii="宋体" w:hAnsi="宋体" w:eastAsia="宋体" w:cs="宋体"/>
          <w:color w:val="auto"/>
        </w:rPr>
      </w:pPr>
      <w:bookmarkStart w:id="299" w:name="_Toc263675433"/>
      <w:bookmarkStart w:id="300" w:name="_Toc263675352"/>
      <w:bookmarkStart w:id="301" w:name="_Toc256773228"/>
      <w:bookmarkStart w:id="302" w:name="_Toc263674961"/>
      <w:bookmarkStart w:id="303" w:name="_Toc263413227"/>
    </w:p>
    <w:p w14:paraId="67C8C6E5">
      <w:pPr>
        <w:bidi w:val="0"/>
        <w:rPr>
          <w:rFonts w:hint="eastAsia" w:ascii="宋体" w:hAnsi="宋体" w:eastAsia="宋体" w:cs="宋体"/>
          <w:color w:val="auto"/>
        </w:rPr>
      </w:pPr>
    </w:p>
    <w:p w14:paraId="687BC3AE">
      <w:pPr>
        <w:pStyle w:val="2"/>
        <w:bidi w:val="0"/>
        <w:jc w:val="center"/>
        <w:rPr>
          <w:rFonts w:hint="eastAsia" w:ascii="宋体" w:hAnsi="宋体" w:eastAsia="宋体" w:cs="宋体"/>
          <w:color w:val="auto"/>
          <w:lang w:eastAsia="zh-CN"/>
        </w:rPr>
      </w:pPr>
      <w:r>
        <w:rPr>
          <w:rFonts w:hint="eastAsia" w:ascii="宋体" w:hAnsi="宋体" w:eastAsia="宋体" w:cs="宋体"/>
          <w:color w:val="auto"/>
        </w:rPr>
        <w:br w:type="page"/>
      </w:r>
      <w:bookmarkStart w:id="304" w:name="_Toc21999"/>
      <w:bookmarkStart w:id="305" w:name="_Toc7147"/>
      <w:bookmarkStart w:id="306" w:name="_Toc23588"/>
      <w:r>
        <w:rPr>
          <w:rFonts w:hint="eastAsia" w:ascii="宋体" w:hAnsi="宋体" w:eastAsia="宋体" w:cs="宋体"/>
          <w:color w:val="auto"/>
        </w:rPr>
        <w:t>第六章</w:t>
      </w:r>
      <w:r>
        <w:rPr>
          <w:rFonts w:hint="eastAsia" w:ascii="宋体" w:hAnsi="宋体" w:eastAsia="宋体" w:cs="宋体"/>
          <w:color w:val="auto"/>
          <w:lang w:val="en-US" w:eastAsia="zh-CN"/>
        </w:rPr>
        <w:t xml:space="preserve"> </w:t>
      </w:r>
      <w:r>
        <w:rPr>
          <w:rFonts w:hint="eastAsia" w:ascii="宋体" w:hAnsi="宋体" w:eastAsia="宋体" w:cs="宋体"/>
          <w:color w:val="auto"/>
        </w:rPr>
        <w:t>图纸（招标图纸）</w:t>
      </w:r>
      <w:bookmarkEnd w:id="299"/>
      <w:bookmarkEnd w:id="300"/>
      <w:bookmarkEnd w:id="301"/>
      <w:bookmarkEnd w:id="302"/>
      <w:bookmarkEnd w:id="303"/>
      <w:bookmarkEnd w:id="304"/>
      <w:bookmarkEnd w:id="305"/>
      <w:bookmarkEnd w:id="306"/>
      <w:r>
        <w:rPr>
          <w:rFonts w:hint="eastAsia" w:ascii="宋体" w:hAnsi="宋体" w:eastAsia="宋体" w:cs="宋体"/>
          <w:color w:val="auto"/>
        </w:rPr>
        <w:t>　</w:t>
      </w:r>
    </w:p>
    <w:p w14:paraId="6A73149F">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另附</w:t>
      </w:r>
      <w:r>
        <w:rPr>
          <w:rFonts w:hint="eastAsia" w:ascii="宋体" w:hAnsi="宋体" w:eastAsia="宋体" w:cs="宋体"/>
          <w:color w:val="auto"/>
          <w:sz w:val="24"/>
          <w:highlight w:val="none"/>
        </w:rPr>
        <w:t>）</w:t>
      </w:r>
    </w:p>
    <w:p w14:paraId="786E107E">
      <w:pPr>
        <w:bidi w:val="0"/>
        <w:rPr>
          <w:rFonts w:hint="eastAsia" w:ascii="宋体" w:hAnsi="宋体" w:eastAsia="宋体" w:cs="宋体"/>
          <w:color w:val="auto"/>
        </w:rPr>
      </w:pPr>
      <w:r>
        <w:rPr>
          <w:rFonts w:hint="eastAsia" w:ascii="宋体" w:hAnsi="宋体" w:eastAsia="宋体" w:cs="宋体"/>
          <w:color w:val="auto"/>
          <w:highlight w:val="none"/>
        </w:rPr>
        <w:br w:type="page"/>
      </w:r>
    </w:p>
    <w:p w14:paraId="3F1F6946">
      <w:pPr>
        <w:bidi w:val="0"/>
        <w:rPr>
          <w:rFonts w:hint="eastAsia" w:ascii="宋体" w:hAnsi="宋体" w:eastAsia="宋体" w:cs="宋体"/>
          <w:color w:val="auto"/>
        </w:rPr>
      </w:pPr>
    </w:p>
    <w:p w14:paraId="61E07C9D">
      <w:pPr>
        <w:bidi w:val="0"/>
        <w:rPr>
          <w:rFonts w:hint="eastAsia" w:ascii="宋体" w:hAnsi="宋体" w:eastAsia="宋体" w:cs="宋体"/>
          <w:color w:val="auto"/>
        </w:rPr>
      </w:pPr>
    </w:p>
    <w:p w14:paraId="4C85EDFA">
      <w:pPr>
        <w:bidi w:val="0"/>
        <w:rPr>
          <w:rFonts w:hint="eastAsia" w:ascii="宋体" w:hAnsi="宋体" w:eastAsia="宋体" w:cs="宋体"/>
          <w:color w:val="auto"/>
        </w:rPr>
      </w:pPr>
    </w:p>
    <w:p w14:paraId="092763D9">
      <w:pPr>
        <w:bidi w:val="0"/>
        <w:rPr>
          <w:rFonts w:hint="eastAsia" w:ascii="宋体" w:hAnsi="宋体" w:eastAsia="宋体" w:cs="宋体"/>
          <w:color w:val="auto"/>
        </w:rPr>
      </w:pPr>
    </w:p>
    <w:p w14:paraId="013AD6CD">
      <w:pPr>
        <w:bidi w:val="0"/>
        <w:rPr>
          <w:rFonts w:hint="eastAsia" w:ascii="宋体" w:hAnsi="宋体" w:eastAsia="宋体" w:cs="宋体"/>
          <w:color w:val="auto"/>
        </w:rPr>
      </w:pPr>
    </w:p>
    <w:p w14:paraId="23CAEB56">
      <w:pPr>
        <w:bidi w:val="0"/>
        <w:rPr>
          <w:rFonts w:hint="eastAsia" w:ascii="宋体" w:hAnsi="宋体" w:eastAsia="宋体" w:cs="宋体"/>
          <w:color w:val="auto"/>
        </w:rPr>
      </w:pPr>
    </w:p>
    <w:p w14:paraId="1314909D">
      <w:pPr>
        <w:bidi w:val="0"/>
        <w:rPr>
          <w:rFonts w:hint="eastAsia" w:ascii="宋体" w:hAnsi="宋体" w:eastAsia="宋体" w:cs="宋体"/>
          <w:color w:val="auto"/>
        </w:rPr>
      </w:pPr>
    </w:p>
    <w:p w14:paraId="3F1E8F9F">
      <w:pPr>
        <w:bidi w:val="0"/>
        <w:rPr>
          <w:rFonts w:hint="eastAsia" w:ascii="宋体" w:hAnsi="宋体" w:eastAsia="宋体" w:cs="宋体"/>
          <w:color w:val="auto"/>
        </w:rPr>
      </w:pPr>
    </w:p>
    <w:p w14:paraId="056445E2">
      <w:pPr>
        <w:bidi w:val="0"/>
        <w:rPr>
          <w:rFonts w:hint="eastAsia" w:ascii="宋体" w:hAnsi="宋体" w:eastAsia="宋体" w:cs="宋体"/>
          <w:color w:val="auto"/>
        </w:rPr>
      </w:pPr>
    </w:p>
    <w:p w14:paraId="285B50C1">
      <w:pPr>
        <w:bidi w:val="0"/>
        <w:rPr>
          <w:rFonts w:hint="eastAsia" w:ascii="宋体" w:hAnsi="宋体" w:eastAsia="宋体" w:cs="宋体"/>
          <w:color w:val="auto"/>
        </w:rPr>
      </w:pPr>
    </w:p>
    <w:p w14:paraId="52E73F27">
      <w:pPr>
        <w:bidi w:val="0"/>
        <w:rPr>
          <w:rFonts w:hint="eastAsia" w:ascii="宋体" w:hAnsi="宋体" w:eastAsia="宋体" w:cs="宋体"/>
          <w:color w:val="auto"/>
        </w:rPr>
      </w:pPr>
    </w:p>
    <w:p w14:paraId="7272D4FD">
      <w:pPr>
        <w:bidi w:val="0"/>
        <w:rPr>
          <w:rFonts w:hint="eastAsia" w:ascii="宋体" w:hAnsi="宋体" w:eastAsia="宋体" w:cs="宋体"/>
          <w:color w:val="auto"/>
        </w:rPr>
      </w:pPr>
    </w:p>
    <w:p w14:paraId="69674F41">
      <w:pPr>
        <w:bidi w:val="0"/>
        <w:rPr>
          <w:rFonts w:hint="eastAsia" w:ascii="宋体" w:hAnsi="宋体" w:eastAsia="宋体" w:cs="宋体"/>
          <w:color w:val="auto"/>
        </w:rPr>
      </w:pPr>
    </w:p>
    <w:p w14:paraId="072B3AC1">
      <w:pPr>
        <w:bidi w:val="0"/>
        <w:rPr>
          <w:rFonts w:hint="eastAsia" w:ascii="宋体" w:hAnsi="宋体" w:eastAsia="宋体" w:cs="宋体"/>
          <w:color w:val="auto"/>
        </w:rPr>
      </w:pPr>
    </w:p>
    <w:p w14:paraId="0A852AF3">
      <w:pPr>
        <w:bidi w:val="0"/>
        <w:rPr>
          <w:rFonts w:hint="eastAsia" w:ascii="宋体" w:hAnsi="宋体" w:eastAsia="宋体" w:cs="宋体"/>
          <w:color w:val="auto"/>
        </w:rPr>
      </w:pPr>
    </w:p>
    <w:p w14:paraId="3690B565">
      <w:pPr>
        <w:bidi w:val="0"/>
        <w:rPr>
          <w:rFonts w:hint="eastAsia" w:ascii="宋体" w:hAnsi="宋体" w:eastAsia="宋体" w:cs="宋体"/>
          <w:color w:val="auto"/>
        </w:rPr>
      </w:pPr>
    </w:p>
    <w:p w14:paraId="0338798A">
      <w:pPr>
        <w:bidi w:val="0"/>
        <w:rPr>
          <w:rFonts w:hint="eastAsia" w:ascii="宋体" w:hAnsi="宋体" w:eastAsia="宋体" w:cs="宋体"/>
          <w:color w:val="auto"/>
        </w:rPr>
      </w:pPr>
    </w:p>
    <w:p w14:paraId="30F94E51">
      <w:pPr>
        <w:bidi w:val="0"/>
        <w:rPr>
          <w:rFonts w:hint="eastAsia" w:ascii="宋体" w:hAnsi="宋体" w:eastAsia="宋体" w:cs="宋体"/>
          <w:color w:val="auto"/>
        </w:rPr>
      </w:pPr>
    </w:p>
    <w:p w14:paraId="2CE52DC2">
      <w:pPr>
        <w:bidi w:val="0"/>
        <w:rPr>
          <w:rFonts w:hint="eastAsia" w:ascii="宋体" w:hAnsi="宋体" w:eastAsia="宋体" w:cs="宋体"/>
          <w:color w:val="auto"/>
        </w:rPr>
      </w:pPr>
    </w:p>
    <w:p w14:paraId="1812E6F0">
      <w:pPr>
        <w:pStyle w:val="2"/>
        <w:bidi w:val="0"/>
        <w:jc w:val="center"/>
        <w:rPr>
          <w:rFonts w:hint="eastAsia" w:ascii="宋体" w:hAnsi="宋体" w:eastAsia="宋体" w:cs="宋体"/>
          <w:color w:val="auto"/>
          <w:sz w:val="72"/>
          <w:szCs w:val="144"/>
        </w:rPr>
      </w:pPr>
      <w:bookmarkStart w:id="307" w:name="_Toc15318"/>
      <w:bookmarkStart w:id="308" w:name="_Toc13272"/>
      <w:bookmarkStart w:id="309" w:name="_Toc17327"/>
      <w:r>
        <w:rPr>
          <w:rFonts w:hint="eastAsia" w:ascii="宋体" w:hAnsi="宋体" w:eastAsia="宋体" w:cs="宋体"/>
          <w:color w:val="auto"/>
          <w:sz w:val="72"/>
          <w:szCs w:val="144"/>
        </w:rPr>
        <w:t>第三卷</w:t>
      </w:r>
      <w:bookmarkEnd w:id="307"/>
      <w:bookmarkEnd w:id="308"/>
      <w:bookmarkEnd w:id="309"/>
    </w:p>
    <w:p w14:paraId="2BA0767D">
      <w:pPr>
        <w:spacing w:line="520" w:lineRule="exact"/>
        <w:rPr>
          <w:rFonts w:hint="eastAsia" w:ascii="宋体" w:hAnsi="宋体" w:eastAsia="宋体" w:cs="宋体"/>
          <w:color w:val="auto"/>
          <w:szCs w:val="21"/>
          <w:highlight w:val="none"/>
        </w:rPr>
      </w:pPr>
    </w:p>
    <w:p w14:paraId="7BE43777">
      <w:pPr>
        <w:rPr>
          <w:rFonts w:hint="eastAsia" w:ascii="宋体" w:hAnsi="宋体" w:eastAsia="宋体" w:cs="宋体"/>
          <w:color w:val="auto"/>
          <w:szCs w:val="21"/>
          <w:highlight w:val="none"/>
        </w:rPr>
      </w:pPr>
    </w:p>
    <w:p w14:paraId="6421CB33">
      <w:pPr>
        <w:rPr>
          <w:rFonts w:hint="eastAsia" w:ascii="宋体" w:hAnsi="宋体" w:eastAsia="宋体" w:cs="宋体"/>
          <w:color w:val="auto"/>
          <w:szCs w:val="21"/>
          <w:highlight w:val="none"/>
        </w:rPr>
      </w:pPr>
    </w:p>
    <w:p w14:paraId="204241D7">
      <w:pPr>
        <w:rPr>
          <w:rFonts w:hint="eastAsia" w:ascii="宋体" w:hAnsi="宋体" w:eastAsia="宋体" w:cs="宋体"/>
          <w:color w:val="auto"/>
          <w:szCs w:val="21"/>
          <w:highlight w:val="none"/>
        </w:rPr>
      </w:pPr>
    </w:p>
    <w:p w14:paraId="410F6321">
      <w:pPr>
        <w:rPr>
          <w:rFonts w:hint="eastAsia" w:ascii="宋体" w:hAnsi="宋体" w:eastAsia="宋体" w:cs="宋体"/>
          <w:color w:val="auto"/>
          <w:szCs w:val="21"/>
          <w:highlight w:val="none"/>
        </w:rPr>
      </w:pPr>
    </w:p>
    <w:p w14:paraId="7FAF5F23">
      <w:pPr>
        <w:rPr>
          <w:rFonts w:hint="eastAsia" w:ascii="宋体" w:hAnsi="宋体" w:eastAsia="宋体" w:cs="宋体"/>
          <w:color w:val="auto"/>
          <w:szCs w:val="21"/>
          <w:highlight w:val="none"/>
        </w:rPr>
      </w:pPr>
    </w:p>
    <w:p w14:paraId="139688AC">
      <w:pPr>
        <w:rPr>
          <w:rFonts w:hint="eastAsia" w:ascii="宋体" w:hAnsi="宋体" w:eastAsia="宋体" w:cs="宋体"/>
          <w:color w:val="auto"/>
          <w:szCs w:val="21"/>
          <w:highlight w:val="none"/>
        </w:rPr>
      </w:pPr>
    </w:p>
    <w:p w14:paraId="048DF922">
      <w:pPr>
        <w:rPr>
          <w:rFonts w:hint="eastAsia" w:ascii="宋体" w:hAnsi="宋体" w:eastAsia="宋体" w:cs="宋体"/>
          <w:color w:val="auto"/>
          <w:szCs w:val="21"/>
          <w:highlight w:val="none"/>
        </w:rPr>
      </w:pPr>
    </w:p>
    <w:p w14:paraId="45AF9642">
      <w:pPr>
        <w:rPr>
          <w:rFonts w:hint="eastAsia" w:ascii="宋体" w:hAnsi="宋体" w:eastAsia="宋体" w:cs="宋体"/>
          <w:color w:val="auto"/>
          <w:szCs w:val="21"/>
          <w:highlight w:val="none"/>
        </w:rPr>
      </w:pPr>
    </w:p>
    <w:p w14:paraId="3B115C23">
      <w:pPr>
        <w:rPr>
          <w:rFonts w:hint="eastAsia" w:ascii="宋体" w:hAnsi="宋体" w:eastAsia="宋体" w:cs="宋体"/>
          <w:color w:val="auto"/>
          <w:szCs w:val="21"/>
          <w:highlight w:val="none"/>
        </w:rPr>
      </w:pPr>
    </w:p>
    <w:p w14:paraId="06D8B794">
      <w:pPr>
        <w:rPr>
          <w:rFonts w:hint="eastAsia" w:ascii="宋体" w:hAnsi="宋体" w:eastAsia="宋体" w:cs="宋体"/>
          <w:color w:val="auto"/>
          <w:szCs w:val="21"/>
          <w:highlight w:val="none"/>
        </w:rPr>
      </w:pPr>
    </w:p>
    <w:p w14:paraId="1D602632">
      <w:pPr>
        <w:rPr>
          <w:rFonts w:hint="eastAsia" w:ascii="宋体" w:hAnsi="宋体" w:eastAsia="宋体" w:cs="宋体"/>
          <w:color w:val="auto"/>
          <w:szCs w:val="21"/>
          <w:highlight w:val="none"/>
        </w:rPr>
      </w:pPr>
    </w:p>
    <w:p w14:paraId="5EFF3C7F">
      <w:pPr>
        <w:rPr>
          <w:rFonts w:hint="eastAsia" w:ascii="宋体" w:hAnsi="宋体" w:eastAsia="宋体" w:cs="宋体"/>
          <w:color w:val="auto"/>
          <w:szCs w:val="21"/>
          <w:highlight w:val="none"/>
        </w:rPr>
      </w:pPr>
    </w:p>
    <w:p w14:paraId="59D8244F">
      <w:pPr>
        <w:rPr>
          <w:rFonts w:hint="eastAsia" w:ascii="宋体" w:hAnsi="宋体" w:eastAsia="宋体" w:cs="宋体"/>
          <w:color w:val="auto"/>
          <w:szCs w:val="21"/>
          <w:highlight w:val="none"/>
        </w:rPr>
      </w:pPr>
    </w:p>
    <w:p w14:paraId="6F332FC1">
      <w:pPr>
        <w:rPr>
          <w:rFonts w:hint="eastAsia" w:ascii="宋体" w:hAnsi="宋体" w:eastAsia="宋体" w:cs="宋体"/>
          <w:color w:val="auto"/>
          <w:szCs w:val="21"/>
          <w:highlight w:val="none"/>
        </w:rPr>
      </w:pPr>
    </w:p>
    <w:p w14:paraId="5DB22847">
      <w:pPr>
        <w:rPr>
          <w:rFonts w:hint="eastAsia" w:ascii="宋体" w:hAnsi="宋体" w:eastAsia="宋体" w:cs="宋体"/>
          <w:color w:val="auto"/>
          <w:szCs w:val="21"/>
          <w:highlight w:val="none"/>
        </w:rPr>
      </w:pPr>
    </w:p>
    <w:p w14:paraId="790C15E4">
      <w:pPr>
        <w:rPr>
          <w:rFonts w:hint="eastAsia" w:ascii="宋体" w:hAnsi="宋体" w:eastAsia="宋体" w:cs="宋体"/>
          <w:color w:val="auto"/>
          <w:szCs w:val="21"/>
          <w:highlight w:val="none"/>
        </w:rPr>
      </w:pPr>
    </w:p>
    <w:p w14:paraId="56989B13">
      <w:pPr>
        <w:rPr>
          <w:rFonts w:hint="eastAsia" w:ascii="宋体" w:hAnsi="宋体" w:eastAsia="宋体" w:cs="宋体"/>
          <w:color w:val="auto"/>
          <w:szCs w:val="21"/>
          <w:highlight w:val="none"/>
        </w:rPr>
      </w:pPr>
    </w:p>
    <w:p w14:paraId="7FD39D16">
      <w:pPr>
        <w:rPr>
          <w:rFonts w:hint="eastAsia" w:ascii="宋体" w:hAnsi="宋体" w:eastAsia="宋体" w:cs="宋体"/>
          <w:color w:val="auto"/>
          <w:szCs w:val="21"/>
          <w:highlight w:val="none"/>
        </w:rPr>
      </w:pPr>
    </w:p>
    <w:p w14:paraId="679860C2">
      <w:pPr>
        <w:rPr>
          <w:rFonts w:hint="eastAsia" w:ascii="宋体" w:hAnsi="宋体" w:eastAsia="宋体" w:cs="宋体"/>
          <w:color w:val="auto"/>
          <w:szCs w:val="21"/>
          <w:highlight w:val="none"/>
        </w:rPr>
      </w:pPr>
    </w:p>
    <w:p w14:paraId="453B8EB9">
      <w:pPr>
        <w:rPr>
          <w:rFonts w:hint="eastAsia" w:ascii="宋体" w:hAnsi="宋体" w:eastAsia="宋体" w:cs="宋体"/>
          <w:color w:val="auto"/>
          <w:szCs w:val="21"/>
          <w:highlight w:val="none"/>
        </w:rPr>
      </w:pPr>
    </w:p>
    <w:p w14:paraId="71E7452D">
      <w:pPr>
        <w:bidi w:val="0"/>
        <w:rPr>
          <w:rFonts w:hint="eastAsia" w:ascii="宋体" w:hAnsi="宋体" w:eastAsia="宋体" w:cs="宋体"/>
          <w:color w:val="auto"/>
        </w:rPr>
      </w:pPr>
      <w:bookmarkStart w:id="310" w:name="_Toc256773232"/>
      <w:bookmarkStart w:id="311" w:name="_Toc263675434"/>
      <w:bookmarkStart w:id="312" w:name="_Toc263675353"/>
      <w:bookmarkStart w:id="313" w:name="_Toc263413231"/>
      <w:bookmarkStart w:id="314" w:name="_Toc263674962"/>
    </w:p>
    <w:p w14:paraId="466FF792">
      <w:pPr>
        <w:pStyle w:val="2"/>
        <w:bidi w:val="0"/>
        <w:jc w:val="center"/>
        <w:rPr>
          <w:rFonts w:hint="eastAsia" w:ascii="宋体" w:hAnsi="宋体" w:eastAsia="宋体" w:cs="宋体"/>
          <w:color w:val="auto"/>
        </w:rPr>
      </w:pPr>
      <w:bookmarkStart w:id="315" w:name="_Toc25233"/>
      <w:bookmarkStart w:id="316" w:name="_Toc1977"/>
      <w:bookmarkStart w:id="317" w:name="_Toc23787"/>
      <w:r>
        <w:rPr>
          <w:rFonts w:hint="eastAsia" w:ascii="宋体" w:hAnsi="宋体" w:eastAsia="宋体" w:cs="宋体"/>
          <w:color w:val="auto"/>
        </w:rPr>
        <w:t>第七章</w:t>
      </w:r>
      <w:r>
        <w:rPr>
          <w:rFonts w:hint="eastAsia" w:ascii="宋体" w:hAnsi="宋体" w:eastAsia="宋体" w:cs="宋体"/>
          <w:color w:val="auto"/>
          <w:lang w:val="en-US" w:eastAsia="zh-CN"/>
        </w:rPr>
        <w:t xml:space="preserve"> </w:t>
      </w:r>
      <w:r>
        <w:rPr>
          <w:rFonts w:hint="eastAsia" w:ascii="宋体" w:hAnsi="宋体" w:eastAsia="宋体" w:cs="宋体"/>
          <w:color w:val="auto"/>
        </w:rPr>
        <w:t>技术标准和要求（合同技术条款）</w:t>
      </w:r>
      <w:bookmarkEnd w:id="310"/>
      <w:bookmarkEnd w:id="311"/>
      <w:bookmarkEnd w:id="312"/>
      <w:bookmarkEnd w:id="313"/>
      <w:bookmarkEnd w:id="314"/>
      <w:bookmarkEnd w:id="315"/>
      <w:bookmarkEnd w:id="316"/>
      <w:bookmarkEnd w:id="317"/>
    </w:p>
    <w:p w14:paraId="4D62C411">
      <w:pPr>
        <w:spacing w:line="360" w:lineRule="auto"/>
        <w:ind w:firstLine="480" w:firstLineChars="200"/>
        <w:jc w:val="left"/>
        <w:rPr>
          <w:rFonts w:hint="eastAsia" w:ascii="宋体" w:hAnsi="宋体" w:eastAsia="宋体" w:cs="宋体"/>
          <w:color w:val="auto"/>
          <w:sz w:val="24"/>
          <w:highlight w:val="none"/>
        </w:rPr>
      </w:pPr>
      <w:bookmarkStart w:id="318" w:name="_Toc48667447"/>
    </w:p>
    <w:p w14:paraId="6D4AE3E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按照国家、省及水利行业相关标准及《工程招标文件技术条款》执行。</w:t>
      </w:r>
      <w:bookmarkEnd w:id="318"/>
    </w:p>
    <w:p w14:paraId="15CD3AD5">
      <w:pPr>
        <w:spacing w:line="560" w:lineRule="exact"/>
        <w:jc w:val="center"/>
        <w:rPr>
          <w:rFonts w:hint="eastAsia" w:ascii="宋体" w:hAnsi="宋体" w:eastAsia="宋体" w:cs="宋体"/>
          <w:color w:val="auto"/>
          <w:sz w:val="28"/>
          <w:szCs w:val="28"/>
          <w:highlight w:val="none"/>
        </w:rPr>
      </w:pPr>
    </w:p>
    <w:p w14:paraId="17D74675">
      <w:pPr>
        <w:bidi w:val="0"/>
        <w:rPr>
          <w:rFonts w:hint="eastAsia" w:ascii="宋体" w:hAnsi="宋体" w:eastAsia="宋体" w:cs="宋体"/>
          <w:color w:val="auto"/>
        </w:rPr>
      </w:pPr>
    </w:p>
    <w:p w14:paraId="497D3F41">
      <w:pPr>
        <w:bidi w:val="0"/>
        <w:rPr>
          <w:rFonts w:hint="eastAsia" w:ascii="宋体" w:hAnsi="宋体" w:eastAsia="宋体" w:cs="宋体"/>
          <w:color w:val="auto"/>
          <w:lang w:eastAsia="zh-CN"/>
        </w:rPr>
      </w:pPr>
    </w:p>
    <w:p w14:paraId="41B7D7BE">
      <w:pPr>
        <w:bidi w:val="0"/>
        <w:rPr>
          <w:rFonts w:hint="eastAsia" w:ascii="宋体" w:hAnsi="宋体" w:eastAsia="宋体" w:cs="宋体"/>
          <w:color w:val="auto"/>
        </w:rPr>
      </w:pPr>
    </w:p>
    <w:p w14:paraId="79B9BA91">
      <w:pPr>
        <w:bidi w:val="0"/>
        <w:rPr>
          <w:rFonts w:hint="eastAsia" w:ascii="宋体" w:hAnsi="宋体" w:eastAsia="宋体" w:cs="宋体"/>
          <w:color w:val="auto"/>
        </w:rPr>
      </w:pPr>
    </w:p>
    <w:p w14:paraId="2C958E2E">
      <w:pPr>
        <w:bidi w:val="0"/>
        <w:rPr>
          <w:rFonts w:hint="eastAsia" w:ascii="宋体" w:hAnsi="宋体" w:eastAsia="宋体" w:cs="宋体"/>
          <w:color w:val="auto"/>
        </w:rPr>
      </w:pPr>
    </w:p>
    <w:p w14:paraId="1FDA272D">
      <w:pPr>
        <w:bidi w:val="0"/>
        <w:rPr>
          <w:rFonts w:hint="eastAsia" w:ascii="宋体" w:hAnsi="宋体" w:eastAsia="宋体" w:cs="宋体"/>
          <w:color w:val="auto"/>
        </w:rPr>
      </w:pPr>
    </w:p>
    <w:p w14:paraId="5B68553F">
      <w:pPr>
        <w:bidi w:val="0"/>
        <w:rPr>
          <w:rFonts w:hint="eastAsia" w:ascii="宋体" w:hAnsi="宋体" w:eastAsia="宋体" w:cs="宋体"/>
          <w:color w:val="auto"/>
        </w:rPr>
      </w:pPr>
    </w:p>
    <w:p w14:paraId="6365E6A4">
      <w:pPr>
        <w:bidi w:val="0"/>
        <w:rPr>
          <w:rFonts w:hint="eastAsia" w:ascii="宋体" w:hAnsi="宋体" w:eastAsia="宋体" w:cs="宋体"/>
          <w:color w:val="auto"/>
        </w:rPr>
      </w:pPr>
    </w:p>
    <w:p w14:paraId="55BF8BB9">
      <w:pPr>
        <w:bidi w:val="0"/>
        <w:rPr>
          <w:rFonts w:hint="eastAsia" w:ascii="宋体" w:hAnsi="宋体" w:eastAsia="宋体" w:cs="宋体"/>
          <w:color w:val="auto"/>
        </w:rPr>
      </w:pPr>
    </w:p>
    <w:p w14:paraId="6A2ED757">
      <w:pPr>
        <w:bidi w:val="0"/>
        <w:rPr>
          <w:rFonts w:hint="eastAsia" w:ascii="宋体" w:hAnsi="宋体" w:eastAsia="宋体" w:cs="宋体"/>
          <w:color w:val="auto"/>
        </w:rPr>
      </w:pPr>
    </w:p>
    <w:p w14:paraId="2D5CCDAC">
      <w:pPr>
        <w:bidi w:val="0"/>
        <w:rPr>
          <w:rFonts w:hint="eastAsia" w:ascii="宋体" w:hAnsi="宋体" w:eastAsia="宋体" w:cs="宋体"/>
          <w:color w:val="auto"/>
        </w:rPr>
      </w:pPr>
    </w:p>
    <w:p w14:paraId="6E44B38C">
      <w:pPr>
        <w:bidi w:val="0"/>
        <w:rPr>
          <w:rFonts w:hint="eastAsia" w:ascii="宋体" w:hAnsi="宋体" w:eastAsia="宋体" w:cs="宋体"/>
          <w:color w:val="auto"/>
        </w:rPr>
      </w:pPr>
    </w:p>
    <w:p w14:paraId="45FDAF2A">
      <w:pPr>
        <w:bidi w:val="0"/>
        <w:rPr>
          <w:rFonts w:hint="eastAsia" w:ascii="宋体" w:hAnsi="宋体" w:eastAsia="宋体" w:cs="宋体"/>
          <w:color w:val="auto"/>
        </w:rPr>
      </w:pPr>
    </w:p>
    <w:p w14:paraId="0002BFBB">
      <w:pPr>
        <w:bidi w:val="0"/>
        <w:rPr>
          <w:rFonts w:hint="eastAsia" w:ascii="宋体" w:hAnsi="宋体" w:eastAsia="宋体" w:cs="宋体"/>
          <w:color w:val="auto"/>
        </w:rPr>
      </w:pPr>
    </w:p>
    <w:p w14:paraId="0BB75747">
      <w:pPr>
        <w:bidi w:val="0"/>
        <w:rPr>
          <w:rFonts w:hint="eastAsia" w:ascii="宋体" w:hAnsi="宋体" w:eastAsia="宋体" w:cs="宋体"/>
          <w:color w:val="auto"/>
        </w:rPr>
      </w:pPr>
    </w:p>
    <w:p w14:paraId="4110AAF9">
      <w:pPr>
        <w:bidi w:val="0"/>
        <w:rPr>
          <w:rFonts w:hint="eastAsia" w:ascii="宋体" w:hAnsi="宋体" w:eastAsia="宋体" w:cs="宋体"/>
          <w:color w:val="auto"/>
        </w:rPr>
      </w:pPr>
    </w:p>
    <w:p w14:paraId="55EA66BD">
      <w:pPr>
        <w:bidi w:val="0"/>
        <w:rPr>
          <w:rFonts w:hint="eastAsia" w:ascii="宋体" w:hAnsi="宋体" w:eastAsia="宋体" w:cs="宋体"/>
          <w:color w:val="auto"/>
        </w:rPr>
      </w:pPr>
    </w:p>
    <w:p w14:paraId="049375B0">
      <w:pPr>
        <w:bidi w:val="0"/>
        <w:rPr>
          <w:rFonts w:hint="eastAsia" w:ascii="宋体" w:hAnsi="宋体" w:eastAsia="宋体" w:cs="宋体"/>
          <w:color w:val="auto"/>
        </w:rPr>
      </w:pPr>
    </w:p>
    <w:p w14:paraId="4BE2B9E5">
      <w:pPr>
        <w:bidi w:val="0"/>
        <w:rPr>
          <w:rFonts w:hint="eastAsia" w:ascii="宋体" w:hAnsi="宋体" w:eastAsia="宋体" w:cs="宋体"/>
          <w:color w:val="auto"/>
        </w:rPr>
      </w:pPr>
    </w:p>
    <w:p w14:paraId="30E111F6">
      <w:pPr>
        <w:bidi w:val="0"/>
        <w:rPr>
          <w:rFonts w:hint="eastAsia" w:ascii="宋体" w:hAnsi="宋体" w:eastAsia="宋体" w:cs="宋体"/>
          <w:color w:val="auto"/>
        </w:rPr>
      </w:pPr>
    </w:p>
    <w:p w14:paraId="43C058A1">
      <w:pPr>
        <w:bidi w:val="0"/>
        <w:rPr>
          <w:rFonts w:hint="eastAsia" w:ascii="宋体" w:hAnsi="宋体" w:eastAsia="宋体" w:cs="宋体"/>
          <w:color w:val="auto"/>
        </w:rPr>
      </w:pPr>
    </w:p>
    <w:p w14:paraId="0404F9CB">
      <w:pPr>
        <w:bidi w:val="0"/>
        <w:rPr>
          <w:rFonts w:hint="eastAsia" w:ascii="宋体" w:hAnsi="宋体" w:eastAsia="宋体" w:cs="宋体"/>
          <w:color w:val="auto"/>
        </w:rPr>
      </w:pPr>
    </w:p>
    <w:p w14:paraId="1E40D7EB">
      <w:pPr>
        <w:bidi w:val="0"/>
        <w:rPr>
          <w:rFonts w:hint="eastAsia" w:ascii="宋体" w:hAnsi="宋体" w:eastAsia="宋体" w:cs="宋体"/>
          <w:color w:val="auto"/>
        </w:rPr>
      </w:pPr>
    </w:p>
    <w:p w14:paraId="1633DB08">
      <w:pPr>
        <w:bidi w:val="0"/>
        <w:rPr>
          <w:rFonts w:hint="eastAsia" w:ascii="宋体" w:hAnsi="宋体" w:eastAsia="宋体" w:cs="宋体"/>
          <w:color w:val="auto"/>
        </w:rPr>
      </w:pPr>
    </w:p>
    <w:p w14:paraId="7A606F8E">
      <w:pPr>
        <w:bidi w:val="0"/>
        <w:rPr>
          <w:rFonts w:hint="eastAsia" w:ascii="宋体" w:hAnsi="宋体" w:eastAsia="宋体" w:cs="宋体"/>
          <w:color w:val="auto"/>
        </w:rPr>
      </w:pPr>
    </w:p>
    <w:p w14:paraId="0FFAA525">
      <w:pPr>
        <w:bidi w:val="0"/>
        <w:rPr>
          <w:rFonts w:hint="eastAsia" w:ascii="宋体" w:hAnsi="宋体" w:eastAsia="宋体" w:cs="宋体"/>
          <w:color w:val="auto"/>
        </w:rPr>
      </w:pPr>
    </w:p>
    <w:p w14:paraId="39D1B16C">
      <w:pPr>
        <w:bidi w:val="0"/>
        <w:rPr>
          <w:rFonts w:hint="eastAsia" w:ascii="宋体" w:hAnsi="宋体" w:eastAsia="宋体" w:cs="宋体"/>
          <w:color w:val="auto"/>
        </w:rPr>
      </w:pPr>
    </w:p>
    <w:p w14:paraId="5AD56475">
      <w:pPr>
        <w:bidi w:val="0"/>
        <w:rPr>
          <w:rFonts w:hint="eastAsia" w:ascii="宋体" w:hAnsi="宋体" w:eastAsia="宋体" w:cs="宋体"/>
          <w:color w:val="auto"/>
        </w:rPr>
      </w:pPr>
    </w:p>
    <w:p w14:paraId="1E455D34">
      <w:pPr>
        <w:bidi w:val="0"/>
        <w:rPr>
          <w:rFonts w:hint="eastAsia" w:ascii="宋体" w:hAnsi="宋体" w:eastAsia="宋体" w:cs="宋体"/>
          <w:color w:val="auto"/>
        </w:rPr>
      </w:pPr>
    </w:p>
    <w:p w14:paraId="2E822F8A">
      <w:pPr>
        <w:bidi w:val="0"/>
        <w:rPr>
          <w:rFonts w:hint="eastAsia" w:ascii="宋体" w:hAnsi="宋体" w:eastAsia="宋体" w:cs="宋体"/>
          <w:color w:val="auto"/>
        </w:rPr>
      </w:pPr>
    </w:p>
    <w:p w14:paraId="11F57BC9">
      <w:pPr>
        <w:bidi w:val="0"/>
        <w:rPr>
          <w:rFonts w:hint="eastAsia" w:ascii="宋体" w:hAnsi="宋体" w:eastAsia="宋体" w:cs="宋体"/>
          <w:color w:val="auto"/>
        </w:rPr>
      </w:pPr>
    </w:p>
    <w:p w14:paraId="00AB120E">
      <w:pPr>
        <w:bidi w:val="0"/>
        <w:rPr>
          <w:rFonts w:hint="eastAsia" w:ascii="宋体" w:hAnsi="宋体" w:eastAsia="宋体" w:cs="宋体"/>
          <w:color w:val="auto"/>
        </w:rPr>
      </w:pPr>
    </w:p>
    <w:p w14:paraId="3BB525E3">
      <w:pPr>
        <w:bidi w:val="0"/>
        <w:rPr>
          <w:rFonts w:hint="eastAsia" w:ascii="宋体" w:hAnsi="宋体" w:eastAsia="宋体" w:cs="宋体"/>
          <w:color w:val="auto"/>
        </w:rPr>
      </w:pPr>
    </w:p>
    <w:p w14:paraId="07E811C4">
      <w:pPr>
        <w:bidi w:val="0"/>
        <w:rPr>
          <w:rFonts w:hint="eastAsia" w:ascii="宋体" w:hAnsi="宋体" w:eastAsia="宋体" w:cs="宋体"/>
          <w:color w:val="auto"/>
        </w:rPr>
      </w:pPr>
    </w:p>
    <w:p w14:paraId="7DA8A49F">
      <w:pPr>
        <w:bidi w:val="0"/>
        <w:rPr>
          <w:rFonts w:hint="eastAsia" w:ascii="宋体" w:hAnsi="宋体" w:eastAsia="宋体" w:cs="宋体"/>
          <w:color w:val="auto"/>
        </w:rPr>
      </w:pPr>
    </w:p>
    <w:p w14:paraId="0417090C">
      <w:pPr>
        <w:bidi w:val="0"/>
        <w:rPr>
          <w:rFonts w:hint="eastAsia" w:ascii="宋体" w:hAnsi="宋体" w:eastAsia="宋体" w:cs="宋体"/>
          <w:color w:val="auto"/>
        </w:rPr>
      </w:pPr>
    </w:p>
    <w:p w14:paraId="0D3AF0CF">
      <w:pPr>
        <w:bidi w:val="0"/>
        <w:rPr>
          <w:rFonts w:hint="eastAsia" w:ascii="宋体" w:hAnsi="宋体" w:eastAsia="宋体" w:cs="宋体"/>
          <w:color w:val="auto"/>
        </w:rPr>
      </w:pPr>
    </w:p>
    <w:p w14:paraId="0F5F80A8">
      <w:pPr>
        <w:bidi w:val="0"/>
        <w:rPr>
          <w:rFonts w:hint="eastAsia" w:ascii="宋体" w:hAnsi="宋体" w:eastAsia="宋体" w:cs="宋体"/>
          <w:color w:val="auto"/>
        </w:rPr>
      </w:pPr>
    </w:p>
    <w:p w14:paraId="0B8FC544">
      <w:pPr>
        <w:bidi w:val="0"/>
        <w:rPr>
          <w:rFonts w:hint="eastAsia" w:ascii="宋体" w:hAnsi="宋体" w:eastAsia="宋体" w:cs="宋体"/>
          <w:color w:val="auto"/>
        </w:rPr>
      </w:pPr>
    </w:p>
    <w:p w14:paraId="68C41E5F">
      <w:pPr>
        <w:bidi w:val="0"/>
        <w:rPr>
          <w:rFonts w:hint="eastAsia" w:ascii="宋体" w:hAnsi="宋体" w:eastAsia="宋体" w:cs="宋体"/>
          <w:color w:val="auto"/>
        </w:rPr>
      </w:pPr>
    </w:p>
    <w:p w14:paraId="4B5E5859">
      <w:pPr>
        <w:bidi w:val="0"/>
        <w:rPr>
          <w:rFonts w:hint="eastAsia" w:ascii="宋体" w:hAnsi="宋体" w:eastAsia="宋体" w:cs="宋体"/>
          <w:color w:val="auto"/>
        </w:rPr>
      </w:pPr>
    </w:p>
    <w:p w14:paraId="2C27E07A">
      <w:pPr>
        <w:bidi w:val="0"/>
        <w:rPr>
          <w:rFonts w:hint="eastAsia" w:ascii="宋体" w:hAnsi="宋体" w:eastAsia="宋体" w:cs="宋体"/>
          <w:color w:val="auto"/>
        </w:rPr>
      </w:pPr>
    </w:p>
    <w:p w14:paraId="41FA6BA0">
      <w:pPr>
        <w:bidi w:val="0"/>
        <w:rPr>
          <w:rFonts w:hint="eastAsia" w:ascii="宋体" w:hAnsi="宋体" w:eastAsia="宋体" w:cs="宋体"/>
          <w:color w:val="auto"/>
        </w:rPr>
      </w:pPr>
    </w:p>
    <w:p w14:paraId="3BE73639">
      <w:pPr>
        <w:bidi w:val="0"/>
        <w:rPr>
          <w:rFonts w:hint="eastAsia" w:ascii="宋体" w:hAnsi="宋体" w:eastAsia="宋体" w:cs="宋体"/>
          <w:color w:val="auto"/>
        </w:rPr>
      </w:pPr>
    </w:p>
    <w:p w14:paraId="1A50C56B">
      <w:pPr>
        <w:bidi w:val="0"/>
        <w:rPr>
          <w:rFonts w:hint="eastAsia" w:ascii="宋体" w:hAnsi="宋体" w:eastAsia="宋体" w:cs="宋体"/>
          <w:color w:val="auto"/>
        </w:rPr>
      </w:pPr>
    </w:p>
    <w:p w14:paraId="2F597B13">
      <w:pPr>
        <w:bidi w:val="0"/>
        <w:rPr>
          <w:rFonts w:hint="eastAsia" w:ascii="宋体" w:hAnsi="宋体" w:eastAsia="宋体" w:cs="宋体"/>
          <w:color w:val="auto"/>
        </w:rPr>
      </w:pPr>
    </w:p>
    <w:p w14:paraId="679149B2">
      <w:pPr>
        <w:bidi w:val="0"/>
        <w:rPr>
          <w:rFonts w:hint="eastAsia" w:ascii="宋体" w:hAnsi="宋体" w:eastAsia="宋体" w:cs="宋体"/>
          <w:color w:val="auto"/>
        </w:rPr>
      </w:pPr>
    </w:p>
    <w:p w14:paraId="7797FBF1">
      <w:pPr>
        <w:bidi w:val="0"/>
        <w:rPr>
          <w:rFonts w:hint="eastAsia" w:ascii="宋体" w:hAnsi="宋体" w:eastAsia="宋体" w:cs="宋体"/>
          <w:color w:val="auto"/>
        </w:rPr>
      </w:pPr>
    </w:p>
    <w:p w14:paraId="311ACC61">
      <w:pPr>
        <w:bidi w:val="0"/>
        <w:rPr>
          <w:rFonts w:hint="eastAsia" w:ascii="宋体" w:hAnsi="宋体" w:eastAsia="宋体" w:cs="宋体"/>
          <w:color w:val="auto"/>
        </w:rPr>
      </w:pPr>
    </w:p>
    <w:p w14:paraId="62AEDE67">
      <w:pPr>
        <w:bidi w:val="0"/>
        <w:rPr>
          <w:rFonts w:hint="eastAsia" w:ascii="宋体" w:hAnsi="宋体" w:eastAsia="宋体" w:cs="宋体"/>
          <w:color w:val="auto"/>
        </w:rPr>
      </w:pPr>
    </w:p>
    <w:p w14:paraId="49ED9BB3">
      <w:pPr>
        <w:bidi w:val="0"/>
        <w:rPr>
          <w:rFonts w:hint="eastAsia" w:ascii="宋体" w:hAnsi="宋体" w:eastAsia="宋体" w:cs="宋体"/>
          <w:color w:val="auto"/>
        </w:rPr>
      </w:pPr>
    </w:p>
    <w:p w14:paraId="3E406BBE">
      <w:pPr>
        <w:bidi w:val="0"/>
        <w:rPr>
          <w:rFonts w:hint="eastAsia" w:ascii="宋体" w:hAnsi="宋体" w:eastAsia="宋体" w:cs="宋体"/>
          <w:color w:val="auto"/>
        </w:rPr>
      </w:pPr>
    </w:p>
    <w:p w14:paraId="6C0C6954">
      <w:pPr>
        <w:bidi w:val="0"/>
        <w:rPr>
          <w:rFonts w:hint="eastAsia" w:ascii="宋体" w:hAnsi="宋体" w:eastAsia="宋体" w:cs="宋体"/>
          <w:color w:val="auto"/>
        </w:rPr>
      </w:pPr>
    </w:p>
    <w:p w14:paraId="5C75C52A">
      <w:pPr>
        <w:bidi w:val="0"/>
        <w:rPr>
          <w:rFonts w:hint="eastAsia" w:ascii="宋体" w:hAnsi="宋体" w:eastAsia="宋体" w:cs="宋体"/>
          <w:color w:val="auto"/>
        </w:rPr>
      </w:pPr>
    </w:p>
    <w:p w14:paraId="29A6B7CD">
      <w:pPr>
        <w:bidi w:val="0"/>
        <w:rPr>
          <w:rFonts w:hint="eastAsia" w:ascii="宋体" w:hAnsi="宋体" w:eastAsia="宋体" w:cs="宋体"/>
          <w:color w:val="auto"/>
        </w:rPr>
      </w:pPr>
    </w:p>
    <w:p w14:paraId="4D324A81">
      <w:pPr>
        <w:bidi w:val="0"/>
        <w:rPr>
          <w:rFonts w:hint="eastAsia" w:ascii="宋体" w:hAnsi="宋体" w:eastAsia="宋体" w:cs="宋体"/>
          <w:color w:val="auto"/>
        </w:rPr>
      </w:pPr>
    </w:p>
    <w:p w14:paraId="37359644">
      <w:pPr>
        <w:bidi w:val="0"/>
        <w:rPr>
          <w:rFonts w:hint="eastAsia" w:ascii="宋体" w:hAnsi="宋体" w:eastAsia="宋体" w:cs="宋体"/>
          <w:color w:val="auto"/>
        </w:rPr>
      </w:pPr>
    </w:p>
    <w:p w14:paraId="73630CB6">
      <w:pPr>
        <w:bidi w:val="0"/>
        <w:rPr>
          <w:rFonts w:hint="eastAsia" w:ascii="宋体" w:hAnsi="宋体" w:eastAsia="宋体" w:cs="宋体"/>
          <w:color w:val="auto"/>
        </w:rPr>
      </w:pPr>
    </w:p>
    <w:p w14:paraId="697E29CF">
      <w:pPr>
        <w:bidi w:val="0"/>
        <w:rPr>
          <w:rFonts w:hint="eastAsia" w:ascii="宋体" w:hAnsi="宋体" w:eastAsia="宋体" w:cs="宋体"/>
          <w:color w:val="auto"/>
        </w:rPr>
      </w:pPr>
    </w:p>
    <w:p w14:paraId="4E714EC1">
      <w:pPr>
        <w:pStyle w:val="2"/>
        <w:bidi w:val="0"/>
        <w:jc w:val="center"/>
        <w:rPr>
          <w:rFonts w:hint="eastAsia" w:ascii="宋体" w:hAnsi="宋体" w:eastAsia="宋体" w:cs="宋体"/>
          <w:color w:val="auto"/>
          <w:sz w:val="72"/>
          <w:szCs w:val="144"/>
        </w:rPr>
      </w:pPr>
      <w:bookmarkStart w:id="319" w:name="_Toc3275"/>
      <w:bookmarkStart w:id="320" w:name="_Toc26423"/>
      <w:bookmarkStart w:id="321" w:name="_Toc6491"/>
      <w:r>
        <w:rPr>
          <w:rFonts w:hint="eastAsia" w:ascii="宋体" w:hAnsi="宋体" w:eastAsia="宋体" w:cs="宋体"/>
          <w:color w:val="auto"/>
          <w:sz w:val="72"/>
          <w:szCs w:val="144"/>
        </w:rPr>
        <w:t>第四卷</w:t>
      </w:r>
      <w:bookmarkEnd w:id="319"/>
      <w:bookmarkEnd w:id="320"/>
      <w:bookmarkEnd w:id="321"/>
    </w:p>
    <w:p w14:paraId="03F907C4">
      <w:pPr>
        <w:spacing w:line="520" w:lineRule="exact"/>
        <w:rPr>
          <w:rFonts w:hint="eastAsia" w:ascii="宋体" w:hAnsi="宋体" w:eastAsia="宋体" w:cs="宋体"/>
          <w:color w:val="auto"/>
          <w:szCs w:val="21"/>
          <w:highlight w:val="none"/>
        </w:rPr>
      </w:pPr>
    </w:p>
    <w:p w14:paraId="0DF848EB">
      <w:pPr>
        <w:bidi w:val="0"/>
        <w:rPr>
          <w:rFonts w:hint="eastAsia" w:ascii="宋体" w:hAnsi="宋体" w:eastAsia="宋体" w:cs="宋体"/>
          <w:color w:val="auto"/>
        </w:rPr>
      </w:pPr>
    </w:p>
    <w:p w14:paraId="1B9BD470">
      <w:pPr>
        <w:bidi w:val="0"/>
        <w:rPr>
          <w:rFonts w:hint="eastAsia" w:ascii="宋体" w:hAnsi="宋体" w:eastAsia="宋体" w:cs="宋体"/>
          <w:color w:val="auto"/>
        </w:rPr>
      </w:pPr>
    </w:p>
    <w:p w14:paraId="0B9BC88D">
      <w:pPr>
        <w:bidi w:val="0"/>
        <w:rPr>
          <w:rFonts w:hint="eastAsia" w:ascii="宋体" w:hAnsi="宋体" w:eastAsia="宋体" w:cs="宋体"/>
          <w:color w:val="auto"/>
        </w:rPr>
      </w:pPr>
    </w:p>
    <w:p w14:paraId="57876891">
      <w:pPr>
        <w:bidi w:val="0"/>
        <w:rPr>
          <w:rFonts w:hint="eastAsia" w:ascii="宋体" w:hAnsi="宋体" w:eastAsia="宋体" w:cs="宋体"/>
          <w:color w:val="auto"/>
        </w:rPr>
      </w:pPr>
    </w:p>
    <w:p w14:paraId="235B540E">
      <w:pPr>
        <w:bidi w:val="0"/>
        <w:rPr>
          <w:rFonts w:hint="eastAsia" w:ascii="宋体" w:hAnsi="宋体" w:eastAsia="宋体" w:cs="宋体"/>
          <w:color w:val="auto"/>
        </w:rPr>
      </w:pPr>
    </w:p>
    <w:p w14:paraId="4B1D5D12">
      <w:pPr>
        <w:bidi w:val="0"/>
        <w:rPr>
          <w:rFonts w:hint="eastAsia" w:ascii="宋体" w:hAnsi="宋体" w:eastAsia="宋体" w:cs="宋体"/>
          <w:color w:val="auto"/>
        </w:rPr>
      </w:pPr>
    </w:p>
    <w:p w14:paraId="0AD4B5C5">
      <w:pPr>
        <w:bidi w:val="0"/>
        <w:rPr>
          <w:rFonts w:hint="eastAsia" w:ascii="宋体" w:hAnsi="宋体" w:eastAsia="宋体" w:cs="宋体"/>
          <w:color w:val="auto"/>
        </w:rPr>
      </w:pPr>
    </w:p>
    <w:p w14:paraId="0D0AD2BF">
      <w:pPr>
        <w:bidi w:val="0"/>
        <w:rPr>
          <w:rFonts w:hint="eastAsia" w:ascii="宋体" w:hAnsi="宋体" w:eastAsia="宋体" w:cs="宋体"/>
          <w:color w:val="auto"/>
        </w:rPr>
      </w:pPr>
    </w:p>
    <w:p w14:paraId="3687652D">
      <w:pPr>
        <w:bidi w:val="0"/>
        <w:rPr>
          <w:rFonts w:hint="eastAsia" w:ascii="宋体" w:hAnsi="宋体" w:eastAsia="宋体" w:cs="宋体"/>
          <w:color w:val="auto"/>
        </w:rPr>
      </w:pPr>
    </w:p>
    <w:p w14:paraId="391B1963">
      <w:pPr>
        <w:bidi w:val="0"/>
        <w:rPr>
          <w:rFonts w:hint="eastAsia" w:ascii="宋体" w:hAnsi="宋体" w:eastAsia="宋体" w:cs="宋体"/>
          <w:color w:val="auto"/>
        </w:rPr>
      </w:pPr>
    </w:p>
    <w:p w14:paraId="76EB71E1">
      <w:pPr>
        <w:bidi w:val="0"/>
        <w:rPr>
          <w:rFonts w:hint="eastAsia" w:ascii="宋体" w:hAnsi="宋体" w:eastAsia="宋体" w:cs="宋体"/>
          <w:color w:val="auto"/>
        </w:rPr>
      </w:pPr>
    </w:p>
    <w:p w14:paraId="4F4A4E22">
      <w:pPr>
        <w:bidi w:val="0"/>
        <w:rPr>
          <w:rFonts w:hint="eastAsia" w:ascii="宋体" w:hAnsi="宋体" w:eastAsia="宋体" w:cs="宋体"/>
          <w:color w:val="auto"/>
        </w:rPr>
      </w:pPr>
    </w:p>
    <w:p w14:paraId="6DF564D1">
      <w:pPr>
        <w:bidi w:val="0"/>
        <w:rPr>
          <w:rFonts w:hint="eastAsia" w:ascii="宋体" w:hAnsi="宋体" w:eastAsia="宋体" w:cs="宋体"/>
          <w:color w:val="auto"/>
        </w:rPr>
      </w:pPr>
    </w:p>
    <w:p w14:paraId="0F533629">
      <w:pPr>
        <w:bidi w:val="0"/>
        <w:rPr>
          <w:rFonts w:hint="eastAsia" w:ascii="宋体" w:hAnsi="宋体" w:eastAsia="宋体" w:cs="宋体"/>
          <w:color w:val="auto"/>
        </w:rPr>
      </w:pPr>
    </w:p>
    <w:p w14:paraId="2874CC83">
      <w:pPr>
        <w:bidi w:val="0"/>
        <w:rPr>
          <w:rFonts w:hint="eastAsia" w:ascii="宋体" w:hAnsi="宋体" w:eastAsia="宋体" w:cs="宋体"/>
          <w:color w:val="auto"/>
        </w:rPr>
      </w:pPr>
      <w:bookmarkStart w:id="322" w:name="_Toc263675354"/>
      <w:bookmarkStart w:id="323" w:name="_Toc263674963"/>
      <w:bookmarkStart w:id="324" w:name="_Toc263675435"/>
      <w:bookmarkStart w:id="325" w:name="_Toc263413232"/>
      <w:bookmarkStart w:id="326" w:name="_Toc256773233"/>
    </w:p>
    <w:p w14:paraId="0AD110F5">
      <w:pPr>
        <w:pStyle w:val="2"/>
        <w:bidi w:val="0"/>
        <w:jc w:val="center"/>
        <w:rPr>
          <w:rFonts w:hint="eastAsia" w:ascii="宋体" w:hAnsi="宋体" w:eastAsia="宋体" w:cs="宋体"/>
          <w:color w:val="auto"/>
        </w:rPr>
      </w:pPr>
      <w:r>
        <w:rPr>
          <w:rFonts w:hint="eastAsia" w:ascii="宋体" w:hAnsi="宋体" w:eastAsia="宋体" w:cs="宋体"/>
          <w:color w:val="auto"/>
          <w:highlight w:val="none"/>
        </w:rPr>
        <w:br w:type="page"/>
      </w:r>
      <w:bookmarkStart w:id="327" w:name="_Toc10306"/>
      <w:bookmarkStart w:id="328" w:name="_Toc17120"/>
      <w:bookmarkStart w:id="329" w:name="_Toc8714"/>
      <w:r>
        <w:rPr>
          <w:rFonts w:hint="eastAsia" w:ascii="宋体" w:hAnsi="宋体" w:eastAsia="宋体" w:cs="宋体"/>
          <w:color w:val="auto"/>
        </w:rPr>
        <w:t>第八章</w:t>
      </w:r>
      <w:r>
        <w:rPr>
          <w:rFonts w:hint="eastAsia" w:ascii="宋体" w:hAnsi="宋体" w:eastAsia="宋体" w:cs="宋体"/>
          <w:color w:val="auto"/>
          <w:lang w:val="en-US" w:eastAsia="zh-CN"/>
        </w:rPr>
        <w:t xml:space="preserve"> </w:t>
      </w:r>
      <w:r>
        <w:rPr>
          <w:rFonts w:hint="eastAsia" w:ascii="宋体" w:hAnsi="宋体" w:eastAsia="宋体" w:cs="宋体"/>
          <w:color w:val="auto"/>
        </w:rPr>
        <w:t>投标文件格式</w:t>
      </w:r>
      <w:bookmarkEnd w:id="322"/>
      <w:bookmarkEnd w:id="323"/>
      <w:bookmarkEnd w:id="324"/>
      <w:bookmarkEnd w:id="325"/>
      <w:bookmarkEnd w:id="326"/>
      <w:bookmarkEnd w:id="327"/>
      <w:bookmarkEnd w:id="328"/>
      <w:bookmarkEnd w:id="329"/>
    </w:p>
    <w:p w14:paraId="30B7BAE3">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lang w:eastAsia="zh-CN"/>
        </w:rPr>
      </w:pPr>
      <w:bookmarkStart w:id="330" w:name="_Toc14057"/>
      <w:bookmarkStart w:id="331" w:name="_Toc19910"/>
      <w:bookmarkStart w:id="332" w:name="_Toc26184"/>
      <w:bookmarkStart w:id="333" w:name="_Toc292"/>
      <w:bookmarkStart w:id="334" w:name="_Toc11784"/>
      <w:r>
        <w:rPr>
          <w:rFonts w:hint="eastAsia" w:ascii="宋体" w:hAnsi="宋体" w:eastAsia="宋体" w:cs="宋体"/>
          <w:color w:val="auto"/>
          <w:sz w:val="28"/>
          <w:szCs w:val="28"/>
        </w:rPr>
        <w:t>格式1：</w:t>
      </w:r>
      <w:bookmarkEnd w:id="330"/>
      <w:bookmarkEnd w:id="331"/>
    </w:p>
    <w:bookmarkEnd w:id="332"/>
    <w:bookmarkEnd w:id="333"/>
    <w:bookmarkEnd w:id="334"/>
    <w:p w14:paraId="7AEEB15C">
      <w:pPr>
        <w:spacing w:line="360" w:lineRule="auto"/>
        <w:jc w:val="right"/>
        <w:rPr>
          <w:rFonts w:hint="eastAsia" w:ascii="宋体" w:hAnsi="宋体" w:eastAsia="宋体" w:cs="宋体"/>
          <w:b/>
          <w:color w:val="auto"/>
          <w:sz w:val="32"/>
          <w:szCs w:val="32"/>
          <w:highlight w:val="none"/>
          <w:lang w:eastAsia="zh-CN"/>
        </w:rPr>
      </w:pPr>
    </w:p>
    <w:p w14:paraId="21B2DB86">
      <w:pPr>
        <w:jc w:val="center"/>
        <w:rPr>
          <w:rFonts w:hint="eastAsia" w:ascii="宋体" w:hAnsi="宋体" w:eastAsia="宋体" w:cs="宋体"/>
          <w:b/>
          <w:color w:val="auto"/>
          <w:sz w:val="44"/>
          <w:szCs w:val="44"/>
          <w:highlight w:val="none"/>
        </w:rPr>
      </w:pPr>
    </w:p>
    <w:p w14:paraId="333ED171">
      <w:pPr>
        <w:spacing w:line="360" w:lineRule="auto"/>
        <w:jc w:val="center"/>
        <w:rPr>
          <w:rFonts w:hint="eastAsia" w:ascii="宋体" w:hAnsi="宋体" w:eastAsia="宋体" w:cs="宋体"/>
          <w:color w:val="auto"/>
          <w:sz w:val="52"/>
          <w:szCs w:val="52"/>
          <w:u w:val="single"/>
        </w:rPr>
      </w:pPr>
      <w:r>
        <w:rPr>
          <w:rFonts w:hint="eastAsia" w:ascii="宋体" w:hAnsi="宋体" w:eastAsia="宋体" w:cs="宋体"/>
          <w:color w:val="auto"/>
          <w:sz w:val="52"/>
          <w:szCs w:val="52"/>
          <w:u w:val="single"/>
        </w:rPr>
        <w:t>（项目名称）</w:t>
      </w:r>
      <w:r>
        <w:rPr>
          <w:rFonts w:hint="eastAsia" w:ascii="宋体" w:hAnsi="宋体" w:eastAsia="宋体" w:cs="宋体"/>
          <w:color w:val="auto"/>
          <w:sz w:val="52"/>
          <w:szCs w:val="52"/>
        </w:rPr>
        <w:t>招标</w:t>
      </w:r>
    </w:p>
    <w:p w14:paraId="17BA3E8C">
      <w:pPr>
        <w:spacing w:line="360" w:lineRule="auto"/>
        <w:jc w:val="center"/>
        <w:rPr>
          <w:rFonts w:hint="eastAsia" w:ascii="宋体" w:hAnsi="宋体" w:eastAsia="宋体" w:cs="宋体"/>
          <w:color w:val="auto"/>
          <w:szCs w:val="21"/>
          <w:highlight w:val="none"/>
          <w:lang w:eastAsia="zh-CN"/>
        </w:rPr>
      </w:pPr>
    </w:p>
    <w:p w14:paraId="4CAA90D7">
      <w:pPr>
        <w:spacing w:line="360" w:lineRule="auto"/>
        <w:rPr>
          <w:rFonts w:hint="eastAsia" w:ascii="宋体" w:hAnsi="宋体" w:eastAsia="宋体" w:cs="宋体"/>
          <w:color w:val="auto"/>
          <w:szCs w:val="21"/>
          <w:highlight w:val="none"/>
        </w:rPr>
      </w:pPr>
    </w:p>
    <w:p w14:paraId="6C877C40">
      <w:pPr>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投标文件</w:t>
      </w:r>
    </w:p>
    <w:p w14:paraId="79649A64">
      <w:pPr>
        <w:spacing w:line="360" w:lineRule="auto"/>
        <w:jc w:val="center"/>
        <w:rPr>
          <w:rFonts w:hint="eastAsia" w:ascii="宋体" w:hAnsi="宋体" w:eastAsia="宋体" w:cs="宋体"/>
          <w:color w:val="auto"/>
          <w:sz w:val="44"/>
          <w:szCs w:val="44"/>
          <w:highlight w:val="none"/>
        </w:rPr>
      </w:pPr>
    </w:p>
    <w:p w14:paraId="48C143E9">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（第一册</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投标报价书）</w:t>
      </w:r>
    </w:p>
    <w:p w14:paraId="15E71700">
      <w:pPr>
        <w:spacing w:line="360" w:lineRule="auto"/>
        <w:ind w:firstLine="420" w:firstLineChars="200"/>
        <w:rPr>
          <w:rFonts w:hint="eastAsia" w:ascii="宋体" w:hAnsi="宋体" w:eastAsia="宋体" w:cs="宋体"/>
          <w:color w:val="auto"/>
          <w:szCs w:val="21"/>
          <w:highlight w:val="none"/>
        </w:rPr>
      </w:pPr>
    </w:p>
    <w:p w14:paraId="0BA0A875">
      <w:pPr>
        <w:spacing w:line="360" w:lineRule="auto"/>
        <w:ind w:firstLine="420" w:firstLineChars="200"/>
        <w:rPr>
          <w:rFonts w:hint="eastAsia" w:ascii="宋体" w:hAnsi="宋体" w:eastAsia="宋体" w:cs="宋体"/>
          <w:color w:val="auto"/>
          <w:szCs w:val="21"/>
          <w:highlight w:val="none"/>
        </w:rPr>
      </w:pPr>
    </w:p>
    <w:p w14:paraId="2A94C837">
      <w:pPr>
        <w:spacing w:line="360" w:lineRule="auto"/>
        <w:ind w:firstLine="420" w:firstLineChars="200"/>
        <w:rPr>
          <w:rFonts w:hint="eastAsia" w:ascii="宋体" w:hAnsi="宋体" w:eastAsia="宋体" w:cs="宋体"/>
          <w:color w:val="auto"/>
          <w:szCs w:val="21"/>
          <w:highlight w:val="none"/>
        </w:rPr>
      </w:pPr>
    </w:p>
    <w:p w14:paraId="749D9AD6">
      <w:pPr>
        <w:spacing w:line="360" w:lineRule="auto"/>
        <w:ind w:firstLine="420" w:firstLineChars="200"/>
        <w:rPr>
          <w:rFonts w:hint="eastAsia" w:ascii="宋体" w:hAnsi="宋体" w:eastAsia="宋体" w:cs="宋体"/>
          <w:color w:val="auto"/>
          <w:szCs w:val="21"/>
          <w:highlight w:val="none"/>
        </w:rPr>
      </w:pPr>
    </w:p>
    <w:p w14:paraId="3CBA0E8B">
      <w:pPr>
        <w:spacing w:line="360" w:lineRule="auto"/>
        <w:ind w:firstLine="420" w:firstLineChars="200"/>
        <w:rPr>
          <w:rFonts w:hint="eastAsia" w:ascii="宋体" w:hAnsi="宋体" w:eastAsia="宋体" w:cs="宋体"/>
          <w:color w:val="auto"/>
          <w:szCs w:val="21"/>
          <w:highlight w:val="none"/>
        </w:rPr>
      </w:pPr>
    </w:p>
    <w:p w14:paraId="2E78B591">
      <w:pPr>
        <w:spacing w:line="360" w:lineRule="auto"/>
        <w:rPr>
          <w:rFonts w:hint="eastAsia" w:ascii="宋体" w:hAnsi="宋体" w:eastAsia="宋体" w:cs="宋体"/>
          <w:color w:val="auto"/>
          <w:szCs w:val="21"/>
          <w:highlight w:val="none"/>
        </w:rPr>
      </w:pPr>
    </w:p>
    <w:p w14:paraId="6214848D">
      <w:pPr>
        <w:spacing w:line="360" w:lineRule="auto"/>
        <w:ind w:firstLine="420" w:firstLineChars="200"/>
        <w:rPr>
          <w:rFonts w:hint="eastAsia" w:ascii="宋体" w:hAnsi="宋体" w:eastAsia="宋体" w:cs="宋体"/>
          <w:color w:val="auto"/>
          <w:szCs w:val="21"/>
          <w:highlight w:val="none"/>
        </w:rPr>
      </w:pPr>
    </w:p>
    <w:p w14:paraId="4A069EC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（投标人名称）</w:t>
      </w:r>
      <w:r>
        <w:rPr>
          <w:rFonts w:hint="eastAsia" w:ascii="宋体" w:hAnsi="宋体" w:eastAsia="宋体" w:cs="宋体"/>
          <w:color w:val="auto"/>
          <w:sz w:val="28"/>
          <w:szCs w:val="28"/>
          <w:highlight w:val="none"/>
        </w:rPr>
        <w:t>（盖单位章）</w:t>
      </w:r>
    </w:p>
    <w:p w14:paraId="0B35FE3F">
      <w:pPr>
        <w:spacing w:line="360" w:lineRule="auto"/>
        <w:ind w:firstLine="2520" w:firstLineChars="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法定代表人或其授权委托人：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rPr>
        <w:t>签字或盖章）</w:t>
      </w:r>
    </w:p>
    <w:p w14:paraId="29CEACEC">
      <w:pPr>
        <w:spacing w:line="360" w:lineRule="auto"/>
        <w:ind w:firstLine="420" w:firstLineChars="200"/>
        <w:jc w:val="center"/>
        <w:rPr>
          <w:rFonts w:hint="eastAsia" w:ascii="宋体" w:hAnsi="宋体" w:eastAsia="宋体" w:cs="宋体"/>
          <w:color w:val="auto"/>
          <w:szCs w:val="21"/>
          <w:highlight w:val="none"/>
          <w:u w:val="single"/>
        </w:rPr>
      </w:pPr>
    </w:p>
    <w:p w14:paraId="0CB9FF46">
      <w:pPr>
        <w:adjustRightInd w:val="0"/>
        <w:snapToGrid w:val="0"/>
        <w:spacing w:line="48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0AFA923">
      <w:pPr>
        <w:pStyle w:val="9"/>
        <w:rPr>
          <w:rFonts w:hint="eastAsia" w:ascii="宋体" w:hAnsi="宋体" w:eastAsia="宋体" w:cs="宋体"/>
          <w:color w:val="auto"/>
          <w:sz w:val="28"/>
          <w:szCs w:val="28"/>
          <w:highlight w:val="none"/>
        </w:rPr>
      </w:pPr>
    </w:p>
    <w:p w14:paraId="0E15DEEB">
      <w:pPr>
        <w:pStyle w:val="9"/>
        <w:rPr>
          <w:rFonts w:hint="eastAsia" w:ascii="宋体" w:hAnsi="宋体" w:eastAsia="宋体" w:cs="宋体"/>
          <w:color w:val="auto"/>
          <w:sz w:val="28"/>
          <w:szCs w:val="28"/>
          <w:highlight w:val="none"/>
        </w:rPr>
      </w:pPr>
    </w:p>
    <w:p w14:paraId="32C0583B">
      <w:pPr>
        <w:spacing w:line="360" w:lineRule="auto"/>
        <w:jc w:val="both"/>
        <w:rPr>
          <w:rFonts w:hint="eastAsia" w:ascii="宋体" w:hAnsi="宋体" w:eastAsia="宋体" w:cs="宋体"/>
          <w:b/>
          <w:color w:val="auto"/>
          <w:sz w:val="32"/>
          <w:szCs w:val="32"/>
          <w:highlight w:val="none"/>
        </w:rPr>
      </w:pPr>
    </w:p>
    <w:p w14:paraId="13733B26">
      <w:pPr>
        <w:spacing w:line="360" w:lineRule="auto"/>
        <w:jc w:val="both"/>
        <w:rPr>
          <w:rFonts w:hint="eastAsia" w:ascii="宋体" w:hAnsi="宋体" w:eastAsia="宋体" w:cs="宋体"/>
          <w:b/>
          <w:color w:val="auto"/>
          <w:sz w:val="32"/>
          <w:szCs w:val="32"/>
          <w:highlight w:val="none"/>
        </w:rPr>
      </w:pPr>
    </w:p>
    <w:p w14:paraId="43933E8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投标报价书</w:t>
      </w:r>
    </w:p>
    <w:p w14:paraId="51127713">
      <w:pPr>
        <w:spacing w:line="360" w:lineRule="auto"/>
        <w:jc w:val="center"/>
        <w:rPr>
          <w:rFonts w:hint="eastAsia" w:ascii="宋体" w:hAnsi="宋体" w:eastAsia="宋体" w:cs="宋体"/>
          <w:b/>
          <w:color w:val="auto"/>
          <w:sz w:val="28"/>
          <w:szCs w:val="28"/>
          <w:highlight w:val="none"/>
        </w:rPr>
      </w:pPr>
    </w:p>
    <w:p w14:paraId="6B41EB8D">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（招标人名称）:</w:t>
      </w:r>
    </w:p>
    <w:p w14:paraId="37596F35">
      <w:pPr>
        <w:spacing w:line="360" w:lineRule="auto"/>
        <w:ind w:firstLine="480" w:firstLineChars="200"/>
        <w:jc w:val="left"/>
        <w:rPr>
          <w:rFonts w:hint="eastAsia" w:ascii="宋体" w:hAnsi="宋体" w:eastAsia="宋体" w:cs="宋体"/>
          <w:color w:val="auto"/>
          <w:sz w:val="24"/>
          <w:highlight w:val="none"/>
        </w:rPr>
      </w:pPr>
    </w:p>
    <w:p w14:paraId="360B9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lang w:eastAsia="zh-CN"/>
        </w:rPr>
        <w:t>已</w:t>
      </w:r>
      <w:r>
        <w:rPr>
          <w:rFonts w:hint="eastAsia" w:ascii="宋体" w:hAnsi="宋体" w:eastAsia="宋体" w:cs="宋体"/>
          <w:color w:val="auto"/>
          <w:sz w:val="24"/>
          <w:highlight w:val="none"/>
        </w:rPr>
        <w:t>仔细研究了</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招标文件的全部内容，愿意以</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%（大写：百分之</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的投标报价下浮率投标。</w:t>
      </w:r>
    </w:p>
    <w:p w14:paraId="206FF784">
      <w:pPr>
        <w:adjustRightInd w:val="0"/>
        <w:snapToGrid w:val="0"/>
        <w:spacing w:line="360" w:lineRule="auto"/>
        <w:ind w:firstLine="480" w:firstLineChars="200"/>
        <w:rPr>
          <w:rFonts w:hint="eastAsia" w:ascii="宋体" w:hAnsi="宋体" w:eastAsia="宋体" w:cs="宋体"/>
          <w:color w:val="auto"/>
          <w:sz w:val="24"/>
          <w:highlight w:val="none"/>
        </w:rPr>
      </w:pPr>
    </w:p>
    <w:p w14:paraId="18116ACB">
      <w:pPr>
        <w:adjustRightInd w:val="0"/>
        <w:snapToGrid w:val="0"/>
        <w:ind w:firstLine="480" w:firstLineChars="200"/>
        <w:rPr>
          <w:rFonts w:hint="eastAsia" w:ascii="宋体" w:hAnsi="宋体" w:eastAsia="宋体" w:cs="宋体"/>
          <w:color w:val="auto"/>
          <w:sz w:val="24"/>
          <w:highlight w:val="none"/>
        </w:rPr>
      </w:pPr>
    </w:p>
    <w:p w14:paraId="33D732C1">
      <w:pPr>
        <w:adjustRightInd w:val="0"/>
        <w:snapToGrid w:val="0"/>
        <w:ind w:firstLine="480" w:firstLineChars="200"/>
        <w:rPr>
          <w:rFonts w:hint="eastAsia" w:ascii="宋体" w:hAnsi="宋体" w:eastAsia="宋体" w:cs="宋体"/>
          <w:color w:val="auto"/>
          <w:sz w:val="24"/>
          <w:highlight w:val="none"/>
        </w:rPr>
      </w:pPr>
    </w:p>
    <w:p w14:paraId="4028E765">
      <w:pPr>
        <w:adjustRightInd w:val="0"/>
        <w:snapToGrid w:val="0"/>
        <w:ind w:firstLine="480" w:firstLineChars="200"/>
        <w:rPr>
          <w:rFonts w:hint="eastAsia" w:ascii="宋体" w:hAnsi="宋体" w:eastAsia="宋体" w:cs="宋体"/>
          <w:color w:val="auto"/>
          <w:sz w:val="24"/>
          <w:highlight w:val="none"/>
        </w:rPr>
      </w:pPr>
    </w:p>
    <w:p w14:paraId="2A8CEF28">
      <w:pPr>
        <w:adjustRightInd w:val="0"/>
        <w:snapToGrid w:val="0"/>
        <w:ind w:firstLine="480" w:firstLineChars="200"/>
        <w:rPr>
          <w:rFonts w:hint="eastAsia" w:ascii="宋体" w:hAnsi="宋体" w:eastAsia="宋体" w:cs="宋体"/>
          <w:color w:val="auto"/>
          <w:sz w:val="24"/>
          <w:highlight w:val="none"/>
        </w:rPr>
      </w:pPr>
    </w:p>
    <w:p w14:paraId="7B20D297">
      <w:pPr>
        <w:adjustRightInd w:val="0"/>
        <w:snapToGrid w:val="0"/>
        <w:ind w:firstLine="480" w:firstLineChars="200"/>
        <w:rPr>
          <w:rFonts w:hint="eastAsia" w:ascii="宋体" w:hAnsi="宋体" w:eastAsia="宋体" w:cs="宋体"/>
          <w:color w:val="auto"/>
          <w:sz w:val="24"/>
          <w:highlight w:val="none"/>
        </w:rPr>
      </w:pPr>
    </w:p>
    <w:p w14:paraId="1D374E3D">
      <w:pPr>
        <w:adjustRightInd w:val="0"/>
        <w:snapToGrid w:val="0"/>
        <w:ind w:firstLine="480" w:firstLineChars="200"/>
        <w:rPr>
          <w:rFonts w:hint="eastAsia" w:ascii="宋体" w:hAnsi="宋体" w:eastAsia="宋体" w:cs="宋体"/>
          <w:color w:val="auto"/>
          <w:sz w:val="24"/>
          <w:highlight w:val="none"/>
        </w:rPr>
      </w:pPr>
    </w:p>
    <w:p w14:paraId="48B9ADA2">
      <w:pPr>
        <w:adjustRightInd w:val="0"/>
        <w:snapToGrid w:val="0"/>
        <w:ind w:firstLine="480" w:firstLineChars="200"/>
        <w:rPr>
          <w:rFonts w:hint="eastAsia" w:ascii="宋体" w:hAnsi="宋体" w:eastAsia="宋体" w:cs="宋体"/>
          <w:color w:val="auto"/>
          <w:sz w:val="24"/>
          <w:highlight w:val="none"/>
        </w:rPr>
      </w:pPr>
    </w:p>
    <w:p w14:paraId="38504321">
      <w:pPr>
        <w:adjustRightInd w:val="0"/>
        <w:snapToGrid w:val="0"/>
        <w:ind w:firstLine="480" w:firstLineChars="200"/>
        <w:rPr>
          <w:rFonts w:hint="eastAsia" w:ascii="宋体" w:hAnsi="宋体" w:eastAsia="宋体" w:cs="宋体"/>
          <w:color w:val="auto"/>
          <w:sz w:val="24"/>
          <w:highlight w:val="none"/>
        </w:rPr>
      </w:pPr>
    </w:p>
    <w:p w14:paraId="3A6A83EA">
      <w:pPr>
        <w:tabs>
          <w:tab w:val="left" w:pos="5970"/>
        </w:tabs>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14:paraId="4A0DE11F">
      <w:pPr>
        <w:adjustRightInd w:val="0"/>
        <w:snapToGrid w:val="0"/>
        <w:spacing w:line="480" w:lineRule="auto"/>
        <w:ind w:firstLine="3000" w:firstLineChars="12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（盖单位章）</w:t>
      </w:r>
    </w:p>
    <w:p w14:paraId="301F6351">
      <w:pPr>
        <w:adjustRightInd w:val="0"/>
        <w:snapToGrid w:val="0"/>
        <w:spacing w:line="480" w:lineRule="auto"/>
        <w:ind w:firstLine="3000" w:firstLineChars="12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法定代表人（或授权委托人）：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（签字或盖章）</w:t>
      </w:r>
    </w:p>
    <w:p w14:paraId="26CC9670">
      <w:pPr>
        <w:adjustRightInd w:val="0"/>
        <w:snapToGrid w:val="0"/>
        <w:spacing w:line="48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899B8F5">
      <w:pPr>
        <w:bidi w:val="0"/>
        <w:rPr>
          <w:rFonts w:hint="eastAsia" w:ascii="宋体" w:hAnsi="宋体" w:eastAsia="宋体" w:cs="宋体"/>
          <w:color w:val="auto"/>
        </w:rPr>
      </w:pPr>
    </w:p>
    <w:p w14:paraId="08B7F9F5">
      <w:pPr>
        <w:bidi w:val="0"/>
        <w:rPr>
          <w:rFonts w:hint="eastAsia" w:ascii="宋体" w:hAnsi="宋体" w:eastAsia="宋体" w:cs="宋体"/>
          <w:color w:val="auto"/>
        </w:rPr>
      </w:pPr>
    </w:p>
    <w:p w14:paraId="2F68EE94">
      <w:pPr>
        <w:bidi w:val="0"/>
        <w:rPr>
          <w:rFonts w:hint="eastAsia" w:ascii="宋体" w:hAnsi="宋体" w:eastAsia="宋体" w:cs="宋体"/>
          <w:color w:val="auto"/>
        </w:rPr>
      </w:pPr>
    </w:p>
    <w:p w14:paraId="0992BA8A">
      <w:pPr>
        <w:bidi w:val="0"/>
        <w:rPr>
          <w:rFonts w:hint="eastAsia" w:ascii="宋体" w:hAnsi="宋体" w:eastAsia="宋体" w:cs="宋体"/>
          <w:color w:val="auto"/>
        </w:rPr>
      </w:pPr>
    </w:p>
    <w:p w14:paraId="45D176E9">
      <w:pPr>
        <w:bidi w:val="0"/>
        <w:rPr>
          <w:rFonts w:hint="eastAsia" w:ascii="宋体" w:hAnsi="宋体" w:eastAsia="宋体" w:cs="宋体"/>
          <w:color w:val="auto"/>
        </w:rPr>
      </w:pPr>
    </w:p>
    <w:p w14:paraId="33717C8D">
      <w:pPr>
        <w:bidi w:val="0"/>
        <w:rPr>
          <w:rFonts w:hint="eastAsia" w:ascii="宋体" w:hAnsi="宋体" w:eastAsia="宋体" w:cs="宋体"/>
          <w:color w:val="auto"/>
        </w:rPr>
      </w:pPr>
    </w:p>
    <w:p w14:paraId="666F0DF1">
      <w:pPr>
        <w:bidi w:val="0"/>
        <w:rPr>
          <w:rFonts w:hint="eastAsia" w:ascii="宋体" w:hAnsi="宋体" w:eastAsia="宋体" w:cs="宋体"/>
          <w:color w:val="auto"/>
        </w:rPr>
      </w:pPr>
    </w:p>
    <w:p w14:paraId="2CD65CB6">
      <w:pPr>
        <w:bidi w:val="0"/>
        <w:rPr>
          <w:rFonts w:hint="eastAsia" w:ascii="宋体" w:hAnsi="宋体" w:eastAsia="宋体" w:cs="宋体"/>
          <w:color w:val="auto"/>
        </w:rPr>
      </w:pPr>
    </w:p>
    <w:p w14:paraId="7FAD66EF">
      <w:pPr>
        <w:bidi w:val="0"/>
        <w:rPr>
          <w:rFonts w:hint="eastAsia" w:ascii="宋体" w:hAnsi="宋体" w:eastAsia="宋体" w:cs="宋体"/>
          <w:color w:val="auto"/>
        </w:rPr>
      </w:pPr>
    </w:p>
    <w:p w14:paraId="0E225232">
      <w:pPr>
        <w:bidi w:val="0"/>
        <w:rPr>
          <w:rFonts w:hint="eastAsia" w:ascii="宋体" w:hAnsi="宋体" w:eastAsia="宋体" w:cs="宋体"/>
          <w:color w:val="auto"/>
        </w:rPr>
      </w:pPr>
    </w:p>
    <w:p w14:paraId="60C5337D">
      <w:pPr>
        <w:bidi w:val="0"/>
        <w:rPr>
          <w:rFonts w:hint="eastAsia" w:ascii="宋体" w:hAnsi="宋体" w:eastAsia="宋体" w:cs="宋体"/>
          <w:color w:val="auto"/>
        </w:rPr>
      </w:pPr>
    </w:p>
    <w:p w14:paraId="610FF0B1">
      <w:pPr>
        <w:bidi w:val="0"/>
        <w:rPr>
          <w:rFonts w:hint="eastAsia" w:ascii="宋体" w:hAnsi="宋体" w:eastAsia="宋体" w:cs="宋体"/>
          <w:color w:val="auto"/>
        </w:rPr>
      </w:pPr>
    </w:p>
    <w:p w14:paraId="358B12D3">
      <w:pPr>
        <w:bidi w:val="0"/>
        <w:rPr>
          <w:rFonts w:hint="eastAsia" w:ascii="宋体" w:hAnsi="宋体" w:eastAsia="宋体" w:cs="宋体"/>
          <w:color w:val="auto"/>
        </w:rPr>
      </w:pPr>
    </w:p>
    <w:p w14:paraId="4DBBF7AC">
      <w:pPr>
        <w:bidi w:val="0"/>
        <w:rPr>
          <w:rFonts w:hint="eastAsia" w:ascii="宋体" w:hAnsi="宋体" w:eastAsia="宋体" w:cs="宋体"/>
          <w:color w:val="auto"/>
        </w:rPr>
      </w:pPr>
    </w:p>
    <w:p w14:paraId="57C5E69E">
      <w:pPr>
        <w:bidi w:val="0"/>
        <w:rPr>
          <w:rFonts w:hint="eastAsia" w:ascii="宋体" w:hAnsi="宋体" w:eastAsia="宋体" w:cs="宋体"/>
          <w:color w:val="auto"/>
        </w:rPr>
      </w:pPr>
    </w:p>
    <w:p w14:paraId="03EC212D">
      <w:pPr>
        <w:bidi w:val="0"/>
        <w:rPr>
          <w:rFonts w:hint="eastAsia" w:ascii="宋体" w:hAnsi="宋体" w:eastAsia="宋体" w:cs="宋体"/>
          <w:color w:val="auto"/>
        </w:rPr>
      </w:pPr>
    </w:p>
    <w:p w14:paraId="11274B61">
      <w:pPr>
        <w:bidi w:val="0"/>
        <w:rPr>
          <w:rFonts w:hint="eastAsia" w:ascii="宋体" w:hAnsi="宋体" w:eastAsia="宋体" w:cs="宋体"/>
          <w:color w:val="auto"/>
        </w:rPr>
      </w:pPr>
    </w:p>
    <w:p w14:paraId="53A6D27A">
      <w:pPr>
        <w:bidi w:val="0"/>
        <w:rPr>
          <w:rFonts w:hint="eastAsia" w:ascii="宋体" w:hAnsi="宋体" w:eastAsia="宋体" w:cs="宋体"/>
          <w:color w:val="auto"/>
        </w:rPr>
      </w:pPr>
    </w:p>
    <w:p w14:paraId="6FC54B31">
      <w:pPr>
        <w:bidi w:val="0"/>
        <w:rPr>
          <w:rFonts w:hint="eastAsia" w:ascii="宋体" w:hAnsi="宋体" w:eastAsia="宋体" w:cs="宋体"/>
          <w:color w:val="auto"/>
        </w:rPr>
      </w:pPr>
    </w:p>
    <w:p w14:paraId="22D7FEA2">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335" w:name="_Toc29812"/>
      <w:bookmarkStart w:id="336" w:name="_Toc16486"/>
      <w:r>
        <w:rPr>
          <w:rFonts w:hint="eastAsia" w:ascii="宋体" w:hAnsi="宋体" w:eastAsia="宋体" w:cs="宋体"/>
          <w:color w:val="auto"/>
          <w:sz w:val="28"/>
          <w:szCs w:val="28"/>
        </w:rPr>
        <w:t>格式2：</w:t>
      </w:r>
      <w:bookmarkEnd w:id="335"/>
      <w:bookmarkEnd w:id="336"/>
    </w:p>
    <w:p w14:paraId="27741FD5">
      <w:pPr>
        <w:jc w:val="right"/>
        <w:rPr>
          <w:rFonts w:hint="eastAsia" w:ascii="宋体" w:hAnsi="宋体" w:eastAsia="宋体" w:cs="宋体"/>
          <w:b/>
          <w:color w:val="auto"/>
          <w:sz w:val="24"/>
          <w:highlight w:val="none"/>
        </w:rPr>
      </w:pPr>
    </w:p>
    <w:p w14:paraId="6C2711E5">
      <w:pPr>
        <w:jc w:val="center"/>
        <w:rPr>
          <w:rFonts w:hint="eastAsia" w:ascii="宋体" w:hAnsi="宋体" w:eastAsia="宋体" w:cs="宋体"/>
          <w:bCs/>
          <w:color w:val="auto"/>
          <w:sz w:val="32"/>
          <w:szCs w:val="32"/>
          <w:highlight w:val="none"/>
        </w:rPr>
      </w:pPr>
    </w:p>
    <w:p w14:paraId="7513CF01">
      <w:pPr>
        <w:jc w:val="center"/>
        <w:rPr>
          <w:rFonts w:hint="eastAsia" w:ascii="宋体" w:hAnsi="宋体" w:eastAsia="宋体" w:cs="宋体"/>
          <w:bCs/>
          <w:color w:val="auto"/>
          <w:sz w:val="32"/>
          <w:szCs w:val="32"/>
          <w:highlight w:val="none"/>
        </w:rPr>
      </w:pPr>
    </w:p>
    <w:p w14:paraId="42743D88">
      <w:pPr>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color w:val="auto"/>
          <w:sz w:val="52"/>
          <w:szCs w:val="52"/>
          <w:u w:val="single"/>
        </w:rPr>
        <w:t>（项目名称）</w:t>
      </w:r>
      <w:r>
        <w:rPr>
          <w:rFonts w:hint="eastAsia" w:ascii="宋体" w:hAnsi="宋体" w:eastAsia="宋体" w:cs="宋体"/>
          <w:color w:val="auto"/>
          <w:sz w:val="52"/>
          <w:szCs w:val="52"/>
        </w:rPr>
        <w:t>招标</w:t>
      </w:r>
    </w:p>
    <w:p w14:paraId="5F28FF70">
      <w:pPr>
        <w:spacing w:line="360" w:lineRule="auto"/>
        <w:rPr>
          <w:rFonts w:hint="eastAsia" w:ascii="宋体" w:hAnsi="宋体" w:eastAsia="宋体" w:cs="宋体"/>
          <w:b/>
          <w:color w:val="auto"/>
          <w:sz w:val="32"/>
          <w:szCs w:val="32"/>
          <w:highlight w:val="none"/>
        </w:rPr>
      </w:pPr>
    </w:p>
    <w:p w14:paraId="5C63A1B4">
      <w:pPr>
        <w:pStyle w:val="9"/>
        <w:rPr>
          <w:rFonts w:hint="eastAsia" w:ascii="宋体" w:hAnsi="宋体" w:eastAsia="宋体" w:cs="宋体"/>
          <w:color w:val="auto"/>
          <w:highlight w:val="none"/>
        </w:rPr>
      </w:pPr>
    </w:p>
    <w:p w14:paraId="248EA6E5">
      <w:pPr>
        <w:spacing w:line="360" w:lineRule="auto"/>
        <w:rPr>
          <w:rFonts w:hint="eastAsia" w:ascii="宋体" w:hAnsi="宋体" w:eastAsia="宋体" w:cs="宋体"/>
          <w:color w:val="auto"/>
          <w:szCs w:val="21"/>
          <w:highlight w:val="none"/>
        </w:rPr>
      </w:pPr>
    </w:p>
    <w:p w14:paraId="154EBF54">
      <w:pPr>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投标文件</w:t>
      </w:r>
    </w:p>
    <w:p w14:paraId="6411710E">
      <w:pPr>
        <w:spacing w:line="360" w:lineRule="auto"/>
        <w:jc w:val="center"/>
        <w:rPr>
          <w:rFonts w:hint="eastAsia" w:ascii="宋体" w:hAnsi="宋体" w:eastAsia="宋体" w:cs="宋体"/>
          <w:color w:val="auto"/>
          <w:sz w:val="52"/>
          <w:szCs w:val="52"/>
          <w:highlight w:val="none"/>
        </w:rPr>
      </w:pPr>
    </w:p>
    <w:p w14:paraId="4876A539">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（第二册：商务标书）</w:t>
      </w:r>
    </w:p>
    <w:p w14:paraId="19A90EC8">
      <w:pPr>
        <w:spacing w:line="360" w:lineRule="auto"/>
        <w:rPr>
          <w:rFonts w:hint="eastAsia" w:ascii="宋体" w:hAnsi="宋体" w:eastAsia="宋体" w:cs="宋体"/>
          <w:color w:val="auto"/>
          <w:szCs w:val="21"/>
          <w:highlight w:val="none"/>
        </w:rPr>
      </w:pPr>
    </w:p>
    <w:p w14:paraId="49572AE2">
      <w:pPr>
        <w:spacing w:line="360" w:lineRule="auto"/>
        <w:ind w:firstLine="420" w:firstLineChars="200"/>
        <w:rPr>
          <w:rFonts w:hint="eastAsia" w:ascii="宋体" w:hAnsi="宋体" w:eastAsia="宋体" w:cs="宋体"/>
          <w:color w:val="auto"/>
          <w:szCs w:val="21"/>
          <w:highlight w:val="none"/>
        </w:rPr>
      </w:pPr>
    </w:p>
    <w:p w14:paraId="3A951ECA">
      <w:pPr>
        <w:spacing w:line="360" w:lineRule="auto"/>
        <w:rPr>
          <w:rFonts w:hint="eastAsia" w:ascii="宋体" w:hAnsi="宋体" w:eastAsia="宋体" w:cs="宋体"/>
          <w:color w:val="auto"/>
          <w:szCs w:val="21"/>
          <w:highlight w:val="none"/>
        </w:rPr>
      </w:pPr>
    </w:p>
    <w:p w14:paraId="1C3675E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（投标人名称）</w:t>
      </w:r>
      <w:r>
        <w:rPr>
          <w:rFonts w:hint="eastAsia" w:ascii="宋体" w:hAnsi="宋体" w:eastAsia="宋体" w:cs="宋体"/>
          <w:color w:val="auto"/>
          <w:sz w:val="28"/>
          <w:szCs w:val="28"/>
          <w:highlight w:val="none"/>
        </w:rPr>
        <w:t>（盖单位章）</w:t>
      </w:r>
    </w:p>
    <w:p w14:paraId="6C207C92">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法定代表人或其授权委托人：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14:paraId="32F02CC8">
      <w:pPr>
        <w:spacing w:line="360" w:lineRule="auto"/>
        <w:ind w:firstLine="420" w:firstLineChars="200"/>
        <w:jc w:val="center"/>
        <w:rPr>
          <w:rFonts w:hint="eastAsia" w:ascii="宋体" w:hAnsi="宋体" w:eastAsia="宋体" w:cs="宋体"/>
          <w:color w:val="auto"/>
          <w:szCs w:val="21"/>
          <w:highlight w:val="none"/>
          <w:u w:val="single"/>
        </w:rPr>
      </w:pPr>
    </w:p>
    <w:p w14:paraId="6C092AE0">
      <w:pPr>
        <w:spacing w:line="360" w:lineRule="auto"/>
        <w:ind w:firstLine="42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5C8B892">
      <w:pPr>
        <w:pStyle w:val="9"/>
        <w:rPr>
          <w:rFonts w:hint="eastAsia" w:ascii="宋体" w:hAnsi="宋体" w:eastAsia="宋体" w:cs="宋体"/>
          <w:color w:val="auto"/>
          <w:sz w:val="28"/>
          <w:szCs w:val="28"/>
          <w:highlight w:val="none"/>
        </w:rPr>
      </w:pPr>
    </w:p>
    <w:p w14:paraId="723726C7">
      <w:pPr>
        <w:pStyle w:val="9"/>
        <w:rPr>
          <w:rFonts w:hint="eastAsia" w:ascii="宋体" w:hAnsi="宋体" w:eastAsia="宋体" w:cs="宋体"/>
          <w:color w:val="auto"/>
          <w:sz w:val="28"/>
          <w:szCs w:val="28"/>
          <w:highlight w:val="none"/>
        </w:rPr>
      </w:pPr>
    </w:p>
    <w:p w14:paraId="69B860F9">
      <w:pPr>
        <w:pStyle w:val="9"/>
        <w:rPr>
          <w:rFonts w:hint="eastAsia" w:ascii="宋体" w:hAnsi="宋体" w:eastAsia="宋体" w:cs="宋体"/>
          <w:color w:val="auto"/>
          <w:sz w:val="28"/>
          <w:szCs w:val="28"/>
          <w:highlight w:val="none"/>
        </w:rPr>
      </w:pPr>
    </w:p>
    <w:p w14:paraId="257760C5">
      <w:pPr>
        <w:pStyle w:val="9"/>
        <w:rPr>
          <w:rFonts w:hint="eastAsia" w:ascii="宋体" w:hAnsi="宋体" w:eastAsia="宋体" w:cs="宋体"/>
          <w:color w:val="auto"/>
          <w:sz w:val="28"/>
          <w:szCs w:val="28"/>
          <w:highlight w:val="none"/>
        </w:rPr>
      </w:pPr>
    </w:p>
    <w:p w14:paraId="52D00B95">
      <w:pPr>
        <w:pStyle w:val="9"/>
        <w:rPr>
          <w:rFonts w:hint="eastAsia" w:ascii="宋体" w:hAnsi="宋体" w:eastAsia="宋体" w:cs="宋体"/>
          <w:color w:val="auto"/>
          <w:sz w:val="28"/>
          <w:szCs w:val="28"/>
          <w:highlight w:val="none"/>
        </w:rPr>
      </w:pPr>
    </w:p>
    <w:p w14:paraId="5B880581">
      <w:pPr>
        <w:spacing w:line="360" w:lineRule="auto"/>
        <w:jc w:val="center"/>
        <w:rPr>
          <w:rFonts w:hint="eastAsia" w:ascii="宋体" w:hAnsi="宋体" w:eastAsia="宋体" w:cs="宋体"/>
          <w:b/>
          <w:color w:val="auto"/>
          <w:sz w:val="24"/>
          <w:highlight w:val="none"/>
        </w:rPr>
      </w:pPr>
    </w:p>
    <w:p w14:paraId="3DBEED9C">
      <w:pPr>
        <w:pStyle w:val="9"/>
        <w:rPr>
          <w:rFonts w:hint="eastAsia" w:ascii="宋体" w:hAnsi="宋体" w:eastAsia="宋体" w:cs="宋体"/>
          <w:color w:val="auto"/>
          <w:highlight w:val="none"/>
        </w:rPr>
      </w:pPr>
    </w:p>
    <w:p w14:paraId="7692257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评审因素索引表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5797"/>
        <w:gridCol w:w="1946"/>
      </w:tblGrid>
      <w:tr w14:paraId="6633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492C0EED">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797" w:type="dxa"/>
            <w:noWrap w:val="0"/>
            <w:vAlign w:val="center"/>
          </w:tcPr>
          <w:p w14:paraId="05868F6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1946" w:type="dxa"/>
            <w:noWrap w:val="0"/>
            <w:vAlign w:val="center"/>
          </w:tcPr>
          <w:p w14:paraId="0F2DC4A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投标文件页码范围</w:t>
            </w:r>
          </w:p>
        </w:tc>
      </w:tr>
      <w:tr w14:paraId="3669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6CDA8F81">
            <w:pPr>
              <w:jc w:val="center"/>
              <w:rPr>
                <w:rFonts w:hint="eastAsia" w:ascii="宋体" w:hAnsi="宋体" w:eastAsia="宋体" w:cs="宋体"/>
                <w:color w:val="auto"/>
                <w:szCs w:val="21"/>
                <w:highlight w:val="none"/>
              </w:rPr>
            </w:pPr>
          </w:p>
        </w:tc>
        <w:tc>
          <w:tcPr>
            <w:tcW w:w="5797" w:type="dxa"/>
            <w:noWrap w:val="0"/>
            <w:vAlign w:val="center"/>
          </w:tcPr>
          <w:p w14:paraId="183DDDFF">
            <w:pPr>
              <w:jc w:val="center"/>
              <w:rPr>
                <w:rFonts w:hint="eastAsia" w:ascii="宋体" w:hAnsi="宋体" w:eastAsia="宋体" w:cs="宋体"/>
                <w:color w:val="auto"/>
                <w:szCs w:val="21"/>
                <w:highlight w:val="none"/>
              </w:rPr>
            </w:pPr>
          </w:p>
        </w:tc>
        <w:tc>
          <w:tcPr>
            <w:tcW w:w="1946" w:type="dxa"/>
            <w:noWrap w:val="0"/>
            <w:vAlign w:val="center"/>
          </w:tcPr>
          <w:p w14:paraId="7F61D80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73E4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33" w:type="dxa"/>
            <w:noWrap w:val="0"/>
            <w:vAlign w:val="center"/>
          </w:tcPr>
          <w:p w14:paraId="325219E7">
            <w:pPr>
              <w:jc w:val="center"/>
              <w:rPr>
                <w:rFonts w:hint="eastAsia" w:ascii="宋体" w:hAnsi="宋体" w:eastAsia="宋体" w:cs="宋体"/>
                <w:color w:val="auto"/>
                <w:szCs w:val="21"/>
                <w:highlight w:val="none"/>
              </w:rPr>
            </w:pPr>
          </w:p>
        </w:tc>
        <w:tc>
          <w:tcPr>
            <w:tcW w:w="5797" w:type="dxa"/>
            <w:noWrap w:val="0"/>
            <w:vAlign w:val="center"/>
          </w:tcPr>
          <w:p w14:paraId="3A60F2DB">
            <w:pPr>
              <w:jc w:val="center"/>
              <w:rPr>
                <w:rFonts w:hint="eastAsia" w:ascii="宋体" w:hAnsi="宋体" w:eastAsia="宋体" w:cs="宋体"/>
                <w:color w:val="auto"/>
                <w:szCs w:val="21"/>
                <w:highlight w:val="none"/>
              </w:rPr>
            </w:pPr>
          </w:p>
        </w:tc>
        <w:tc>
          <w:tcPr>
            <w:tcW w:w="1946" w:type="dxa"/>
            <w:noWrap w:val="0"/>
            <w:vAlign w:val="center"/>
          </w:tcPr>
          <w:p w14:paraId="14D9975E">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4196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4AC59CB8">
            <w:pPr>
              <w:jc w:val="center"/>
              <w:rPr>
                <w:rFonts w:hint="eastAsia" w:ascii="宋体" w:hAnsi="宋体" w:eastAsia="宋体" w:cs="宋体"/>
                <w:color w:val="auto"/>
                <w:szCs w:val="21"/>
                <w:highlight w:val="none"/>
              </w:rPr>
            </w:pPr>
          </w:p>
        </w:tc>
        <w:tc>
          <w:tcPr>
            <w:tcW w:w="5797" w:type="dxa"/>
            <w:noWrap w:val="0"/>
            <w:vAlign w:val="center"/>
          </w:tcPr>
          <w:p w14:paraId="3AFA0F5D">
            <w:pPr>
              <w:jc w:val="center"/>
              <w:rPr>
                <w:rFonts w:hint="eastAsia" w:ascii="宋体" w:hAnsi="宋体" w:eastAsia="宋体" w:cs="宋体"/>
                <w:color w:val="auto"/>
                <w:szCs w:val="21"/>
                <w:highlight w:val="none"/>
              </w:rPr>
            </w:pPr>
          </w:p>
        </w:tc>
        <w:tc>
          <w:tcPr>
            <w:tcW w:w="1946" w:type="dxa"/>
            <w:noWrap w:val="0"/>
            <w:vAlign w:val="center"/>
          </w:tcPr>
          <w:p w14:paraId="43786827">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3F08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391EA3D7">
            <w:pPr>
              <w:jc w:val="center"/>
              <w:rPr>
                <w:rFonts w:hint="eastAsia" w:ascii="宋体" w:hAnsi="宋体" w:eastAsia="宋体" w:cs="宋体"/>
                <w:color w:val="auto"/>
                <w:szCs w:val="21"/>
                <w:highlight w:val="none"/>
              </w:rPr>
            </w:pPr>
          </w:p>
        </w:tc>
        <w:tc>
          <w:tcPr>
            <w:tcW w:w="5797" w:type="dxa"/>
            <w:noWrap w:val="0"/>
            <w:vAlign w:val="center"/>
          </w:tcPr>
          <w:p w14:paraId="34718457">
            <w:pPr>
              <w:jc w:val="center"/>
              <w:rPr>
                <w:rFonts w:hint="eastAsia" w:ascii="宋体" w:hAnsi="宋体" w:eastAsia="宋体" w:cs="宋体"/>
                <w:color w:val="auto"/>
                <w:szCs w:val="21"/>
                <w:highlight w:val="none"/>
              </w:rPr>
            </w:pPr>
          </w:p>
        </w:tc>
        <w:tc>
          <w:tcPr>
            <w:tcW w:w="1946" w:type="dxa"/>
            <w:noWrap w:val="0"/>
            <w:vAlign w:val="center"/>
          </w:tcPr>
          <w:p w14:paraId="665E5DCF">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1B36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33" w:type="dxa"/>
            <w:noWrap w:val="0"/>
            <w:vAlign w:val="center"/>
          </w:tcPr>
          <w:p w14:paraId="0C1A8831">
            <w:pPr>
              <w:jc w:val="center"/>
              <w:rPr>
                <w:rFonts w:hint="eastAsia" w:ascii="宋体" w:hAnsi="宋体" w:eastAsia="宋体" w:cs="宋体"/>
                <w:color w:val="auto"/>
                <w:szCs w:val="21"/>
                <w:highlight w:val="none"/>
              </w:rPr>
            </w:pPr>
          </w:p>
        </w:tc>
        <w:tc>
          <w:tcPr>
            <w:tcW w:w="5797" w:type="dxa"/>
            <w:noWrap w:val="0"/>
            <w:vAlign w:val="center"/>
          </w:tcPr>
          <w:p w14:paraId="0375EC03">
            <w:pPr>
              <w:jc w:val="center"/>
              <w:rPr>
                <w:rFonts w:hint="eastAsia" w:ascii="宋体" w:hAnsi="宋体" w:eastAsia="宋体" w:cs="宋体"/>
                <w:color w:val="auto"/>
                <w:szCs w:val="21"/>
                <w:highlight w:val="none"/>
              </w:rPr>
            </w:pPr>
          </w:p>
        </w:tc>
        <w:tc>
          <w:tcPr>
            <w:tcW w:w="1946" w:type="dxa"/>
            <w:noWrap w:val="0"/>
            <w:vAlign w:val="center"/>
          </w:tcPr>
          <w:p w14:paraId="0542D329">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47BD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596C0D84">
            <w:pPr>
              <w:jc w:val="center"/>
              <w:rPr>
                <w:rFonts w:hint="eastAsia" w:ascii="宋体" w:hAnsi="宋体" w:eastAsia="宋体" w:cs="宋体"/>
                <w:color w:val="auto"/>
                <w:szCs w:val="21"/>
                <w:highlight w:val="none"/>
              </w:rPr>
            </w:pPr>
          </w:p>
        </w:tc>
        <w:tc>
          <w:tcPr>
            <w:tcW w:w="5797" w:type="dxa"/>
            <w:noWrap w:val="0"/>
            <w:vAlign w:val="center"/>
          </w:tcPr>
          <w:p w14:paraId="5464DFE0">
            <w:pPr>
              <w:jc w:val="center"/>
              <w:rPr>
                <w:rFonts w:hint="eastAsia" w:ascii="宋体" w:hAnsi="宋体" w:eastAsia="宋体" w:cs="宋体"/>
                <w:color w:val="auto"/>
                <w:szCs w:val="21"/>
                <w:highlight w:val="none"/>
              </w:rPr>
            </w:pPr>
          </w:p>
        </w:tc>
        <w:tc>
          <w:tcPr>
            <w:tcW w:w="1946" w:type="dxa"/>
            <w:noWrap w:val="0"/>
            <w:vAlign w:val="center"/>
          </w:tcPr>
          <w:p w14:paraId="32F1C88D">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0449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697863F9">
            <w:pPr>
              <w:jc w:val="center"/>
              <w:rPr>
                <w:rFonts w:hint="eastAsia" w:ascii="宋体" w:hAnsi="宋体" w:eastAsia="宋体" w:cs="宋体"/>
                <w:color w:val="auto"/>
                <w:szCs w:val="21"/>
                <w:highlight w:val="none"/>
              </w:rPr>
            </w:pPr>
          </w:p>
        </w:tc>
        <w:tc>
          <w:tcPr>
            <w:tcW w:w="5797" w:type="dxa"/>
            <w:noWrap w:val="0"/>
            <w:vAlign w:val="center"/>
          </w:tcPr>
          <w:p w14:paraId="218DEF79">
            <w:pPr>
              <w:jc w:val="center"/>
              <w:rPr>
                <w:rFonts w:hint="eastAsia" w:ascii="宋体" w:hAnsi="宋体" w:eastAsia="宋体" w:cs="宋体"/>
                <w:color w:val="auto"/>
                <w:szCs w:val="21"/>
                <w:highlight w:val="none"/>
              </w:rPr>
            </w:pPr>
          </w:p>
        </w:tc>
        <w:tc>
          <w:tcPr>
            <w:tcW w:w="1946" w:type="dxa"/>
            <w:noWrap w:val="0"/>
            <w:vAlign w:val="center"/>
          </w:tcPr>
          <w:p w14:paraId="5A6B6A00">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7A6A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635440BD">
            <w:pPr>
              <w:jc w:val="center"/>
              <w:rPr>
                <w:rFonts w:hint="eastAsia" w:ascii="宋体" w:hAnsi="宋体" w:eastAsia="宋体" w:cs="宋体"/>
                <w:color w:val="auto"/>
                <w:szCs w:val="21"/>
                <w:highlight w:val="none"/>
              </w:rPr>
            </w:pPr>
          </w:p>
        </w:tc>
        <w:tc>
          <w:tcPr>
            <w:tcW w:w="5797" w:type="dxa"/>
            <w:noWrap w:val="0"/>
            <w:vAlign w:val="center"/>
          </w:tcPr>
          <w:p w14:paraId="4C71F106">
            <w:pPr>
              <w:jc w:val="center"/>
              <w:rPr>
                <w:rFonts w:hint="eastAsia" w:ascii="宋体" w:hAnsi="宋体" w:eastAsia="宋体" w:cs="宋体"/>
                <w:color w:val="auto"/>
                <w:szCs w:val="21"/>
                <w:highlight w:val="none"/>
              </w:rPr>
            </w:pPr>
          </w:p>
        </w:tc>
        <w:tc>
          <w:tcPr>
            <w:tcW w:w="1946" w:type="dxa"/>
            <w:noWrap w:val="0"/>
            <w:vAlign w:val="center"/>
          </w:tcPr>
          <w:p w14:paraId="469DE382">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15DC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33" w:type="dxa"/>
            <w:noWrap w:val="0"/>
            <w:vAlign w:val="center"/>
          </w:tcPr>
          <w:p w14:paraId="62AADB63">
            <w:pPr>
              <w:jc w:val="center"/>
              <w:rPr>
                <w:rFonts w:hint="eastAsia" w:ascii="宋体" w:hAnsi="宋体" w:eastAsia="宋体" w:cs="宋体"/>
                <w:color w:val="auto"/>
                <w:szCs w:val="21"/>
                <w:highlight w:val="none"/>
              </w:rPr>
            </w:pPr>
          </w:p>
        </w:tc>
        <w:tc>
          <w:tcPr>
            <w:tcW w:w="5797" w:type="dxa"/>
            <w:noWrap w:val="0"/>
            <w:vAlign w:val="center"/>
          </w:tcPr>
          <w:p w14:paraId="5D97EF2B">
            <w:pPr>
              <w:jc w:val="center"/>
              <w:rPr>
                <w:rFonts w:hint="eastAsia" w:ascii="宋体" w:hAnsi="宋体" w:eastAsia="宋体" w:cs="宋体"/>
                <w:color w:val="auto"/>
                <w:szCs w:val="21"/>
                <w:highlight w:val="none"/>
              </w:rPr>
            </w:pPr>
          </w:p>
        </w:tc>
        <w:tc>
          <w:tcPr>
            <w:tcW w:w="1946" w:type="dxa"/>
            <w:noWrap w:val="0"/>
            <w:vAlign w:val="center"/>
          </w:tcPr>
          <w:p w14:paraId="514DF6D3">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08DE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21A21ABC">
            <w:pPr>
              <w:jc w:val="center"/>
              <w:rPr>
                <w:rFonts w:hint="eastAsia" w:ascii="宋体" w:hAnsi="宋体" w:eastAsia="宋体" w:cs="宋体"/>
                <w:color w:val="auto"/>
                <w:szCs w:val="21"/>
                <w:highlight w:val="none"/>
              </w:rPr>
            </w:pPr>
          </w:p>
        </w:tc>
        <w:tc>
          <w:tcPr>
            <w:tcW w:w="5797" w:type="dxa"/>
            <w:noWrap w:val="0"/>
            <w:vAlign w:val="center"/>
          </w:tcPr>
          <w:p w14:paraId="68E10C5D">
            <w:pPr>
              <w:jc w:val="center"/>
              <w:rPr>
                <w:rFonts w:hint="eastAsia" w:ascii="宋体" w:hAnsi="宋体" w:eastAsia="宋体" w:cs="宋体"/>
                <w:color w:val="auto"/>
                <w:szCs w:val="21"/>
                <w:highlight w:val="none"/>
              </w:rPr>
            </w:pPr>
          </w:p>
        </w:tc>
        <w:tc>
          <w:tcPr>
            <w:tcW w:w="1946" w:type="dxa"/>
            <w:noWrap w:val="0"/>
            <w:vAlign w:val="center"/>
          </w:tcPr>
          <w:p w14:paraId="4FA6A9A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7C0B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4F449C36">
            <w:pPr>
              <w:jc w:val="center"/>
              <w:rPr>
                <w:rFonts w:hint="eastAsia" w:ascii="宋体" w:hAnsi="宋体" w:eastAsia="宋体" w:cs="宋体"/>
                <w:color w:val="auto"/>
                <w:szCs w:val="21"/>
                <w:highlight w:val="none"/>
              </w:rPr>
            </w:pPr>
          </w:p>
        </w:tc>
        <w:tc>
          <w:tcPr>
            <w:tcW w:w="5797" w:type="dxa"/>
            <w:noWrap w:val="0"/>
            <w:vAlign w:val="center"/>
          </w:tcPr>
          <w:p w14:paraId="53DB8627">
            <w:pPr>
              <w:jc w:val="center"/>
              <w:rPr>
                <w:rFonts w:hint="eastAsia" w:ascii="宋体" w:hAnsi="宋体" w:eastAsia="宋体" w:cs="宋体"/>
                <w:color w:val="auto"/>
                <w:szCs w:val="21"/>
                <w:highlight w:val="none"/>
              </w:rPr>
            </w:pPr>
          </w:p>
        </w:tc>
        <w:tc>
          <w:tcPr>
            <w:tcW w:w="1946" w:type="dxa"/>
            <w:noWrap w:val="0"/>
            <w:vAlign w:val="center"/>
          </w:tcPr>
          <w:p w14:paraId="77A7FD10">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r w14:paraId="1A11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33" w:type="dxa"/>
            <w:noWrap w:val="0"/>
            <w:vAlign w:val="center"/>
          </w:tcPr>
          <w:p w14:paraId="36A354A3">
            <w:pPr>
              <w:jc w:val="center"/>
              <w:rPr>
                <w:rFonts w:hint="eastAsia" w:ascii="宋体" w:hAnsi="宋体" w:eastAsia="宋体" w:cs="宋体"/>
                <w:color w:val="auto"/>
                <w:szCs w:val="21"/>
                <w:highlight w:val="none"/>
              </w:rPr>
            </w:pPr>
          </w:p>
        </w:tc>
        <w:tc>
          <w:tcPr>
            <w:tcW w:w="5797" w:type="dxa"/>
            <w:noWrap w:val="0"/>
            <w:vAlign w:val="center"/>
          </w:tcPr>
          <w:p w14:paraId="562C8B29">
            <w:pPr>
              <w:jc w:val="center"/>
              <w:rPr>
                <w:rFonts w:hint="eastAsia" w:ascii="宋体" w:hAnsi="宋体" w:eastAsia="宋体" w:cs="宋体"/>
                <w:color w:val="auto"/>
                <w:szCs w:val="21"/>
                <w:highlight w:val="none"/>
              </w:rPr>
            </w:pPr>
          </w:p>
        </w:tc>
        <w:tc>
          <w:tcPr>
            <w:tcW w:w="1946" w:type="dxa"/>
            <w:noWrap w:val="0"/>
            <w:vAlign w:val="center"/>
          </w:tcPr>
          <w:p w14:paraId="348CDFB8">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P~P</w:t>
            </w:r>
          </w:p>
        </w:tc>
      </w:tr>
    </w:tbl>
    <w:p w14:paraId="67830719">
      <w:pPr>
        <w:spacing w:line="360" w:lineRule="auto"/>
        <w:ind w:firstLine="560" w:firstLineChars="200"/>
        <w:jc w:val="center"/>
        <w:rPr>
          <w:rFonts w:hint="eastAsia" w:ascii="宋体" w:hAnsi="宋体" w:eastAsia="宋体" w:cs="宋体"/>
          <w:color w:val="auto"/>
          <w:sz w:val="28"/>
          <w:szCs w:val="28"/>
          <w:highlight w:val="none"/>
        </w:rPr>
      </w:pPr>
    </w:p>
    <w:p w14:paraId="46B1890C">
      <w:pPr>
        <w:jc w:val="center"/>
        <w:rPr>
          <w:rFonts w:hint="eastAsia" w:ascii="宋体" w:hAnsi="宋体" w:eastAsia="宋体" w:cs="宋体"/>
          <w:b/>
          <w:color w:val="auto"/>
          <w:sz w:val="32"/>
          <w:szCs w:val="32"/>
          <w:highlight w:val="none"/>
        </w:rPr>
      </w:pPr>
    </w:p>
    <w:p w14:paraId="6C1C44A1">
      <w:pPr>
        <w:jc w:val="center"/>
        <w:rPr>
          <w:rFonts w:hint="eastAsia" w:ascii="宋体" w:hAnsi="宋体" w:eastAsia="宋体" w:cs="宋体"/>
          <w:b/>
          <w:color w:val="auto"/>
          <w:sz w:val="32"/>
          <w:szCs w:val="32"/>
          <w:highlight w:val="none"/>
        </w:rPr>
      </w:pPr>
    </w:p>
    <w:p w14:paraId="04B8FD34">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目录</w:t>
      </w:r>
    </w:p>
    <w:p w14:paraId="76802753">
      <w:pPr>
        <w:spacing w:line="4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一、投标函及投标函附录</w:t>
      </w:r>
    </w:p>
    <w:p w14:paraId="7BD78540">
      <w:pPr>
        <w:spacing w:line="4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二、法定代表人证明书</w:t>
      </w:r>
    </w:p>
    <w:p w14:paraId="6A066C93">
      <w:pPr>
        <w:spacing w:line="4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三、授权委托书</w:t>
      </w:r>
    </w:p>
    <w:p w14:paraId="72674BF2">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四、项目管理机构表</w:t>
      </w:r>
    </w:p>
    <w:p w14:paraId="7AA860B7">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五、资格审查资料</w:t>
      </w:r>
    </w:p>
    <w:p w14:paraId="22FD695C">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六、缴纳投标保证金的凭证页面截图或</w:t>
      </w:r>
      <w:r>
        <w:rPr>
          <w:rFonts w:hint="eastAsia" w:ascii="宋体" w:hAnsi="宋体" w:eastAsia="宋体" w:cs="宋体"/>
          <w:color w:val="auto"/>
          <w:sz w:val="24"/>
          <w:highlight w:val="none"/>
          <w:lang w:val="zh-CN" w:eastAsia="zh-CN"/>
        </w:rPr>
        <w:t>扫描件</w:t>
      </w:r>
    </w:p>
    <w:p w14:paraId="46C51563">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七、投标承诺书</w:t>
      </w:r>
    </w:p>
    <w:p w14:paraId="39CF4F15">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八、其他材料（若有）</w:t>
      </w:r>
    </w:p>
    <w:p w14:paraId="5686127C">
      <w:pPr>
        <w:snapToGrid w:val="0"/>
        <w:spacing w:line="360" w:lineRule="auto"/>
        <w:ind w:firstLine="472" w:firstLineChars="196"/>
        <w:rPr>
          <w:rFonts w:hint="eastAsia" w:ascii="宋体" w:hAnsi="宋体" w:eastAsia="宋体" w:cs="宋体"/>
          <w:b/>
          <w:bCs/>
          <w:color w:val="auto"/>
          <w:sz w:val="24"/>
          <w:highlight w:val="none"/>
          <w:u w:val="single"/>
        </w:rPr>
      </w:pPr>
    </w:p>
    <w:p w14:paraId="74E09A31">
      <w:pPr>
        <w:snapToGrid w:val="0"/>
        <w:spacing w:line="360" w:lineRule="auto"/>
        <w:ind w:firstLine="472" w:firstLineChars="196"/>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注：本目录不作为格式目录，投标人可相应修改或补充，为便于评标委员会评审，投标人可自行编制目录并编制页码。</w:t>
      </w:r>
    </w:p>
    <w:p w14:paraId="0CEE7C06">
      <w:pPr>
        <w:spacing w:line="360" w:lineRule="auto"/>
        <w:ind w:firstLine="560" w:firstLineChars="200"/>
        <w:jc w:val="center"/>
        <w:rPr>
          <w:rFonts w:hint="eastAsia" w:ascii="宋体" w:hAnsi="宋体" w:eastAsia="宋体" w:cs="宋体"/>
          <w:color w:val="auto"/>
          <w:sz w:val="28"/>
          <w:szCs w:val="28"/>
          <w:highlight w:val="none"/>
        </w:rPr>
      </w:pPr>
    </w:p>
    <w:p w14:paraId="58A4FFB3">
      <w:pPr>
        <w:spacing w:line="360" w:lineRule="auto"/>
        <w:ind w:firstLine="560" w:firstLineChars="200"/>
        <w:jc w:val="center"/>
        <w:rPr>
          <w:rFonts w:hint="eastAsia" w:ascii="宋体" w:hAnsi="宋体" w:eastAsia="宋体" w:cs="宋体"/>
          <w:color w:val="auto"/>
          <w:sz w:val="28"/>
          <w:szCs w:val="28"/>
          <w:highlight w:val="none"/>
        </w:rPr>
      </w:pPr>
    </w:p>
    <w:p w14:paraId="134EC14E">
      <w:pPr>
        <w:spacing w:line="360" w:lineRule="auto"/>
        <w:ind w:firstLine="643" w:firstLineChars="200"/>
        <w:jc w:val="center"/>
        <w:rPr>
          <w:rFonts w:hint="eastAsia" w:ascii="宋体" w:hAnsi="宋体" w:eastAsia="宋体" w:cs="宋体"/>
          <w:b/>
          <w:color w:val="auto"/>
          <w:sz w:val="32"/>
          <w:szCs w:val="32"/>
          <w:highlight w:val="none"/>
        </w:rPr>
      </w:pPr>
    </w:p>
    <w:p w14:paraId="689131AF">
      <w:pPr>
        <w:rPr>
          <w:rFonts w:hint="eastAsia" w:ascii="宋体" w:hAnsi="宋体" w:eastAsia="宋体" w:cs="宋体"/>
          <w:color w:val="auto"/>
          <w:szCs w:val="21"/>
          <w:highlight w:val="none"/>
        </w:rPr>
      </w:pPr>
    </w:p>
    <w:p w14:paraId="7989B0FD">
      <w:pPr>
        <w:rPr>
          <w:rFonts w:hint="eastAsia" w:ascii="宋体" w:hAnsi="宋体" w:eastAsia="宋体" w:cs="宋体"/>
          <w:color w:val="auto"/>
          <w:szCs w:val="21"/>
          <w:highlight w:val="none"/>
        </w:rPr>
      </w:pPr>
    </w:p>
    <w:p w14:paraId="455701F8">
      <w:pPr>
        <w:rPr>
          <w:rFonts w:hint="eastAsia" w:ascii="宋体" w:hAnsi="宋体" w:eastAsia="宋体" w:cs="宋体"/>
          <w:color w:val="auto"/>
          <w:szCs w:val="21"/>
          <w:highlight w:val="none"/>
        </w:rPr>
      </w:pPr>
    </w:p>
    <w:p w14:paraId="6F65C94E">
      <w:pPr>
        <w:rPr>
          <w:rFonts w:hint="eastAsia" w:ascii="宋体" w:hAnsi="宋体" w:eastAsia="宋体" w:cs="宋体"/>
          <w:color w:val="auto"/>
          <w:szCs w:val="21"/>
          <w:highlight w:val="none"/>
        </w:rPr>
      </w:pPr>
    </w:p>
    <w:p w14:paraId="59413EA8">
      <w:pPr>
        <w:rPr>
          <w:rFonts w:hint="eastAsia" w:ascii="宋体" w:hAnsi="宋体" w:eastAsia="宋体" w:cs="宋体"/>
          <w:color w:val="auto"/>
          <w:szCs w:val="21"/>
          <w:highlight w:val="none"/>
        </w:rPr>
      </w:pPr>
    </w:p>
    <w:p w14:paraId="2D0EBAA9">
      <w:pPr>
        <w:rPr>
          <w:rFonts w:hint="eastAsia" w:ascii="宋体" w:hAnsi="宋体" w:eastAsia="宋体" w:cs="宋体"/>
          <w:color w:val="auto"/>
          <w:szCs w:val="21"/>
          <w:highlight w:val="none"/>
        </w:rPr>
      </w:pPr>
    </w:p>
    <w:p w14:paraId="49CFE3E4">
      <w:pPr>
        <w:rPr>
          <w:rFonts w:hint="eastAsia" w:ascii="宋体" w:hAnsi="宋体" w:eastAsia="宋体" w:cs="宋体"/>
          <w:color w:val="auto"/>
          <w:szCs w:val="21"/>
          <w:highlight w:val="none"/>
        </w:rPr>
      </w:pPr>
    </w:p>
    <w:p w14:paraId="11EDCFA5">
      <w:pPr>
        <w:rPr>
          <w:rFonts w:hint="eastAsia" w:ascii="宋体" w:hAnsi="宋体" w:eastAsia="宋体" w:cs="宋体"/>
          <w:color w:val="auto"/>
          <w:szCs w:val="21"/>
          <w:highlight w:val="none"/>
        </w:rPr>
      </w:pPr>
    </w:p>
    <w:p w14:paraId="36DDB88B">
      <w:pPr>
        <w:rPr>
          <w:rFonts w:hint="eastAsia" w:ascii="宋体" w:hAnsi="宋体" w:eastAsia="宋体" w:cs="宋体"/>
          <w:color w:val="auto"/>
          <w:szCs w:val="21"/>
          <w:highlight w:val="none"/>
        </w:rPr>
      </w:pPr>
    </w:p>
    <w:p w14:paraId="03F40593">
      <w:pPr>
        <w:rPr>
          <w:rFonts w:hint="eastAsia" w:ascii="宋体" w:hAnsi="宋体" w:eastAsia="宋体" w:cs="宋体"/>
          <w:color w:val="auto"/>
          <w:szCs w:val="21"/>
          <w:highlight w:val="none"/>
        </w:rPr>
      </w:pPr>
    </w:p>
    <w:p w14:paraId="17A29F4D">
      <w:pPr>
        <w:rPr>
          <w:rFonts w:hint="eastAsia" w:ascii="宋体" w:hAnsi="宋体" w:eastAsia="宋体" w:cs="宋体"/>
          <w:color w:val="auto"/>
          <w:szCs w:val="21"/>
          <w:highlight w:val="none"/>
        </w:rPr>
      </w:pPr>
    </w:p>
    <w:p w14:paraId="6061DE9B">
      <w:pPr>
        <w:rPr>
          <w:rFonts w:hint="eastAsia" w:ascii="宋体" w:hAnsi="宋体" w:eastAsia="宋体" w:cs="宋体"/>
          <w:color w:val="auto"/>
          <w:szCs w:val="21"/>
          <w:highlight w:val="none"/>
        </w:rPr>
      </w:pPr>
    </w:p>
    <w:p w14:paraId="16A79481">
      <w:pPr>
        <w:rPr>
          <w:rFonts w:hint="eastAsia" w:ascii="宋体" w:hAnsi="宋体" w:eastAsia="宋体" w:cs="宋体"/>
          <w:color w:val="auto"/>
          <w:szCs w:val="21"/>
          <w:highlight w:val="none"/>
        </w:rPr>
      </w:pPr>
    </w:p>
    <w:p w14:paraId="13F28204">
      <w:pPr>
        <w:rPr>
          <w:rFonts w:hint="eastAsia" w:ascii="宋体" w:hAnsi="宋体" w:eastAsia="宋体" w:cs="宋体"/>
          <w:color w:val="auto"/>
          <w:szCs w:val="21"/>
          <w:highlight w:val="none"/>
        </w:rPr>
      </w:pPr>
    </w:p>
    <w:p w14:paraId="0223255D">
      <w:pPr>
        <w:rPr>
          <w:rFonts w:hint="eastAsia" w:ascii="宋体" w:hAnsi="宋体" w:eastAsia="宋体" w:cs="宋体"/>
          <w:color w:val="auto"/>
          <w:szCs w:val="21"/>
          <w:highlight w:val="none"/>
        </w:rPr>
      </w:pPr>
    </w:p>
    <w:p w14:paraId="10D8AE2D">
      <w:pPr>
        <w:spacing w:line="480" w:lineRule="exact"/>
        <w:jc w:val="center"/>
        <w:outlineLvl w:val="1"/>
        <w:rPr>
          <w:rFonts w:hint="eastAsia" w:ascii="宋体" w:hAnsi="宋体" w:eastAsia="宋体" w:cs="宋体"/>
          <w:b/>
          <w:color w:val="auto"/>
          <w:sz w:val="32"/>
          <w:szCs w:val="32"/>
          <w:highlight w:val="none"/>
        </w:rPr>
      </w:pPr>
      <w:bookmarkStart w:id="337" w:name="_Toc263413233"/>
      <w:bookmarkStart w:id="338" w:name="_Toc256773234"/>
      <w:r>
        <w:rPr>
          <w:rFonts w:hint="eastAsia" w:ascii="宋体" w:hAnsi="宋体" w:eastAsia="宋体" w:cs="宋体"/>
          <w:b/>
          <w:color w:val="auto"/>
          <w:sz w:val="32"/>
          <w:szCs w:val="32"/>
          <w:highlight w:val="none"/>
        </w:rPr>
        <w:br w:type="page"/>
      </w:r>
      <w:bookmarkStart w:id="339" w:name="_Toc23918"/>
      <w:bookmarkStart w:id="340" w:name="_Toc13904"/>
      <w:bookmarkStart w:id="341" w:name="_Toc27789"/>
      <w:r>
        <w:rPr>
          <w:rFonts w:hint="eastAsia" w:ascii="宋体" w:hAnsi="宋体" w:eastAsia="宋体" w:cs="宋体"/>
          <w:b/>
          <w:color w:val="auto"/>
          <w:sz w:val="32"/>
          <w:szCs w:val="32"/>
          <w:highlight w:val="none"/>
        </w:rPr>
        <w:t>一、投标函及投标函附录</w:t>
      </w:r>
      <w:bookmarkEnd w:id="337"/>
      <w:bookmarkEnd w:id="338"/>
      <w:bookmarkEnd w:id="339"/>
      <w:bookmarkEnd w:id="340"/>
      <w:bookmarkEnd w:id="341"/>
    </w:p>
    <w:p w14:paraId="278E84FE">
      <w:pPr>
        <w:spacing w:line="480" w:lineRule="exact"/>
        <w:rPr>
          <w:rFonts w:hint="eastAsia" w:ascii="宋体" w:hAnsi="宋体" w:eastAsia="宋体" w:cs="宋体"/>
          <w:color w:val="auto"/>
          <w:sz w:val="32"/>
          <w:szCs w:val="32"/>
          <w:highlight w:val="none"/>
          <w:lang w:eastAsia="zh-CN"/>
        </w:rPr>
      </w:pPr>
    </w:p>
    <w:p w14:paraId="7C16CCDE">
      <w:pPr>
        <w:spacing w:line="480" w:lineRule="exac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（一）投标函</w:t>
      </w:r>
    </w:p>
    <w:p w14:paraId="54E5D4F8">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（招标人名称）： </w:t>
      </w:r>
    </w:p>
    <w:p w14:paraId="54DA2B0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项目</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招标文件的全部内容，兹以工期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日历天，按合同约定实施和完成承包工程，修补工程中的任何缺陷，工程质量达到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0A230F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2.我方承诺在投标有效期</w:t>
      </w:r>
      <w:r>
        <w:rPr>
          <w:rFonts w:hint="eastAsia" w:ascii="宋体" w:hAnsi="宋体" w:eastAsia="宋体" w:cs="宋体"/>
          <w:color w:val="auto"/>
          <w:sz w:val="24"/>
          <w:highlight w:val="none"/>
          <w:u w:val="single"/>
        </w:rPr>
        <w:t>90天</w:t>
      </w:r>
      <w:r>
        <w:rPr>
          <w:rFonts w:hint="eastAsia" w:ascii="宋体" w:hAnsi="宋体" w:eastAsia="宋体" w:cs="宋体"/>
          <w:color w:val="auto"/>
          <w:sz w:val="24"/>
          <w:highlight w:val="none"/>
        </w:rPr>
        <w:t>内不补充、修改、替代或者撤回本投标文件。</w:t>
      </w:r>
    </w:p>
    <w:p w14:paraId="1AFED775">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3.随同本投标函递交投标保证一份，金额为人民币大写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p>
    <w:p w14:paraId="0FD8947D">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4.如我方中标：</w:t>
      </w:r>
    </w:p>
    <w:p w14:paraId="5CEA1DA3">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（1）我方承诺在收到中标通知书后，在中标通知书规定的期限内与你方签订合同；</w:t>
      </w:r>
    </w:p>
    <w:p w14:paraId="15D8DAEC">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（2）随同本投标函递交的投标函附录属于合同文件的组成部分；</w:t>
      </w:r>
    </w:p>
    <w:p w14:paraId="0B1CAE97">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（3）我方承诺按照招标文件规定向你方递交履约担保；</w:t>
      </w:r>
    </w:p>
    <w:p w14:paraId="22408FEC">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（4）我方承诺在合同约定的期限内完成并移交全部合同工程；</w:t>
      </w:r>
    </w:p>
    <w:p w14:paraId="486FE053">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（5）我方承诺按照招标文件规定绝不违规转包工程。</w:t>
      </w:r>
    </w:p>
    <w:p w14:paraId="4008F333">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5.我方在此声明，所递交的投标文件及有关资料内容完整、真实和准确，且不存在第2章投标人须知第1.4.3款规定的任何一种情形。</w:t>
      </w:r>
    </w:p>
    <w:p w14:paraId="013FE2BB">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（其他补充说明）。</w:t>
      </w:r>
    </w:p>
    <w:p w14:paraId="7FC4A867">
      <w:pPr>
        <w:spacing w:line="480" w:lineRule="exact"/>
        <w:rPr>
          <w:rFonts w:hint="eastAsia" w:ascii="宋体" w:hAnsi="宋体" w:eastAsia="宋体" w:cs="宋体"/>
          <w:color w:val="auto"/>
          <w:sz w:val="24"/>
          <w:highlight w:val="none"/>
        </w:rPr>
      </w:pPr>
    </w:p>
    <w:p w14:paraId="56A58541">
      <w:pPr>
        <w:spacing w:line="480" w:lineRule="exact"/>
        <w:jc w:val="right"/>
        <w:rPr>
          <w:rFonts w:hint="eastAsia" w:ascii="宋体" w:hAnsi="宋体" w:eastAsia="宋体" w:cs="宋体"/>
          <w:color w:val="auto"/>
          <w:sz w:val="24"/>
          <w:highlight w:val="none"/>
        </w:rPr>
      </w:pPr>
    </w:p>
    <w:p w14:paraId="05593E7A">
      <w:pPr>
        <w:spacing w:line="48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（盖单位章） </w:t>
      </w:r>
    </w:p>
    <w:p w14:paraId="6FDF7ED4">
      <w:pPr>
        <w:spacing w:line="48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法定代表人或其授权委托人：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600CE8F9">
      <w:pPr>
        <w:spacing w:line="480" w:lineRule="exact"/>
        <w:ind w:firstLine="820" w:firstLineChars="34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       址：</w:t>
      </w:r>
      <w:r>
        <w:rPr>
          <w:rFonts w:hint="eastAsia" w:ascii="宋体" w:hAnsi="宋体" w:eastAsia="宋体" w:cs="宋体"/>
          <w:color w:val="auto"/>
          <w:sz w:val="24"/>
          <w:highlight w:val="none"/>
          <w:u w:val="single"/>
        </w:rPr>
        <w:t xml:space="preserve">                                  </w:t>
      </w:r>
    </w:p>
    <w:p w14:paraId="408B3B08">
      <w:pPr>
        <w:spacing w:line="48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网       址：</w:t>
      </w:r>
      <w:r>
        <w:rPr>
          <w:rFonts w:hint="eastAsia" w:ascii="宋体" w:hAnsi="宋体" w:eastAsia="宋体" w:cs="宋体"/>
          <w:color w:val="auto"/>
          <w:sz w:val="24"/>
          <w:highlight w:val="none"/>
          <w:u w:val="single"/>
        </w:rPr>
        <w:t xml:space="preserve">                                  </w:t>
      </w:r>
    </w:p>
    <w:p w14:paraId="0F0B1E76">
      <w:pPr>
        <w:spacing w:line="480" w:lineRule="exact"/>
        <w:ind w:firstLine="820" w:firstLineChars="34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电       话：</w:t>
      </w:r>
      <w:r>
        <w:rPr>
          <w:rFonts w:hint="eastAsia" w:ascii="宋体" w:hAnsi="宋体" w:eastAsia="宋体" w:cs="宋体"/>
          <w:color w:val="auto"/>
          <w:sz w:val="24"/>
          <w:highlight w:val="none"/>
          <w:u w:val="single"/>
        </w:rPr>
        <w:t xml:space="preserve">                                  </w:t>
      </w:r>
    </w:p>
    <w:p w14:paraId="6C419B08">
      <w:pPr>
        <w:spacing w:line="48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       真：</w:t>
      </w:r>
      <w:r>
        <w:rPr>
          <w:rFonts w:hint="eastAsia" w:ascii="宋体" w:hAnsi="宋体" w:eastAsia="宋体" w:cs="宋体"/>
          <w:color w:val="auto"/>
          <w:sz w:val="24"/>
          <w:highlight w:val="none"/>
          <w:u w:val="single"/>
        </w:rPr>
        <w:t xml:space="preserve">                                  </w:t>
      </w:r>
    </w:p>
    <w:p w14:paraId="322E9531">
      <w:pPr>
        <w:spacing w:line="480" w:lineRule="exact"/>
        <w:ind w:firstLine="820" w:firstLineChars="34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 政 编 码：</w:t>
      </w:r>
      <w:r>
        <w:rPr>
          <w:rFonts w:hint="eastAsia" w:ascii="宋体" w:hAnsi="宋体" w:eastAsia="宋体" w:cs="宋体"/>
          <w:color w:val="auto"/>
          <w:sz w:val="24"/>
          <w:highlight w:val="none"/>
          <w:u w:val="single"/>
        </w:rPr>
        <w:t xml:space="preserve">                                  </w:t>
      </w:r>
    </w:p>
    <w:p w14:paraId="62C47C78">
      <w:pPr>
        <w:spacing w:line="480" w:lineRule="exac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b/>
          <w:color w:val="auto"/>
          <w:szCs w:val="21"/>
          <w:highlight w:val="none"/>
        </w:rPr>
        <w:br w:type="page"/>
      </w:r>
      <w:r>
        <w:rPr>
          <w:rFonts w:hint="eastAsia" w:ascii="宋体" w:hAnsi="宋体" w:eastAsia="宋体" w:cs="宋体"/>
          <w:b/>
          <w:color w:val="auto"/>
          <w:sz w:val="32"/>
          <w:szCs w:val="32"/>
          <w:highlight w:val="none"/>
        </w:rPr>
        <w:t>（二）投标函附录一</w:t>
      </w:r>
    </w:p>
    <w:tbl>
      <w:tblPr>
        <w:tblStyle w:val="30"/>
        <w:tblW w:w="0" w:type="auto"/>
        <w:tblInd w:w="461" w:type="dxa"/>
        <w:tblLayout w:type="fixed"/>
        <w:tblCellMar>
          <w:top w:w="0" w:type="dxa"/>
          <w:left w:w="108" w:type="dxa"/>
          <w:bottom w:w="0" w:type="dxa"/>
          <w:right w:w="108" w:type="dxa"/>
        </w:tblCellMar>
      </w:tblPr>
      <w:tblGrid>
        <w:gridCol w:w="1181"/>
        <w:gridCol w:w="2672"/>
        <w:gridCol w:w="5008"/>
      </w:tblGrid>
      <w:tr w14:paraId="2182C2A7">
        <w:tblPrEx>
          <w:tblCellMar>
            <w:top w:w="0" w:type="dxa"/>
            <w:left w:w="108" w:type="dxa"/>
            <w:bottom w:w="0" w:type="dxa"/>
            <w:right w:w="108" w:type="dxa"/>
          </w:tblCellMar>
        </w:tblPrEx>
        <w:trPr>
          <w:trHeight w:val="567" w:hRule="exact"/>
        </w:trPr>
        <w:tc>
          <w:tcPr>
            <w:tcW w:w="1181" w:type="dxa"/>
            <w:tcBorders>
              <w:top w:val="single" w:color="auto" w:sz="6" w:space="0"/>
              <w:left w:val="single" w:color="auto" w:sz="6" w:space="0"/>
              <w:bottom w:val="single" w:color="auto" w:sz="6" w:space="0"/>
              <w:right w:val="single" w:color="auto" w:sz="6" w:space="0"/>
            </w:tcBorders>
            <w:noWrap w:val="0"/>
            <w:vAlign w:val="center"/>
          </w:tcPr>
          <w:p w14:paraId="748CB3B9">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序号</w:t>
            </w:r>
          </w:p>
        </w:tc>
        <w:tc>
          <w:tcPr>
            <w:tcW w:w="7680" w:type="dxa"/>
            <w:gridSpan w:val="2"/>
            <w:tcBorders>
              <w:top w:val="single" w:color="auto" w:sz="6" w:space="0"/>
              <w:left w:val="single" w:color="auto" w:sz="6" w:space="0"/>
              <w:bottom w:val="single" w:color="auto" w:sz="6" w:space="0"/>
              <w:right w:val="single" w:color="auto" w:sz="6" w:space="0"/>
            </w:tcBorders>
            <w:noWrap w:val="0"/>
            <w:vAlign w:val="center"/>
          </w:tcPr>
          <w:p w14:paraId="77761CAD">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内容</w:t>
            </w:r>
          </w:p>
        </w:tc>
      </w:tr>
      <w:tr w14:paraId="5AD234F8">
        <w:tblPrEx>
          <w:tblCellMar>
            <w:top w:w="0" w:type="dxa"/>
            <w:left w:w="108" w:type="dxa"/>
            <w:bottom w:w="0" w:type="dxa"/>
            <w:right w:w="108" w:type="dxa"/>
          </w:tblCellMar>
        </w:tblPrEx>
        <w:trPr>
          <w:trHeight w:val="567" w:hRule="atLeast"/>
        </w:trPr>
        <w:tc>
          <w:tcPr>
            <w:tcW w:w="1181" w:type="dxa"/>
            <w:tcBorders>
              <w:top w:val="single" w:color="auto" w:sz="6" w:space="0"/>
              <w:left w:val="single" w:color="auto" w:sz="6" w:space="0"/>
              <w:bottom w:val="single" w:color="auto" w:sz="6" w:space="0"/>
              <w:right w:val="single" w:color="auto" w:sz="6" w:space="0"/>
            </w:tcBorders>
            <w:noWrap w:val="0"/>
            <w:vAlign w:val="center"/>
          </w:tcPr>
          <w:p w14:paraId="7997EA6F">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1</w:t>
            </w:r>
          </w:p>
        </w:tc>
        <w:tc>
          <w:tcPr>
            <w:tcW w:w="2672" w:type="dxa"/>
            <w:tcBorders>
              <w:top w:val="single" w:color="auto" w:sz="6" w:space="0"/>
              <w:left w:val="single" w:color="auto" w:sz="6" w:space="0"/>
              <w:bottom w:val="single" w:color="auto" w:sz="6" w:space="0"/>
              <w:right w:val="single" w:color="auto" w:sz="6" w:space="0"/>
            </w:tcBorders>
            <w:noWrap w:val="0"/>
            <w:vAlign w:val="center"/>
          </w:tcPr>
          <w:p w14:paraId="2943B6A0">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施工企业资质等级</w:t>
            </w:r>
          </w:p>
        </w:tc>
        <w:tc>
          <w:tcPr>
            <w:tcW w:w="5008" w:type="dxa"/>
            <w:tcBorders>
              <w:top w:val="single" w:color="auto" w:sz="6" w:space="0"/>
              <w:left w:val="single" w:color="auto" w:sz="6" w:space="0"/>
              <w:bottom w:val="single" w:color="auto" w:sz="6" w:space="0"/>
              <w:right w:val="single" w:color="auto" w:sz="6" w:space="0"/>
            </w:tcBorders>
            <w:noWrap w:val="0"/>
            <w:vAlign w:val="center"/>
          </w:tcPr>
          <w:p w14:paraId="13A20CDD">
            <w:pPr>
              <w:spacing w:line="480" w:lineRule="exact"/>
              <w:ind w:left="-90"/>
              <w:jc w:val="center"/>
              <w:rPr>
                <w:rFonts w:hint="eastAsia" w:ascii="宋体" w:hAnsi="宋体" w:eastAsia="宋体" w:cs="宋体"/>
                <w:color w:val="auto"/>
                <w:sz w:val="24"/>
                <w:highlight w:val="none"/>
              </w:rPr>
            </w:pPr>
          </w:p>
        </w:tc>
      </w:tr>
      <w:tr w14:paraId="75CF5F48">
        <w:tblPrEx>
          <w:tblCellMar>
            <w:top w:w="0" w:type="dxa"/>
            <w:left w:w="108" w:type="dxa"/>
            <w:bottom w:w="0" w:type="dxa"/>
            <w:right w:w="108" w:type="dxa"/>
          </w:tblCellMar>
        </w:tblPrEx>
        <w:trPr>
          <w:trHeight w:val="441" w:hRule="atLeast"/>
        </w:trPr>
        <w:tc>
          <w:tcPr>
            <w:tcW w:w="1181" w:type="dxa"/>
            <w:vMerge w:val="restart"/>
            <w:tcBorders>
              <w:top w:val="single" w:color="auto" w:sz="6" w:space="0"/>
              <w:left w:val="single" w:color="auto" w:sz="6" w:space="0"/>
              <w:right w:val="single" w:color="auto" w:sz="6" w:space="0"/>
            </w:tcBorders>
            <w:noWrap w:val="0"/>
            <w:vAlign w:val="center"/>
          </w:tcPr>
          <w:p w14:paraId="0242E7C5">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2</w:t>
            </w:r>
          </w:p>
        </w:tc>
        <w:tc>
          <w:tcPr>
            <w:tcW w:w="2672" w:type="dxa"/>
            <w:vMerge w:val="restart"/>
            <w:tcBorders>
              <w:top w:val="single" w:color="auto" w:sz="6" w:space="0"/>
              <w:left w:val="single" w:color="auto" w:sz="6" w:space="0"/>
              <w:right w:val="single" w:color="auto" w:sz="6" w:space="0"/>
            </w:tcBorders>
            <w:noWrap w:val="0"/>
            <w:vAlign w:val="center"/>
          </w:tcPr>
          <w:p w14:paraId="2DE6AC3D">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项目经理</w:t>
            </w:r>
          </w:p>
        </w:tc>
        <w:tc>
          <w:tcPr>
            <w:tcW w:w="5008" w:type="dxa"/>
            <w:tcBorders>
              <w:top w:val="single" w:color="auto" w:sz="6" w:space="0"/>
              <w:left w:val="single" w:color="auto" w:sz="6" w:space="0"/>
              <w:bottom w:val="single" w:color="auto" w:sz="6" w:space="0"/>
              <w:right w:val="single" w:color="auto" w:sz="6" w:space="0"/>
            </w:tcBorders>
            <w:noWrap w:val="0"/>
            <w:vAlign w:val="center"/>
          </w:tcPr>
          <w:p w14:paraId="340384D8">
            <w:pPr>
              <w:spacing w:line="480" w:lineRule="exact"/>
              <w:ind w:left="-90" w:leftChars="-43" w:firstLine="244" w:firstLineChars="100"/>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姓名：</w:t>
            </w:r>
          </w:p>
        </w:tc>
      </w:tr>
      <w:tr w14:paraId="4BA6D932">
        <w:tblPrEx>
          <w:tblCellMar>
            <w:top w:w="0" w:type="dxa"/>
            <w:left w:w="108" w:type="dxa"/>
            <w:bottom w:w="0" w:type="dxa"/>
            <w:right w:w="108" w:type="dxa"/>
          </w:tblCellMar>
        </w:tblPrEx>
        <w:trPr>
          <w:trHeight w:val="461" w:hRule="atLeast"/>
        </w:trPr>
        <w:tc>
          <w:tcPr>
            <w:tcW w:w="1181" w:type="dxa"/>
            <w:vMerge w:val="continue"/>
            <w:tcBorders>
              <w:left w:val="single" w:color="auto" w:sz="6" w:space="0"/>
              <w:right w:val="single" w:color="auto" w:sz="6" w:space="0"/>
            </w:tcBorders>
            <w:noWrap w:val="0"/>
            <w:vAlign w:val="center"/>
          </w:tcPr>
          <w:p w14:paraId="1142D35F">
            <w:pPr>
              <w:spacing w:line="480" w:lineRule="exact"/>
              <w:ind w:left="-90"/>
              <w:jc w:val="center"/>
              <w:rPr>
                <w:rFonts w:hint="eastAsia" w:ascii="宋体" w:hAnsi="宋体" w:eastAsia="宋体" w:cs="宋体"/>
                <w:color w:val="auto"/>
                <w:spacing w:val="2"/>
                <w:kern w:val="0"/>
                <w:sz w:val="24"/>
                <w:highlight w:val="none"/>
              </w:rPr>
            </w:pPr>
          </w:p>
        </w:tc>
        <w:tc>
          <w:tcPr>
            <w:tcW w:w="2672" w:type="dxa"/>
            <w:vMerge w:val="continue"/>
            <w:tcBorders>
              <w:left w:val="single" w:color="auto" w:sz="6" w:space="0"/>
              <w:right w:val="single" w:color="auto" w:sz="6" w:space="0"/>
            </w:tcBorders>
            <w:noWrap w:val="0"/>
            <w:vAlign w:val="center"/>
          </w:tcPr>
          <w:p w14:paraId="0898D5EA">
            <w:pPr>
              <w:spacing w:line="480" w:lineRule="exact"/>
              <w:ind w:left="-90"/>
              <w:jc w:val="center"/>
              <w:rPr>
                <w:rFonts w:hint="eastAsia" w:ascii="宋体" w:hAnsi="宋体" w:eastAsia="宋体" w:cs="宋体"/>
                <w:color w:val="auto"/>
                <w:spacing w:val="2"/>
                <w:kern w:val="0"/>
                <w:sz w:val="24"/>
                <w:highlight w:val="none"/>
              </w:rPr>
            </w:pPr>
          </w:p>
        </w:tc>
        <w:tc>
          <w:tcPr>
            <w:tcW w:w="5008" w:type="dxa"/>
            <w:tcBorders>
              <w:top w:val="single" w:color="auto" w:sz="6" w:space="0"/>
              <w:left w:val="single" w:color="auto" w:sz="6" w:space="0"/>
              <w:bottom w:val="single" w:color="auto" w:sz="6" w:space="0"/>
              <w:right w:val="single" w:color="auto" w:sz="6" w:space="0"/>
            </w:tcBorders>
            <w:noWrap w:val="0"/>
            <w:vAlign w:val="center"/>
          </w:tcPr>
          <w:p w14:paraId="136A61B7">
            <w:pPr>
              <w:spacing w:line="480" w:lineRule="exact"/>
              <w:ind w:left="-90" w:leftChars="-43" w:firstLine="244" w:firstLineChars="100"/>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专业：</w:t>
            </w:r>
          </w:p>
        </w:tc>
      </w:tr>
      <w:tr w14:paraId="0AA727EF">
        <w:tblPrEx>
          <w:tblCellMar>
            <w:top w:w="0" w:type="dxa"/>
            <w:left w:w="108" w:type="dxa"/>
            <w:bottom w:w="0" w:type="dxa"/>
            <w:right w:w="108" w:type="dxa"/>
          </w:tblCellMar>
        </w:tblPrEx>
        <w:trPr>
          <w:trHeight w:val="438" w:hRule="atLeast"/>
        </w:trPr>
        <w:tc>
          <w:tcPr>
            <w:tcW w:w="1181" w:type="dxa"/>
            <w:vMerge w:val="continue"/>
            <w:tcBorders>
              <w:left w:val="single" w:color="auto" w:sz="6" w:space="0"/>
              <w:bottom w:val="single" w:color="auto" w:sz="6" w:space="0"/>
              <w:right w:val="single" w:color="auto" w:sz="6" w:space="0"/>
            </w:tcBorders>
            <w:noWrap w:val="0"/>
            <w:vAlign w:val="center"/>
          </w:tcPr>
          <w:p w14:paraId="294D2518">
            <w:pPr>
              <w:spacing w:line="480" w:lineRule="exact"/>
              <w:ind w:left="-90"/>
              <w:jc w:val="center"/>
              <w:rPr>
                <w:rFonts w:hint="eastAsia" w:ascii="宋体" w:hAnsi="宋体" w:eastAsia="宋体" w:cs="宋体"/>
                <w:color w:val="auto"/>
                <w:spacing w:val="2"/>
                <w:kern w:val="0"/>
                <w:sz w:val="24"/>
                <w:highlight w:val="none"/>
              </w:rPr>
            </w:pPr>
          </w:p>
        </w:tc>
        <w:tc>
          <w:tcPr>
            <w:tcW w:w="2672" w:type="dxa"/>
            <w:vMerge w:val="continue"/>
            <w:tcBorders>
              <w:left w:val="single" w:color="auto" w:sz="6" w:space="0"/>
              <w:bottom w:val="single" w:color="auto" w:sz="6" w:space="0"/>
              <w:right w:val="single" w:color="auto" w:sz="6" w:space="0"/>
            </w:tcBorders>
            <w:noWrap w:val="0"/>
            <w:vAlign w:val="center"/>
          </w:tcPr>
          <w:p w14:paraId="4FCCC000">
            <w:pPr>
              <w:spacing w:line="480" w:lineRule="exact"/>
              <w:ind w:left="-90"/>
              <w:jc w:val="center"/>
              <w:rPr>
                <w:rFonts w:hint="eastAsia" w:ascii="宋体" w:hAnsi="宋体" w:eastAsia="宋体" w:cs="宋体"/>
                <w:color w:val="auto"/>
                <w:spacing w:val="2"/>
                <w:kern w:val="0"/>
                <w:sz w:val="24"/>
                <w:highlight w:val="none"/>
              </w:rPr>
            </w:pPr>
          </w:p>
        </w:tc>
        <w:tc>
          <w:tcPr>
            <w:tcW w:w="5008" w:type="dxa"/>
            <w:tcBorders>
              <w:top w:val="single" w:color="auto" w:sz="6" w:space="0"/>
              <w:left w:val="single" w:color="auto" w:sz="6" w:space="0"/>
              <w:bottom w:val="single" w:color="auto" w:sz="6" w:space="0"/>
              <w:right w:val="single" w:color="auto" w:sz="6" w:space="0"/>
            </w:tcBorders>
            <w:noWrap w:val="0"/>
            <w:vAlign w:val="center"/>
          </w:tcPr>
          <w:p w14:paraId="0D25EA98">
            <w:pPr>
              <w:spacing w:line="480" w:lineRule="exact"/>
              <w:ind w:left="-90" w:leftChars="-43" w:firstLine="244" w:firstLineChars="100"/>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注册建造师等级：</w:t>
            </w:r>
          </w:p>
        </w:tc>
      </w:tr>
      <w:tr w14:paraId="4A58124B">
        <w:tblPrEx>
          <w:tblCellMar>
            <w:top w:w="0" w:type="dxa"/>
            <w:left w:w="108" w:type="dxa"/>
            <w:bottom w:w="0" w:type="dxa"/>
            <w:right w:w="108" w:type="dxa"/>
          </w:tblCellMar>
        </w:tblPrEx>
        <w:trPr>
          <w:trHeight w:val="432" w:hRule="atLeast"/>
        </w:trPr>
        <w:tc>
          <w:tcPr>
            <w:tcW w:w="1181" w:type="dxa"/>
            <w:tcBorders>
              <w:top w:val="single" w:color="auto" w:sz="6" w:space="0"/>
              <w:left w:val="single" w:color="auto" w:sz="6" w:space="0"/>
              <w:bottom w:val="single" w:color="auto" w:sz="6" w:space="0"/>
              <w:right w:val="single" w:color="auto" w:sz="6" w:space="0"/>
            </w:tcBorders>
            <w:noWrap w:val="0"/>
            <w:vAlign w:val="center"/>
          </w:tcPr>
          <w:p w14:paraId="5240EB33">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pacing w:val="2"/>
                <w:kern w:val="0"/>
                <w:sz w:val="24"/>
                <w:highlight w:val="none"/>
              </w:rPr>
              <w:t>3</w:t>
            </w:r>
          </w:p>
        </w:tc>
        <w:tc>
          <w:tcPr>
            <w:tcW w:w="2672" w:type="dxa"/>
            <w:tcBorders>
              <w:top w:val="single" w:color="auto" w:sz="6" w:space="0"/>
              <w:left w:val="single" w:color="auto" w:sz="6" w:space="0"/>
              <w:bottom w:val="single" w:color="auto" w:sz="6" w:space="0"/>
              <w:right w:val="single" w:color="auto" w:sz="6" w:space="0"/>
            </w:tcBorders>
            <w:noWrap w:val="0"/>
            <w:vAlign w:val="center"/>
          </w:tcPr>
          <w:p w14:paraId="28872F81">
            <w:pPr>
              <w:pStyle w:val="14"/>
              <w:overflowPunct w:val="0"/>
              <w:autoSpaceDE w:val="0"/>
              <w:autoSpaceDN w:val="0"/>
              <w:adjustRightInd w:val="0"/>
              <w:snapToGrid w:val="0"/>
              <w:spacing w:line="480" w:lineRule="exact"/>
              <w:rPr>
                <w:rFonts w:hint="eastAsia" w:ascii="宋体" w:hAnsi="宋体" w:eastAsia="宋体" w:cs="宋体"/>
                <w:b/>
                <w:color w:val="auto"/>
                <w:szCs w:val="24"/>
                <w:highlight w:val="none"/>
              </w:rPr>
            </w:pPr>
            <w:r>
              <w:rPr>
                <w:rFonts w:hint="eastAsia" w:ascii="宋体" w:hAnsi="宋体" w:eastAsia="宋体" w:cs="宋体"/>
                <w:color w:val="auto"/>
                <w:spacing w:val="2"/>
                <w:kern w:val="0"/>
                <w:szCs w:val="24"/>
                <w:highlight w:val="none"/>
              </w:rPr>
              <w:t>对招标文件有关投标有效期、合同条款及招标范围等实质性内容是否响应（是或否）</w:t>
            </w:r>
          </w:p>
        </w:tc>
        <w:tc>
          <w:tcPr>
            <w:tcW w:w="5008" w:type="dxa"/>
            <w:tcBorders>
              <w:top w:val="single" w:color="auto" w:sz="6" w:space="0"/>
              <w:left w:val="single" w:color="auto" w:sz="6" w:space="0"/>
              <w:bottom w:val="single" w:color="auto" w:sz="6" w:space="0"/>
              <w:right w:val="single" w:color="auto" w:sz="6" w:space="0"/>
            </w:tcBorders>
            <w:noWrap w:val="0"/>
            <w:vAlign w:val="center"/>
          </w:tcPr>
          <w:p w14:paraId="3DE868C4">
            <w:pPr>
              <w:spacing w:line="480" w:lineRule="exact"/>
              <w:ind w:left="-90"/>
              <w:jc w:val="center"/>
              <w:rPr>
                <w:rFonts w:hint="eastAsia" w:ascii="宋体" w:hAnsi="宋体" w:eastAsia="宋体" w:cs="宋体"/>
                <w:color w:val="auto"/>
                <w:sz w:val="24"/>
                <w:highlight w:val="none"/>
              </w:rPr>
            </w:pPr>
          </w:p>
        </w:tc>
      </w:tr>
      <w:tr w14:paraId="2E3B7221">
        <w:tblPrEx>
          <w:tblCellMar>
            <w:top w:w="0" w:type="dxa"/>
            <w:left w:w="108" w:type="dxa"/>
            <w:bottom w:w="0" w:type="dxa"/>
            <w:right w:w="108" w:type="dxa"/>
          </w:tblCellMar>
        </w:tblPrEx>
        <w:trPr>
          <w:trHeight w:val="218" w:hRule="atLeast"/>
        </w:trPr>
        <w:tc>
          <w:tcPr>
            <w:tcW w:w="1181" w:type="dxa"/>
            <w:vMerge w:val="restart"/>
            <w:tcBorders>
              <w:top w:val="single" w:color="auto" w:sz="6" w:space="0"/>
              <w:left w:val="single" w:color="auto" w:sz="6" w:space="0"/>
              <w:right w:val="single" w:color="auto" w:sz="6" w:space="0"/>
            </w:tcBorders>
            <w:noWrap w:val="0"/>
            <w:vAlign w:val="center"/>
          </w:tcPr>
          <w:p w14:paraId="5A5D301D">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672" w:type="dxa"/>
            <w:vMerge w:val="restart"/>
            <w:tcBorders>
              <w:top w:val="single" w:color="auto" w:sz="6" w:space="0"/>
              <w:left w:val="single" w:color="auto" w:sz="6" w:space="0"/>
              <w:right w:val="single" w:color="auto" w:sz="6" w:space="0"/>
            </w:tcBorders>
            <w:noWrap w:val="0"/>
            <w:vAlign w:val="center"/>
          </w:tcPr>
          <w:p w14:paraId="2EE65495">
            <w:pPr>
              <w:spacing w:line="480" w:lineRule="exact"/>
              <w:ind w:left="-9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投标保证（人民币）</w:t>
            </w:r>
          </w:p>
        </w:tc>
        <w:tc>
          <w:tcPr>
            <w:tcW w:w="5008" w:type="dxa"/>
            <w:tcBorders>
              <w:top w:val="single" w:color="auto" w:sz="6" w:space="0"/>
              <w:left w:val="single" w:color="auto" w:sz="6" w:space="0"/>
              <w:bottom w:val="single" w:color="auto" w:sz="6" w:space="0"/>
              <w:right w:val="single" w:color="auto" w:sz="6" w:space="0"/>
            </w:tcBorders>
            <w:noWrap w:val="0"/>
            <w:vAlign w:val="center"/>
          </w:tcPr>
          <w:p w14:paraId="4A4EB693">
            <w:pPr>
              <w:spacing w:line="480" w:lineRule="exact"/>
              <w:ind w:left="-90"/>
              <w:rPr>
                <w:rFonts w:hint="eastAsia" w:ascii="宋体" w:hAnsi="宋体" w:eastAsia="宋体" w:cs="宋体"/>
                <w:color w:val="auto"/>
                <w:sz w:val="24"/>
                <w:highlight w:val="none"/>
              </w:rPr>
            </w:pPr>
            <w:r>
              <w:rPr>
                <w:rFonts w:hint="eastAsia" w:ascii="宋体" w:hAnsi="宋体" w:eastAsia="宋体" w:cs="宋体"/>
                <w:color w:val="auto"/>
                <w:sz w:val="24"/>
                <w:highlight w:val="none"/>
              </w:rPr>
              <w:t>　金额：　　　　万元</w:t>
            </w:r>
          </w:p>
        </w:tc>
      </w:tr>
      <w:tr w14:paraId="72094024">
        <w:tblPrEx>
          <w:tblCellMar>
            <w:top w:w="0" w:type="dxa"/>
            <w:left w:w="108" w:type="dxa"/>
            <w:bottom w:w="0" w:type="dxa"/>
            <w:right w:w="108" w:type="dxa"/>
          </w:tblCellMar>
        </w:tblPrEx>
        <w:trPr>
          <w:trHeight w:val="217" w:hRule="atLeast"/>
        </w:trPr>
        <w:tc>
          <w:tcPr>
            <w:tcW w:w="1181" w:type="dxa"/>
            <w:vMerge w:val="continue"/>
            <w:tcBorders>
              <w:left w:val="single" w:color="auto" w:sz="6" w:space="0"/>
              <w:bottom w:val="single" w:color="auto" w:sz="6" w:space="0"/>
              <w:right w:val="single" w:color="auto" w:sz="6" w:space="0"/>
            </w:tcBorders>
            <w:noWrap w:val="0"/>
            <w:vAlign w:val="center"/>
          </w:tcPr>
          <w:p w14:paraId="102F4872">
            <w:pPr>
              <w:spacing w:line="480" w:lineRule="exact"/>
              <w:ind w:left="-90"/>
              <w:jc w:val="center"/>
              <w:rPr>
                <w:rFonts w:hint="eastAsia" w:ascii="宋体" w:hAnsi="宋体" w:eastAsia="宋体" w:cs="宋体"/>
                <w:color w:val="auto"/>
                <w:sz w:val="24"/>
                <w:highlight w:val="none"/>
              </w:rPr>
            </w:pPr>
          </w:p>
        </w:tc>
        <w:tc>
          <w:tcPr>
            <w:tcW w:w="2672" w:type="dxa"/>
            <w:vMerge w:val="continue"/>
            <w:tcBorders>
              <w:left w:val="single" w:color="auto" w:sz="6" w:space="0"/>
              <w:bottom w:val="single" w:color="auto" w:sz="6" w:space="0"/>
              <w:right w:val="single" w:color="auto" w:sz="6" w:space="0"/>
            </w:tcBorders>
            <w:noWrap w:val="0"/>
            <w:vAlign w:val="center"/>
          </w:tcPr>
          <w:p w14:paraId="0E7D08AF">
            <w:pPr>
              <w:spacing w:line="480" w:lineRule="exact"/>
              <w:ind w:left="-90"/>
              <w:jc w:val="center"/>
              <w:rPr>
                <w:rFonts w:hint="eastAsia" w:ascii="宋体" w:hAnsi="宋体" w:eastAsia="宋体" w:cs="宋体"/>
                <w:color w:val="auto"/>
                <w:sz w:val="24"/>
                <w:highlight w:val="none"/>
              </w:rPr>
            </w:pPr>
          </w:p>
        </w:tc>
        <w:tc>
          <w:tcPr>
            <w:tcW w:w="5008" w:type="dxa"/>
            <w:tcBorders>
              <w:top w:val="single" w:color="auto" w:sz="6" w:space="0"/>
              <w:left w:val="single" w:color="auto" w:sz="6" w:space="0"/>
              <w:bottom w:val="single" w:color="auto" w:sz="6" w:space="0"/>
              <w:right w:val="single" w:color="auto" w:sz="6" w:space="0"/>
            </w:tcBorders>
            <w:noWrap w:val="0"/>
            <w:vAlign w:val="center"/>
          </w:tcPr>
          <w:p w14:paraId="52603B22">
            <w:pPr>
              <w:spacing w:line="480" w:lineRule="exact"/>
              <w:ind w:left="-90" w:leftChars="-4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方</w:t>
            </w:r>
            <w:r>
              <w:rPr>
                <w:rFonts w:hint="eastAsia" w:ascii="宋体" w:hAnsi="宋体" w:eastAsia="宋体" w:cs="宋体"/>
                <w:color w:val="auto"/>
                <w:kern w:val="0"/>
                <w:sz w:val="24"/>
                <w:highlight w:val="none"/>
              </w:rPr>
              <w:t>式：</w:t>
            </w:r>
          </w:p>
        </w:tc>
      </w:tr>
      <w:tr w14:paraId="6C83DC46">
        <w:tblPrEx>
          <w:tblCellMar>
            <w:top w:w="0" w:type="dxa"/>
            <w:left w:w="108" w:type="dxa"/>
            <w:bottom w:w="0" w:type="dxa"/>
            <w:right w:w="108" w:type="dxa"/>
          </w:tblCellMar>
        </w:tblPrEx>
        <w:trPr>
          <w:trHeight w:val="567" w:hRule="exact"/>
        </w:trPr>
        <w:tc>
          <w:tcPr>
            <w:tcW w:w="1181" w:type="dxa"/>
            <w:tcBorders>
              <w:top w:val="single" w:color="auto" w:sz="6" w:space="0"/>
              <w:left w:val="single" w:color="auto" w:sz="6" w:space="0"/>
              <w:bottom w:val="single" w:color="auto" w:sz="6" w:space="0"/>
              <w:right w:val="single" w:color="auto" w:sz="6" w:space="0"/>
            </w:tcBorders>
            <w:noWrap w:val="0"/>
            <w:vAlign w:val="center"/>
          </w:tcPr>
          <w:p w14:paraId="2A492D63">
            <w:pPr>
              <w:spacing w:line="480" w:lineRule="exact"/>
              <w:ind w:left="-9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2672" w:type="dxa"/>
            <w:tcBorders>
              <w:top w:val="single" w:color="auto" w:sz="6" w:space="0"/>
              <w:left w:val="single" w:color="auto" w:sz="6" w:space="0"/>
              <w:bottom w:val="single" w:color="auto" w:sz="6" w:space="0"/>
              <w:right w:val="single" w:color="auto" w:sz="6" w:space="0"/>
            </w:tcBorders>
            <w:noWrap w:val="0"/>
            <w:vAlign w:val="center"/>
          </w:tcPr>
          <w:p w14:paraId="4658ECF9">
            <w:pPr>
              <w:spacing w:line="48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pacing w:val="2"/>
                <w:kern w:val="0"/>
                <w:sz w:val="24"/>
                <w:highlight w:val="none"/>
              </w:rPr>
              <w:t>工期（日历天）</w:t>
            </w:r>
          </w:p>
        </w:tc>
        <w:tc>
          <w:tcPr>
            <w:tcW w:w="5008" w:type="dxa"/>
            <w:tcBorders>
              <w:top w:val="single" w:color="auto" w:sz="6" w:space="0"/>
              <w:left w:val="single" w:color="auto" w:sz="6" w:space="0"/>
              <w:bottom w:val="single" w:color="auto" w:sz="6" w:space="0"/>
              <w:right w:val="single" w:color="auto" w:sz="6" w:space="0"/>
            </w:tcBorders>
            <w:noWrap w:val="0"/>
            <w:vAlign w:val="center"/>
          </w:tcPr>
          <w:p w14:paraId="52C05A83">
            <w:pPr>
              <w:spacing w:line="480" w:lineRule="exact"/>
              <w:jc w:val="center"/>
              <w:rPr>
                <w:rFonts w:hint="eastAsia" w:ascii="宋体" w:hAnsi="宋体" w:eastAsia="宋体" w:cs="宋体"/>
                <w:color w:val="auto"/>
                <w:sz w:val="24"/>
                <w:highlight w:val="none"/>
              </w:rPr>
            </w:pPr>
          </w:p>
        </w:tc>
      </w:tr>
      <w:tr w14:paraId="641D645F">
        <w:tblPrEx>
          <w:tblCellMar>
            <w:top w:w="0" w:type="dxa"/>
            <w:left w:w="108" w:type="dxa"/>
            <w:bottom w:w="0" w:type="dxa"/>
            <w:right w:w="108" w:type="dxa"/>
          </w:tblCellMar>
        </w:tblPrEx>
        <w:trPr>
          <w:trHeight w:val="567" w:hRule="exact"/>
        </w:trPr>
        <w:tc>
          <w:tcPr>
            <w:tcW w:w="1181" w:type="dxa"/>
            <w:tcBorders>
              <w:top w:val="single" w:color="auto" w:sz="6" w:space="0"/>
              <w:left w:val="single" w:color="auto" w:sz="6" w:space="0"/>
              <w:bottom w:val="single" w:color="auto" w:sz="6" w:space="0"/>
              <w:right w:val="single" w:color="auto" w:sz="6" w:space="0"/>
            </w:tcBorders>
            <w:noWrap w:val="0"/>
            <w:vAlign w:val="center"/>
          </w:tcPr>
          <w:p w14:paraId="73F6DA3D">
            <w:pPr>
              <w:spacing w:line="48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2672" w:type="dxa"/>
            <w:tcBorders>
              <w:top w:val="single" w:color="auto" w:sz="6" w:space="0"/>
              <w:left w:val="single" w:color="auto" w:sz="6" w:space="0"/>
              <w:bottom w:val="single" w:color="auto" w:sz="6" w:space="0"/>
              <w:right w:val="single" w:color="auto" w:sz="6" w:space="0"/>
            </w:tcBorders>
            <w:noWrap w:val="0"/>
            <w:vAlign w:val="center"/>
          </w:tcPr>
          <w:p w14:paraId="17600299">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质量等级</w:t>
            </w:r>
          </w:p>
        </w:tc>
        <w:tc>
          <w:tcPr>
            <w:tcW w:w="5008" w:type="dxa"/>
            <w:tcBorders>
              <w:top w:val="single" w:color="auto" w:sz="6" w:space="0"/>
              <w:left w:val="single" w:color="auto" w:sz="6" w:space="0"/>
              <w:bottom w:val="single" w:color="auto" w:sz="6" w:space="0"/>
              <w:right w:val="single" w:color="auto" w:sz="6" w:space="0"/>
            </w:tcBorders>
            <w:noWrap w:val="0"/>
            <w:vAlign w:val="center"/>
          </w:tcPr>
          <w:p w14:paraId="68F3CEEF">
            <w:pPr>
              <w:spacing w:line="480" w:lineRule="exact"/>
              <w:jc w:val="center"/>
              <w:rPr>
                <w:rFonts w:hint="eastAsia" w:ascii="宋体" w:hAnsi="宋体" w:eastAsia="宋体" w:cs="宋体"/>
                <w:color w:val="auto"/>
                <w:kern w:val="0"/>
                <w:sz w:val="24"/>
                <w:highlight w:val="none"/>
              </w:rPr>
            </w:pPr>
          </w:p>
        </w:tc>
      </w:tr>
    </w:tbl>
    <w:p w14:paraId="032DC30B">
      <w:pPr>
        <w:spacing w:line="480" w:lineRule="exact"/>
        <w:rPr>
          <w:rFonts w:hint="eastAsia" w:ascii="宋体" w:hAnsi="宋体" w:eastAsia="宋体" w:cs="宋体"/>
          <w:color w:val="auto"/>
          <w:szCs w:val="21"/>
          <w:highlight w:val="none"/>
        </w:rPr>
      </w:pPr>
    </w:p>
    <w:p w14:paraId="537010CB">
      <w:pPr>
        <w:bidi w:val="0"/>
        <w:rPr>
          <w:rFonts w:hint="eastAsia" w:ascii="宋体" w:hAnsi="宋体" w:eastAsia="宋体" w:cs="宋体"/>
          <w:color w:val="auto"/>
        </w:rPr>
      </w:pPr>
      <w:bookmarkStart w:id="342" w:name="_Toc263413234"/>
      <w:bookmarkStart w:id="343" w:name="_Toc256773235"/>
    </w:p>
    <w:p w14:paraId="03BD2579">
      <w:pPr>
        <w:bidi w:val="0"/>
        <w:rPr>
          <w:rFonts w:hint="eastAsia" w:ascii="宋体" w:hAnsi="宋体" w:eastAsia="宋体" w:cs="宋体"/>
          <w:color w:val="auto"/>
        </w:rPr>
      </w:pPr>
    </w:p>
    <w:p w14:paraId="7FA07D4E">
      <w:pPr>
        <w:bidi w:val="0"/>
        <w:rPr>
          <w:rFonts w:hint="eastAsia" w:ascii="宋体" w:hAnsi="宋体" w:eastAsia="宋体" w:cs="宋体"/>
          <w:color w:val="auto"/>
        </w:rPr>
      </w:pPr>
    </w:p>
    <w:p w14:paraId="71E9278C">
      <w:pPr>
        <w:bidi w:val="0"/>
        <w:rPr>
          <w:rFonts w:hint="eastAsia" w:ascii="宋体" w:hAnsi="宋体" w:eastAsia="宋体" w:cs="宋体"/>
          <w:color w:val="auto"/>
        </w:rPr>
      </w:pPr>
    </w:p>
    <w:p w14:paraId="5A5BDCA6">
      <w:pPr>
        <w:bidi w:val="0"/>
        <w:rPr>
          <w:rFonts w:hint="eastAsia" w:ascii="宋体" w:hAnsi="宋体" w:eastAsia="宋体" w:cs="宋体"/>
          <w:color w:val="auto"/>
        </w:rPr>
      </w:pPr>
    </w:p>
    <w:p w14:paraId="0E5730F9">
      <w:pPr>
        <w:bidi w:val="0"/>
        <w:rPr>
          <w:rFonts w:hint="eastAsia" w:ascii="宋体" w:hAnsi="宋体" w:eastAsia="宋体" w:cs="宋体"/>
          <w:color w:val="auto"/>
        </w:rPr>
      </w:pPr>
    </w:p>
    <w:p w14:paraId="49570D17">
      <w:pPr>
        <w:bidi w:val="0"/>
        <w:rPr>
          <w:rFonts w:hint="eastAsia" w:ascii="宋体" w:hAnsi="宋体" w:eastAsia="宋体" w:cs="宋体"/>
          <w:color w:val="auto"/>
        </w:rPr>
      </w:pPr>
    </w:p>
    <w:p w14:paraId="32EBAFFA">
      <w:pPr>
        <w:bidi w:val="0"/>
        <w:rPr>
          <w:rFonts w:hint="eastAsia" w:ascii="宋体" w:hAnsi="宋体" w:eastAsia="宋体" w:cs="宋体"/>
          <w:color w:val="auto"/>
        </w:rPr>
      </w:pPr>
    </w:p>
    <w:p w14:paraId="79F29243">
      <w:pPr>
        <w:bidi w:val="0"/>
        <w:rPr>
          <w:rFonts w:hint="eastAsia" w:ascii="宋体" w:hAnsi="宋体" w:eastAsia="宋体" w:cs="宋体"/>
          <w:color w:val="auto"/>
        </w:rPr>
      </w:pPr>
    </w:p>
    <w:p w14:paraId="42003AB4">
      <w:pPr>
        <w:bidi w:val="0"/>
        <w:rPr>
          <w:rFonts w:hint="eastAsia" w:ascii="宋体" w:hAnsi="宋体" w:eastAsia="宋体" w:cs="宋体"/>
          <w:color w:val="auto"/>
        </w:rPr>
      </w:pPr>
    </w:p>
    <w:p w14:paraId="1C09742A">
      <w:pPr>
        <w:bidi w:val="0"/>
        <w:rPr>
          <w:rFonts w:hint="eastAsia" w:ascii="宋体" w:hAnsi="宋体" w:eastAsia="宋体" w:cs="宋体"/>
          <w:color w:val="auto"/>
        </w:rPr>
      </w:pPr>
    </w:p>
    <w:p w14:paraId="62D60912">
      <w:pPr>
        <w:bidi w:val="0"/>
        <w:rPr>
          <w:rFonts w:hint="eastAsia" w:ascii="宋体" w:hAnsi="宋体" w:eastAsia="宋体" w:cs="宋体"/>
          <w:color w:val="auto"/>
        </w:rPr>
      </w:pPr>
    </w:p>
    <w:p w14:paraId="00B08B8F">
      <w:pPr>
        <w:bidi w:val="0"/>
        <w:rPr>
          <w:rFonts w:hint="eastAsia" w:ascii="宋体" w:hAnsi="宋体" w:eastAsia="宋体" w:cs="宋体"/>
          <w:color w:val="auto"/>
        </w:rPr>
      </w:pPr>
    </w:p>
    <w:p w14:paraId="5B683E8D">
      <w:pPr>
        <w:bidi w:val="0"/>
        <w:rPr>
          <w:rFonts w:hint="eastAsia" w:ascii="宋体" w:hAnsi="宋体" w:eastAsia="宋体" w:cs="宋体"/>
          <w:color w:val="auto"/>
        </w:rPr>
      </w:pPr>
    </w:p>
    <w:p w14:paraId="6F82B487">
      <w:pPr>
        <w:bidi w:val="0"/>
        <w:rPr>
          <w:rFonts w:hint="eastAsia" w:ascii="宋体" w:hAnsi="宋体" w:eastAsia="宋体" w:cs="宋体"/>
          <w:color w:val="auto"/>
        </w:rPr>
      </w:pPr>
    </w:p>
    <w:p w14:paraId="7EBD3E69">
      <w:pPr>
        <w:bidi w:val="0"/>
        <w:rPr>
          <w:rFonts w:hint="eastAsia" w:ascii="宋体" w:hAnsi="宋体" w:eastAsia="宋体" w:cs="宋体"/>
          <w:color w:val="auto"/>
        </w:rPr>
      </w:pPr>
    </w:p>
    <w:p w14:paraId="0027D303">
      <w:pPr>
        <w:bidi w:val="0"/>
        <w:rPr>
          <w:rFonts w:hint="eastAsia" w:ascii="宋体" w:hAnsi="宋体" w:eastAsia="宋体" w:cs="宋体"/>
          <w:color w:val="auto"/>
        </w:rPr>
      </w:pPr>
    </w:p>
    <w:p w14:paraId="4B3E222D">
      <w:pPr>
        <w:bidi w:val="0"/>
        <w:rPr>
          <w:rFonts w:hint="eastAsia" w:ascii="宋体" w:hAnsi="宋体" w:eastAsia="宋体" w:cs="宋体"/>
          <w:color w:val="auto"/>
        </w:rPr>
      </w:pPr>
    </w:p>
    <w:p w14:paraId="76C89559">
      <w:pPr>
        <w:bidi w:val="0"/>
        <w:rPr>
          <w:rFonts w:hint="eastAsia" w:ascii="宋体" w:hAnsi="宋体" w:eastAsia="宋体" w:cs="宋体"/>
          <w:color w:val="auto"/>
        </w:rPr>
      </w:pPr>
    </w:p>
    <w:p w14:paraId="685642D0">
      <w:pPr>
        <w:bidi w:val="0"/>
        <w:rPr>
          <w:rFonts w:hint="eastAsia" w:ascii="宋体" w:hAnsi="宋体" w:eastAsia="宋体" w:cs="宋体"/>
          <w:color w:val="auto"/>
        </w:rPr>
      </w:pPr>
    </w:p>
    <w:p w14:paraId="4338FA8A">
      <w:pPr>
        <w:bidi w:val="0"/>
        <w:rPr>
          <w:rFonts w:hint="eastAsia" w:ascii="宋体" w:hAnsi="宋体" w:eastAsia="宋体" w:cs="宋体"/>
          <w:color w:val="auto"/>
        </w:rPr>
      </w:pPr>
    </w:p>
    <w:p w14:paraId="30A88590">
      <w:pPr>
        <w:bidi w:val="0"/>
        <w:rPr>
          <w:rFonts w:hint="eastAsia" w:ascii="宋体" w:hAnsi="宋体" w:eastAsia="宋体" w:cs="宋体"/>
          <w:color w:val="auto"/>
        </w:rPr>
      </w:pPr>
    </w:p>
    <w:p w14:paraId="5BF206D9">
      <w:pPr>
        <w:spacing w:line="48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（三）投标函附录二</w:t>
      </w:r>
    </w:p>
    <w:p w14:paraId="7EC102B8">
      <w:pPr>
        <w:spacing w:line="480" w:lineRule="exact"/>
        <w:rPr>
          <w:rFonts w:hint="eastAsia" w:ascii="宋体" w:hAnsi="宋体" w:eastAsia="宋体" w:cs="宋体"/>
          <w:color w:val="auto"/>
          <w:sz w:val="24"/>
          <w:highlight w:val="none"/>
        </w:rPr>
      </w:pPr>
    </w:p>
    <w:p w14:paraId="645F756B">
      <w:pPr>
        <w:jc w:val="center"/>
        <w:rPr>
          <w:rFonts w:hint="eastAsia" w:ascii="宋体" w:hAnsi="宋体" w:eastAsia="宋体" w:cs="宋体"/>
          <w:b/>
          <w:color w:val="auto"/>
          <w:szCs w:val="21"/>
          <w:highlight w:val="none"/>
          <w:bdr w:val="single" w:color="auto" w:sz="4" w:space="0"/>
        </w:rPr>
      </w:pP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rPr>
        <w:t>工程农民工工资支付承诺书</w:t>
      </w:r>
    </w:p>
    <w:p w14:paraId="383BA329">
      <w:pPr>
        <w:jc w:val="center"/>
        <w:rPr>
          <w:rFonts w:hint="eastAsia" w:ascii="宋体" w:hAnsi="宋体" w:eastAsia="宋体" w:cs="宋体"/>
          <w:b/>
          <w:color w:val="auto"/>
          <w:szCs w:val="21"/>
          <w:highlight w:val="none"/>
          <w:bdr w:val="single" w:color="auto" w:sz="4" w:space="0"/>
        </w:rPr>
      </w:pPr>
    </w:p>
    <w:p w14:paraId="1769AF80">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贯彻落实《国务院办公厅关于切实解决企业拖欠农民工工资问题的紧急通知》之有关精神，为防范建设工程项目发生拖欠工资问题，落实好国家和省、市关于工资支付的有关规定，依法保障劳动者合法权益，特作如下承诺并保证履行：</w:t>
      </w:r>
    </w:p>
    <w:p w14:paraId="51B36F5B">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1、本公司保证自觉遵守劳动保障法规和建设市场管理规定，自觉服从人力资源和社会保障部门和水利行政主管部门的监督管理，自觉接受建设单位和监理单位对工程项目工资支付情况的监督。</w:t>
      </w:r>
    </w:p>
    <w:p w14:paraId="0D41A1EC">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公司保证依法招用工，依法签订劳动合同，依法规范用工管理与工资支付行为，我公司将在工程所在地银行开设农民工工资专用账户，建立健全施工现场人员名册备查制度、农民工记工考勤卡制度和工资发放监督公示牌制度。</w:t>
      </w:r>
    </w:p>
    <w:p w14:paraId="3DBC0AE5">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3、本公司确保所承建项目的所有劳动者都能依法按时足额领取工资。若出现拖欠劳动者工资情况，由行政主管部门从本企业的质量保留金中划拨资金（提款）用于支付欠薪。</w:t>
      </w:r>
    </w:p>
    <w:p w14:paraId="55D4CF5F">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4、如因农民工工资发放不到位或处置不力，导致农民工有不同形式的上访、闹访、信访等恶性事件的发生，我公司愿意承担由此造成的一切不良后果，并根据韶市水建管</w:t>
      </w:r>
      <w:r>
        <w:rPr>
          <w:rFonts w:hint="eastAsia" w:ascii="宋体" w:hAnsi="宋体" w:eastAsia="宋体" w:cs="宋体"/>
          <w:color w:val="auto"/>
          <w:sz w:val="24"/>
          <w:szCs w:val="24"/>
          <w:highlight w:val="none"/>
          <w:lang w:eastAsia="zh-CN"/>
        </w:rPr>
        <w:t>〔2013〕43号</w:t>
      </w:r>
      <w:r>
        <w:rPr>
          <w:rFonts w:hint="eastAsia" w:ascii="宋体" w:hAnsi="宋体" w:eastAsia="宋体" w:cs="宋体"/>
          <w:color w:val="auto"/>
          <w:sz w:val="24"/>
          <w:szCs w:val="24"/>
          <w:highlight w:val="none"/>
        </w:rPr>
        <w:t>文，记入本企业不良记录档案。</w:t>
      </w:r>
    </w:p>
    <w:p w14:paraId="18A08FB2">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5、我方保证在签订合同之日起一个月内到人力资源和社会保障局办理工资保证金登记手续，并到指定的银行设立工资保证金专用账户，按照中标价的3%一次性提取资金存入该账户或提交有效的银行保函。</w:t>
      </w:r>
    </w:p>
    <w:p w14:paraId="31F26239">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6、我公司承诺不因任何原因特别是不以拖欠农民工工资为由，要求提前退还质量保留金。</w:t>
      </w:r>
    </w:p>
    <w:p w14:paraId="6A152F26">
      <w:pPr>
        <w:shd w:val="clear" w:color="auto" w:fill="auto"/>
        <w:spacing w:line="360" w:lineRule="auto"/>
        <w:ind w:firstLine="435"/>
        <w:rPr>
          <w:rFonts w:hint="eastAsia" w:ascii="宋体" w:hAnsi="宋体" w:eastAsia="宋体" w:cs="宋体"/>
          <w:color w:val="auto"/>
          <w:sz w:val="24"/>
          <w:szCs w:val="24"/>
          <w:highlight w:val="none"/>
        </w:rPr>
      </w:pPr>
    </w:p>
    <w:p w14:paraId="2A24E52F">
      <w:pPr>
        <w:shd w:val="clear" w:color="auto" w:fill="auto"/>
        <w:spacing w:line="360" w:lineRule="auto"/>
        <w:ind w:firstLine="435"/>
        <w:rPr>
          <w:rFonts w:hint="eastAsia" w:ascii="宋体" w:hAnsi="宋体" w:eastAsia="宋体" w:cs="宋体"/>
          <w:color w:val="auto"/>
          <w:sz w:val="24"/>
          <w:szCs w:val="24"/>
          <w:highlight w:val="none"/>
        </w:rPr>
      </w:pPr>
    </w:p>
    <w:p w14:paraId="65DAAF0D">
      <w:pPr>
        <w:shd w:val="clear" w:color="auto" w:fill="auto"/>
        <w:spacing w:line="360" w:lineRule="auto"/>
        <w:textAlignment w:val="baseline"/>
        <w:rPr>
          <w:rFonts w:hint="eastAsia" w:ascii="宋体" w:hAnsi="宋体" w:eastAsia="宋体" w:cs="宋体"/>
          <w:color w:val="auto"/>
          <w:sz w:val="24"/>
          <w:szCs w:val="24"/>
          <w:highlight w:val="none"/>
        </w:rPr>
      </w:pPr>
    </w:p>
    <w:p w14:paraId="7E6033E2">
      <w:pPr>
        <w:shd w:val="clear" w:color="auto" w:fill="auto"/>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    法定代表人或其授权代理人：（签名或盖章）</w:t>
      </w:r>
    </w:p>
    <w:p w14:paraId="6B607558">
      <w:pPr>
        <w:shd w:val="clear" w:color="auto" w:fill="auto"/>
        <w:spacing w:line="360" w:lineRule="auto"/>
        <w:textAlignment w:val="baseline"/>
        <w:rPr>
          <w:rFonts w:hint="eastAsia" w:ascii="宋体" w:hAnsi="宋体" w:eastAsia="宋体" w:cs="宋体"/>
          <w:color w:val="auto"/>
          <w:sz w:val="24"/>
          <w:szCs w:val="24"/>
          <w:highlight w:val="none"/>
        </w:rPr>
      </w:pPr>
    </w:p>
    <w:p w14:paraId="354A5E98">
      <w:pPr>
        <w:shd w:val="clear" w:color="auto" w:fill="auto"/>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009ACF9">
      <w:pPr>
        <w:spacing w:line="48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344" w:name="_Toc28944"/>
      <w:bookmarkStart w:id="345" w:name="_Toc17030"/>
      <w:bookmarkStart w:id="346" w:name="_Toc30192"/>
      <w:r>
        <w:rPr>
          <w:rFonts w:hint="eastAsia" w:ascii="宋体" w:hAnsi="宋体" w:eastAsia="宋体" w:cs="宋体"/>
          <w:b/>
          <w:color w:val="auto"/>
          <w:sz w:val="32"/>
          <w:szCs w:val="32"/>
          <w:highlight w:val="none"/>
        </w:rPr>
        <w:t>二、法定代表人</w:t>
      </w:r>
      <w:bookmarkEnd w:id="342"/>
      <w:bookmarkEnd w:id="343"/>
      <w:r>
        <w:rPr>
          <w:rFonts w:hint="eastAsia" w:ascii="宋体" w:hAnsi="宋体" w:eastAsia="宋体" w:cs="宋体"/>
          <w:b/>
          <w:color w:val="auto"/>
          <w:sz w:val="32"/>
          <w:szCs w:val="32"/>
          <w:highlight w:val="none"/>
        </w:rPr>
        <w:t>证明书</w:t>
      </w:r>
      <w:bookmarkEnd w:id="344"/>
      <w:bookmarkEnd w:id="345"/>
      <w:bookmarkEnd w:id="346"/>
    </w:p>
    <w:p w14:paraId="4011CA77">
      <w:pPr>
        <w:spacing w:line="480" w:lineRule="exact"/>
        <w:rPr>
          <w:rFonts w:hint="eastAsia" w:ascii="宋体" w:hAnsi="宋体" w:eastAsia="宋体" w:cs="宋体"/>
          <w:color w:val="auto"/>
          <w:szCs w:val="21"/>
          <w:highlight w:val="none"/>
        </w:rPr>
      </w:pPr>
    </w:p>
    <w:p w14:paraId="7A8AAF18">
      <w:pPr>
        <w:spacing w:line="480" w:lineRule="exact"/>
        <w:rPr>
          <w:rFonts w:hint="eastAsia" w:ascii="宋体" w:hAnsi="宋体" w:eastAsia="宋体" w:cs="宋体"/>
          <w:color w:val="auto"/>
          <w:szCs w:val="21"/>
          <w:highlight w:val="none"/>
        </w:rPr>
      </w:pPr>
    </w:p>
    <w:p w14:paraId="7E6EFAFB">
      <w:pPr>
        <w:spacing w:line="480" w:lineRule="exact"/>
        <w:rPr>
          <w:rFonts w:hint="eastAsia" w:ascii="宋体" w:hAnsi="宋体" w:eastAsia="宋体" w:cs="宋体"/>
          <w:color w:val="auto"/>
          <w:szCs w:val="21"/>
          <w:highlight w:val="none"/>
        </w:rPr>
      </w:pPr>
    </w:p>
    <w:p w14:paraId="6A81C299">
      <w:pPr>
        <w:spacing w:line="4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14:paraId="51FD6F46">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0696C3A">
      <w:pPr>
        <w:spacing w:line="4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2D92BE75">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2B4EA206">
      <w:pPr>
        <w:spacing w:line="4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637FF107">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61B4E31">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（投标人名称）的法定代表人。 </w:t>
      </w:r>
    </w:p>
    <w:p w14:paraId="08B504FD">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特此证明。 </w:t>
      </w:r>
    </w:p>
    <w:p w14:paraId="45D68946">
      <w:pPr>
        <w:spacing w:line="4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附：法定代表人身份证</w:t>
      </w:r>
      <w:r>
        <w:rPr>
          <w:rFonts w:hint="eastAsia" w:ascii="宋体" w:hAnsi="宋体" w:eastAsia="宋体" w:cs="宋体"/>
          <w:color w:val="auto"/>
          <w:sz w:val="24"/>
          <w:highlight w:val="none"/>
          <w:lang w:val="en-US" w:eastAsia="zh-CN"/>
        </w:rPr>
        <w:t>彩色扫描件</w:t>
      </w:r>
    </w:p>
    <w:p w14:paraId="39B1373D">
      <w:pPr>
        <w:spacing w:line="480" w:lineRule="exact"/>
        <w:rPr>
          <w:rFonts w:hint="eastAsia" w:ascii="宋体" w:hAnsi="宋体" w:eastAsia="宋体" w:cs="宋体"/>
          <w:color w:val="auto"/>
          <w:sz w:val="24"/>
          <w:highlight w:val="none"/>
        </w:rPr>
      </w:pPr>
    </w:p>
    <w:p w14:paraId="75C2574B">
      <w:pPr>
        <w:spacing w:line="480" w:lineRule="exact"/>
        <w:rPr>
          <w:rFonts w:hint="eastAsia" w:ascii="宋体" w:hAnsi="宋体" w:eastAsia="宋体" w:cs="宋体"/>
          <w:color w:val="auto"/>
          <w:sz w:val="24"/>
          <w:highlight w:val="none"/>
        </w:rPr>
      </w:pPr>
    </w:p>
    <w:p w14:paraId="3CD2032E">
      <w:pPr>
        <w:spacing w:line="480" w:lineRule="exact"/>
        <w:rPr>
          <w:rFonts w:hint="eastAsia" w:ascii="宋体" w:hAnsi="宋体" w:eastAsia="宋体" w:cs="宋体"/>
          <w:color w:val="auto"/>
          <w:sz w:val="24"/>
          <w:highlight w:val="none"/>
        </w:rPr>
      </w:pPr>
    </w:p>
    <w:p w14:paraId="1304A70F">
      <w:pPr>
        <w:spacing w:line="480" w:lineRule="exact"/>
        <w:rPr>
          <w:rFonts w:hint="eastAsia" w:ascii="宋体" w:hAnsi="宋体" w:eastAsia="宋体" w:cs="宋体"/>
          <w:color w:val="auto"/>
          <w:sz w:val="24"/>
          <w:highlight w:val="none"/>
        </w:rPr>
      </w:pPr>
    </w:p>
    <w:p w14:paraId="00FAF799">
      <w:pPr>
        <w:spacing w:line="48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（盖单位章） </w:t>
      </w:r>
    </w:p>
    <w:p w14:paraId="100942EB">
      <w:pPr>
        <w:spacing w:line="480" w:lineRule="exact"/>
        <w:jc w:val="right"/>
        <w:rPr>
          <w:rFonts w:hint="eastAsia" w:ascii="宋体" w:hAnsi="宋体" w:eastAsia="宋体" w:cs="宋体"/>
          <w:color w:val="auto"/>
          <w:sz w:val="24"/>
          <w:highlight w:val="none"/>
        </w:rPr>
      </w:pPr>
    </w:p>
    <w:p w14:paraId="34FD98F7">
      <w:pPr>
        <w:spacing w:line="480" w:lineRule="exact"/>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DD0AC80">
      <w:pPr>
        <w:spacing w:line="480" w:lineRule="exact"/>
        <w:rPr>
          <w:rFonts w:hint="eastAsia" w:ascii="宋体" w:hAnsi="宋体" w:eastAsia="宋体" w:cs="宋体"/>
          <w:color w:val="auto"/>
          <w:sz w:val="24"/>
          <w:highlight w:val="none"/>
        </w:rPr>
      </w:pPr>
    </w:p>
    <w:tbl>
      <w:tblPr>
        <w:tblStyle w:val="30"/>
        <w:tblpPr w:leftFromText="180" w:rightFromText="180" w:vertAnchor="text" w:horzAnchor="margin" w:tblpXSpec="center" w:tblpY="75"/>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862"/>
      </w:tblGrid>
      <w:tr w14:paraId="6630D4E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72" w:hRule="atLeast"/>
        </w:trPr>
        <w:tc>
          <w:tcPr>
            <w:tcW w:w="5862" w:type="dxa"/>
            <w:noWrap w:val="0"/>
            <w:vAlign w:val="top"/>
          </w:tcPr>
          <w:p w14:paraId="3CAFE669">
            <w:pPr>
              <w:ind w:firstLine="502"/>
              <w:rPr>
                <w:rFonts w:hint="eastAsia" w:ascii="宋体" w:hAnsi="宋体" w:eastAsia="宋体" w:cs="宋体"/>
                <w:color w:val="auto"/>
                <w:highlight w:val="none"/>
              </w:rPr>
            </w:pPr>
          </w:p>
          <w:p w14:paraId="4429F5A6">
            <w:pPr>
              <w:ind w:firstLine="502"/>
              <w:rPr>
                <w:rFonts w:hint="eastAsia" w:ascii="宋体" w:hAnsi="宋体" w:eastAsia="宋体" w:cs="宋体"/>
                <w:color w:val="auto"/>
                <w:highlight w:val="none"/>
              </w:rPr>
            </w:pPr>
          </w:p>
          <w:p w14:paraId="3A47DF59">
            <w:pPr>
              <w:ind w:firstLine="502"/>
              <w:rPr>
                <w:rFonts w:hint="eastAsia" w:ascii="宋体" w:hAnsi="宋体" w:eastAsia="宋体" w:cs="宋体"/>
                <w:color w:val="auto"/>
                <w:highlight w:val="none"/>
              </w:rPr>
            </w:pPr>
          </w:p>
          <w:p w14:paraId="2D696198">
            <w:pPr>
              <w:ind w:firstLine="502"/>
              <w:rPr>
                <w:rFonts w:hint="eastAsia" w:ascii="宋体" w:hAnsi="宋体" w:eastAsia="宋体" w:cs="宋体"/>
                <w:color w:val="auto"/>
                <w:highlight w:val="none"/>
              </w:rPr>
            </w:pPr>
          </w:p>
          <w:p w14:paraId="774C6DA6">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附法定代表人身份证</w:t>
            </w:r>
            <w:r>
              <w:rPr>
                <w:rFonts w:hint="eastAsia" w:ascii="宋体" w:hAnsi="宋体" w:eastAsia="宋体" w:cs="宋体"/>
                <w:color w:val="auto"/>
                <w:highlight w:val="none"/>
              </w:rPr>
              <w:t>正面及背面</w:t>
            </w:r>
            <w:r>
              <w:rPr>
                <w:rFonts w:hint="eastAsia" w:ascii="宋体" w:hAnsi="宋体" w:eastAsia="宋体" w:cs="宋体"/>
                <w:color w:val="auto"/>
                <w:szCs w:val="21"/>
                <w:highlight w:val="none"/>
                <w:lang w:val="en-US" w:eastAsia="zh-CN"/>
              </w:rPr>
              <w:t>彩色扫描</w:t>
            </w:r>
            <w:r>
              <w:rPr>
                <w:rFonts w:hint="eastAsia" w:ascii="宋体" w:hAnsi="宋体" w:eastAsia="宋体" w:cs="宋体"/>
                <w:color w:val="auto"/>
                <w:szCs w:val="21"/>
                <w:highlight w:val="none"/>
              </w:rPr>
              <w:t>件</w:t>
            </w:r>
          </w:p>
        </w:tc>
      </w:tr>
    </w:tbl>
    <w:p w14:paraId="3DE598E7">
      <w:pPr>
        <w:rPr>
          <w:rFonts w:hint="eastAsia" w:ascii="宋体" w:hAnsi="宋体" w:eastAsia="宋体" w:cs="宋体"/>
          <w:color w:val="auto"/>
          <w:sz w:val="24"/>
          <w:highlight w:val="none"/>
        </w:rPr>
      </w:pPr>
    </w:p>
    <w:p w14:paraId="34EB9698">
      <w:pPr>
        <w:numPr>
          <w:ilvl w:val="0"/>
          <w:numId w:val="5"/>
        </w:numPr>
        <w:spacing w:line="480" w:lineRule="exact"/>
        <w:jc w:val="center"/>
        <w:outlineLvl w:val="1"/>
        <w:rPr>
          <w:rFonts w:hint="eastAsia" w:ascii="宋体" w:hAnsi="宋体" w:eastAsia="宋体" w:cs="宋体"/>
          <w:b/>
          <w:color w:val="auto"/>
          <w:sz w:val="32"/>
          <w:szCs w:val="32"/>
          <w:highlight w:val="none"/>
        </w:rPr>
      </w:pPr>
      <w:bookmarkStart w:id="347" w:name="_Toc256773236"/>
      <w:bookmarkStart w:id="348" w:name="_Toc263413235"/>
      <w:r>
        <w:rPr>
          <w:rFonts w:hint="eastAsia" w:ascii="宋体" w:hAnsi="宋体" w:eastAsia="宋体" w:cs="宋体"/>
          <w:b/>
          <w:color w:val="auto"/>
          <w:sz w:val="24"/>
          <w:highlight w:val="none"/>
        </w:rPr>
        <w:br w:type="page"/>
      </w:r>
      <w:bookmarkStart w:id="349" w:name="_Toc20686"/>
      <w:bookmarkStart w:id="350" w:name="_Toc21632"/>
      <w:bookmarkStart w:id="351" w:name="_Toc9189"/>
      <w:r>
        <w:rPr>
          <w:rFonts w:hint="eastAsia" w:ascii="宋体" w:hAnsi="宋体" w:eastAsia="宋体" w:cs="宋体"/>
          <w:b/>
          <w:color w:val="auto"/>
          <w:sz w:val="32"/>
          <w:szCs w:val="32"/>
          <w:highlight w:val="none"/>
        </w:rPr>
        <w:t>授权委托书</w:t>
      </w:r>
      <w:bookmarkEnd w:id="347"/>
      <w:bookmarkEnd w:id="348"/>
      <w:bookmarkEnd w:id="349"/>
      <w:bookmarkEnd w:id="350"/>
      <w:bookmarkEnd w:id="351"/>
    </w:p>
    <w:p w14:paraId="13DDCEEF">
      <w:pPr>
        <w:bidi w:val="0"/>
        <w:rPr>
          <w:rFonts w:hint="eastAsia" w:ascii="宋体" w:hAnsi="宋体" w:eastAsia="宋体" w:cs="宋体"/>
          <w:color w:val="auto"/>
          <w:lang w:eastAsia="zh-CN"/>
        </w:rPr>
      </w:pPr>
    </w:p>
    <w:p w14:paraId="6C124281">
      <w:pPr>
        <w:spacing w:line="48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（投标人名称）的法定代表人，现委托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投标文件、签订合同和处理有关事宜，其法律后果由我方承担。 </w:t>
      </w:r>
    </w:p>
    <w:p w14:paraId="1CBB8D9C">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至投标有效期的期满之日止</w:t>
      </w:r>
      <w:r>
        <w:rPr>
          <w:rFonts w:hint="eastAsia" w:ascii="宋体" w:hAnsi="宋体" w:eastAsia="宋体" w:cs="宋体"/>
          <w:color w:val="auto"/>
          <w:sz w:val="24"/>
          <w:highlight w:val="none"/>
        </w:rPr>
        <w:t xml:space="preserve">。 </w:t>
      </w:r>
    </w:p>
    <w:p w14:paraId="3F1E3E44">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代理人无转委托权。 </w:t>
      </w:r>
    </w:p>
    <w:p w14:paraId="712727DA">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附：法定代表人证明书、授权委托人身份证</w:t>
      </w:r>
      <w:r>
        <w:rPr>
          <w:rFonts w:hint="eastAsia" w:ascii="宋体" w:hAnsi="宋体" w:eastAsia="宋体" w:cs="宋体"/>
          <w:color w:val="auto"/>
          <w:sz w:val="24"/>
          <w:highlight w:val="none"/>
          <w:lang w:val="en-US" w:eastAsia="zh-CN"/>
        </w:rPr>
        <w:t>彩色扫描</w:t>
      </w:r>
      <w:r>
        <w:rPr>
          <w:rFonts w:hint="eastAsia" w:ascii="宋体" w:hAnsi="宋体" w:eastAsia="宋体" w:cs="宋体"/>
          <w:color w:val="auto"/>
          <w:sz w:val="24"/>
          <w:highlight w:val="none"/>
        </w:rPr>
        <w:t>件</w:t>
      </w:r>
    </w:p>
    <w:p w14:paraId="5F014B06">
      <w:pPr>
        <w:spacing w:line="480" w:lineRule="exact"/>
        <w:rPr>
          <w:rFonts w:hint="eastAsia" w:ascii="宋体" w:hAnsi="宋体" w:eastAsia="宋体" w:cs="宋体"/>
          <w:color w:val="auto"/>
          <w:sz w:val="24"/>
          <w:highlight w:val="none"/>
        </w:rPr>
      </w:pPr>
    </w:p>
    <w:p w14:paraId="3E0458F9">
      <w:pPr>
        <w:spacing w:line="480" w:lineRule="exact"/>
        <w:rPr>
          <w:rFonts w:hint="eastAsia" w:ascii="宋体" w:hAnsi="宋体" w:eastAsia="宋体" w:cs="宋体"/>
          <w:color w:val="auto"/>
          <w:sz w:val="24"/>
          <w:highlight w:val="none"/>
        </w:rPr>
      </w:pPr>
    </w:p>
    <w:p w14:paraId="78C3161F">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（盖单位章） </w:t>
      </w:r>
    </w:p>
    <w:p w14:paraId="60A5B4CA">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6D88CCE6">
      <w:pPr>
        <w:spacing w:line="4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p>
    <w:p w14:paraId="14D6E932">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0839F43C">
      <w:pPr>
        <w:spacing w:line="4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p>
    <w:p w14:paraId="56F9596B">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9A54851">
      <w:pPr>
        <w:spacing w:line="480" w:lineRule="exact"/>
        <w:rPr>
          <w:rFonts w:hint="eastAsia" w:ascii="宋体" w:hAnsi="宋体" w:eastAsia="宋体" w:cs="宋体"/>
          <w:color w:val="auto"/>
          <w:szCs w:val="21"/>
          <w:highlight w:val="none"/>
        </w:rPr>
      </w:pPr>
    </w:p>
    <w:p w14:paraId="163C8128">
      <w:pPr>
        <w:spacing w:line="480" w:lineRule="exact"/>
        <w:rPr>
          <w:rFonts w:hint="eastAsia" w:ascii="宋体" w:hAnsi="宋体" w:eastAsia="宋体" w:cs="宋体"/>
          <w:color w:val="auto"/>
          <w:szCs w:val="21"/>
          <w:highlight w:val="none"/>
        </w:rPr>
      </w:pPr>
    </w:p>
    <w:p w14:paraId="2FBF1588">
      <w:pPr>
        <w:spacing w:line="480" w:lineRule="exact"/>
        <w:rPr>
          <w:rFonts w:hint="eastAsia" w:ascii="宋体" w:hAnsi="宋体" w:eastAsia="宋体" w:cs="宋体"/>
          <w:color w:val="auto"/>
          <w:sz w:val="24"/>
          <w:highlight w:val="none"/>
        </w:rPr>
      </w:pPr>
    </w:p>
    <w:p w14:paraId="7E1A193C">
      <w:pPr>
        <w:spacing w:line="360" w:lineRule="auto"/>
        <w:ind w:right="840" w:firstLine="420" w:firstLineChars="200"/>
        <w:jc w:val="right"/>
        <w:rPr>
          <w:rFonts w:hint="eastAsia" w:ascii="宋体" w:hAnsi="宋体" w:eastAsia="宋体" w:cs="宋体"/>
          <w:color w:val="auto"/>
          <w:szCs w:val="21"/>
          <w:highlight w:val="none"/>
        </w:rPr>
      </w:pPr>
    </w:p>
    <w:tbl>
      <w:tblPr>
        <w:tblStyle w:val="30"/>
        <w:tblpPr w:leftFromText="180" w:rightFromText="180" w:vertAnchor="text" w:horzAnchor="margin" w:tblpXSpec="center" w:tblpY="75"/>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862"/>
      </w:tblGrid>
      <w:tr w14:paraId="21FD72B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4" w:hRule="atLeast"/>
        </w:trPr>
        <w:tc>
          <w:tcPr>
            <w:tcW w:w="5862" w:type="dxa"/>
            <w:noWrap w:val="0"/>
            <w:vAlign w:val="top"/>
          </w:tcPr>
          <w:p w14:paraId="60EE9978">
            <w:pPr>
              <w:ind w:firstLine="502"/>
              <w:rPr>
                <w:rFonts w:hint="eastAsia" w:ascii="宋体" w:hAnsi="宋体" w:eastAsia="宋体" w:cs="宋体"/>
                <w:color w:val="auto"/>
                <w:highlight w:val="none"/>
              </w:rPr>
            </w:pPr>
          </w:p>
          <w:p w14:paraId="6091E515">
            <w:pPr>
              <w:ind w:firstLine="502"/>
              <w:rPr>
                <w:rFonts w:hint="eastAsia" w:ascii="宋体" w:hAnsi="宋体" w:eastAsia="宋体" w:cs="宋体"/>
                <w:color w:val="auto"/>
                <w:highlight w:val="none"/>
              </w:rPr>
            </w:pPr>
          </w:p>
          <w:p w14:paraId="19928E1A">
            <w:pPr>
              <w:ind w:firstLine="502"/>
              <w:rPr>
                <w:rFonts w:hint="eastAsia" w:ascii="宋体" w:hAnsi="宋体" w:eastAsia="宋体" w:cs="宋体"/>
                <w:color w:val="auto"/>
                <w:highlight w:val="none"/>
              </w:rPr>
            </w:pPr>
          </w:p>
          <w:p w14:paraId="31999F76">
            <w:pPr>
              <w:ind w:firstLine="502"/>
              <w:rPr>
                <w:rFonts w:hint="eastAsia" w:ascii="宋体" w:hAnsi="宋体" w:eastAsia="宋体" w:cs="宋体"/>
                <w:color w:val="auto"/>
                <w:highlight w:val="none"/>
              </w:rPr>
            </w:pPr>
          </w:p>
          <w:p w14:paraId="41BAD2B1">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附代理人身份证</w:t>
            </w:r>
            <w:r>
              <w:rPr>
                <w:rFonts w:hint="eastAsia" w:ascii="宋体" w:hAnsi="宋体" w:eastAsia="宋体" w:cs="宋体"/>
                <w:color w:val="auto"/>
                <w:highlight w:val="none"/>
              </w:rPr>
              <w:t>正面及背面</w:t>
            </w:r>
            <w:r>
              <w:rPr>
                <w:rFonts w:hint="eastAsia" w:ascii="宋体" w:hAnsi="宋体" w:eastAsia="宋体" w:cs="宋体"/>
                <w:color w:val="auto"/>
                <w:szCs w:val="21"/>
                <w:highlight w:val="none"/>
                <w:lang w:val="en-US" w:eastAsia="zh-CN"/>
              </w:rPr>
              <w:t>彩色扫描</w:t>
            </w:r>
            <w:r>
              <w:rPr>
                <w:rFonts w:hint="eastAsia" w:ascii="宋体" w:hAnsi="宋体" w:eastAsia="宋体" w:cs="宋体"/>
                <w:color w:val="auto"/>
                <w:szCs w:val="21"/>
                <w:highlight w:val="none"/>
              </w:rPr>
              <w:t>件</w:t>
            </w:r>
          </w:p>
        </w:tc>
      </w:tr>
    </w:tbl>
    <w:p w14:paraId="26A7B294">
      <w:pPr>
        <w:spacing w:line="360" w:lineRule="auto"/>
        <w:ind w:right="840" w:firstLine="420" w:firstLineChars="200"/>
        <w:jc w:val="right"/>
        <w:rPr>
          <w:rFonts w:hint="eastAsia" w:ascii="宋体" w:hAnsi="宋体" w:eastAsia="宋体" w:cs="宋体"/>
          <w:color w:val="auto"/>
          <w:szCs w:val="21"/>
          <w:highlight w:val="none"/>
          <w:u w:val="single"/>
        </w:rPr>
      </w:pPr>
    </w:p>
    <w:p w14:paraId="34145A08">
      <w:pPr>
        <w:spacing w:line="360" w:lineRule="auto"/>
        <w:ind w:right="840" w:firstLine="420" w:firstLineChars="200"/>
        <w:jc w:val="right"/>
        <w:rPr>
          <w:rFonts w:hint="eastAsia" w:ascii="宋体" w:hAnsi="宋体" w:eastAsia="宋体" w:cs="宋体"/>
          <w:color w:val="auto"/>
          <w:szCs w:val="21"/>
          <w:highlight w:val="none"/>
          <w:u w:val="single"/>
        </w:rPr>
      </w:pPr>
    </w:p>
    <w:p w14:paraId="71FC2344">
      <w:pPr>
        <w:spacing w:line="360" w:lineRule="auto"/>
        <w:ind w:right="840" w:firstLine="420" w:firstLineChars="200"/>
        <w:jc w:val="right"/>
        <w:rPr>
          <w:rFonts w:hint="eastAsia" w:ascii="宋体" w:hAnsi="宋体" w:eastAsia="宋体" w:cs="宋体"/>
          <w:color w:val="auto"/>
          <w:szCs w:val="21"/>
          <w:highlight w:val="none"/>
          <w:u w:val="single"/>
        </w:rPr>
      </w:pPr>
    </w:p>
    <w:p w14:paraId="1A3698FA">
      <w:pPr>
        <w:spacing w:line="360" w:lineRule="auto"/>
        <w:ind w:right="840" w:firstLine="420" w:firstLineChars="200"/>
        <w:jc w:val="right"/>
        <w:rPr>
          <w:rFonts w:hint="eastAsia" w:ascii="宋体" w:hAnsi="宋体" w:eastAsia="宋体" w:cs="宋体"/>
          <w:color w:val="auto"/>
          <w:szCs w:val="21"/>
          <w:highlight w:val="none"/>
          <w:u w:val="single"/>
        </w:rPr>
      </w:pPr>
    </w:p>
    <w:p w14:paraId="2099C304">
      <w:pPr>
        <w:spacing w:line="360" w:lineRule="auto"/>
        <w:ind w:right="840" w:firstLine="420" w:firstLineChars="200"/>
        <w:jc w:val="right"/>
        <w:rPr>
          <w:rFonts w:hint="eastAsia" w:ascii="宋体" w:hAnsi="宋体" w:eastAsia="宋体" w:cs="宋体"/>
          <w:color w:val="auto"/>
          <w:szCs w:val="21"/>
          <w:highlight w:val="none"/>
          <w:u w:val="single"/>
        </w:rPr>
      </w:pPr>
    </w:p>
    <w:p w14:paraId="5CDEBF87">
      <w:pPr>
        <w:spacing w:line="360" w:lineRule="auto"/>
        <w:ind w:right="840" w:firstLine="420" w:firstLineChars="200"/>
        <w:jc w:val="right"/>
        <w:rPr>
          <w:rFonts w:hint="eastAsia" w:ascii="宋体" w:hAnsi="宋体" w:eastAsia="宋体" w:cs="宋体"/>
          <w:color w:val="auto"/>
          <w:szCs w:val="21"/>
          <w:highlight w:val="none"/>
          <w:u w:val="single"/>
        </w:rPr>
      </w:pPr>
    </w:p>
    <w:p w14:paraId="6CC3E97D">
      <w:pPr>
        <w:spacing w:line="360" w:lineRule="auto"/>
        <w:ind w:right="1260"/>
        <w:rPr>
          <w:rFonts w:hint="eastAsia" w:ascii="宋体" w:hAnsi="宋体" w:eastAsia="宋体" w:cs="宋体"/>
          <w:color w:val="auto"/>
          <w:szCs w:val="21"/>
          <w:highlight w:val="none"/>
          <w:u w:val="single"/>
        </w:rPr>
      </w:pPr>
    </w:p>
    <w:p w14:paraId="40068C1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注：如法人负责投标相关事宜，则无需提供授权委托书。</w:t>
      </w:r>
    </w:p>
    <w:p w14:paraId="62DD55B4">
      <w:pPr>
        <w:spacing w:line="360" w:lineRule="auto"/>
        <w:ind w:right="1260"/>
        <w:rPr>
          <w:rFonts w:hint="eastAsia" w:ascii="宋体" w:hAnsi="宋体" w:eastAsia="宋体" w:cs="宋体"/>
          <w:color w:val="auto"/>
          <w:szCs w:val="21"/>
          <w:highlight w:val="none"/>
          <w:u w:val="single"/>
        </w:rPr>
        <w:sectPr>
          <w:pgSz w:w="11906" w:h="16838"/>
          <w:pgMar w:top="993" w:right="1134" w:bottom="505" w:left="1134" w:header="851" w:footer="737"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4BC6BAC1">
      <w:pPr>
        <w:spacing w:line="360" w:lineRule="auto"/>
        <w:rPr>
          <w:rFonts w:hint="eastAsia" w:ascii="宋体" w:hAnsi="宋体" w:eastAsia="宋体" w:cs="宋体"/>
          <w:color w:val="auto"/>
          <w:szCs w:val="21"/>
          <w:highlight w:val="none"/>
        </w:rPr>
        <w:sectPr>
          <w:type w:val="continuous"/>
          <w:pgSz w:w="11906" w:h="16838"/>
          <w:pgMar w:top="1418" w:right="1134" w:bottom="1418" w:left="113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57211A08">
      <w:pPr>
        <w:spacing w:line="480" w:lineRule="exact"/>
        <w:jc w:val="center"/>
        <w:outlineLvl w:val="1"/>
        <w:rPr>
          <w:rFonts w:hint="eastAsia" w:ascii="宋体" w:hAnsi="宋体" w:eastAsia="宋体" w:cs="宋体"/>
          <w:color w:val="auto"/>
          <w:sz w:val="24"/>
          <w:highlight w:val="none"/>
        </w:rPr>
      </w:pPr>
      <w:bookmarkStart w:id="352" w:name="_Toc263413240"/>
      <w:bookmarkStart w:id="353" w:name="_Toc14038"/>
      <w:bookmarkStart w:id="354" w:name="_Toc256773241"/>
      <w:bookmarkStart w:id="355" w:name="_Toc18392"/>
      <w:bookmarkStart w:id="356" w:name="_Toc14457"/>
      <w:r>
        <w:rPr>
          <w:rFonts w:hint="eastAsia" w:ascii="宋体" w:hAnsi="宋体" w:eastAsia="宋体" w:cs="宋体"/>
          <w:b/>
          <w:color w:val="auto"/>
          <w:sz w:val="32"/>
          <w:szCs w:val="32"/>
          <w:highlight w:val="none"/>
        </w:rPr>
        <w:t>四、项目管理机构表</w:t>
      </w:r>
      <w:bookmarkEnd w:id="352"/>
      <w:bookmarkEnd w:id="353"/>
      <w:bookmarkEnd w:id="354"/>
      <w:bookmarkEnd w:id="355"/>
      <w:bookmarkEnd w:id="356"/>
    </w:p>
    <w:p w14:paraId="427A0219">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（一）项目管理机构组成表</w:t>
      </w:r>
    </w:p>
    <w:tbl>
      <w:tblPr>
        <w:tblStyle w:val="30"/>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103"/>
        <w:gridCol w:w="1022"/>
        <w:gridCol w:w="1184"/>
        <w:gridCol w:w="1103"/>
        <w:gridCol w:w="1103"/>
        <w:gridCol w:w="863"/>
        <w:gridCol w:w="1280"/>
        <w:gridCol w:w="847"/>
      </w:tblGrid>
      <w:tr w14:paraId="0211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20" w:type="dxa"/>
            <w:vMerge w:val="restart"/>
            <w:noWrap w:val="0"/>
            <w:vAlign w:val="center"/>
          </w:tcPr>
          <w:p w14:paraId="5AE781E2">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03" w:type="dxa"/>
            <w:vMerge w:val="restart"/>
            <w:noWrap w:val="0"/>
            <w:vAlign w:val="center"/>
          </w:tcPr>
          <w:p w14:paraId="65C5605D">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022" w:type="dxa"/>
            <w:vMerge w:val="restart"/>
            <w:noWrap w:val="0"/>
            <w:vAlign w:val="center"/>
          </w:tcPr>
          <w:p w14:paraId="4641E99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5533" w:type="dxa"/>
            <w:gridSpan w:val="5"/>
            <w:noWrap w:val="0"/>
            <w:vAlign w:val="center"/>
          </w:tcPr>
          <w:p w14:paraId="51ED3322">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847" w:type="dxa"/>
            <w:vMerge w:val="restart"/>
            <w:noWrap w:val="0"/>
            <w:vAlign w:val="center"/>
          </w:tcPr>
          <w:p w14:paraId="69987B22">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F56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20" w:type="dxa"/>
            <w:vMerge w:val="continue"/>
            <w:noWrap w:val="0"/>
            <w:vAlign w:val="center"/>
          </w:tcPr>
          <w:p w14:paraId="0A8FB381">
            <w:pPr>
              <w:spacing w:line="480" w:lineRule="exact"/>
              <w:jc w:val="center"/>
              <w:rPr>
                <w:rFonts w:hint="eastAsia" w:ascii="宋体" w:hAnsi="宋体" w:eastAsia="宋体" w:cs="宋体"/>
                <w:color w:val="auto"/>
                <w:sz w:val="24"/>
                <w:highlight w:val="none"/>
              </w:rPr>
            </w:pPr>
          </w:p>
        </w:tc>
        <w:tc>
          <w:tcPr>
            <w:tcW w:w="1103" w:type="dxa"/>
            <w:vMerge w:val="continue"/>
            <w:noWrap w:val="0"/>
            <w:vAlign w:val="center"/>
          </w:tcPr>
          <w:p w14:paraId="2DE88C58">
            <w:pPr>
              <w:spacing w:line="480" w:lineRule="exact"/>
              <w:jc w:val="center"/>
              <w:rPr>
                <w:rFonts w:hint="eastAsia" w:ascii="宋体" w:hAnsi="宋体" w:eastAsia="宋体" w:cs="宋体"/>
                <w:color w:val="auto"/>
                <w:sz w:val="24"/>
                <w:highlight w:val="none"/>
              </w:rPr>
            </w:pPr>
          </w:p>
        </w:tc>
        <w:tc>
          <w:tcPr>
            <w:tcW w:w="1022" w:type="dxa"/>
            <w:vMerge w:val="continue"/>
            <w:noWrap w:val="0"/>
            <w:vAlign w:val="center"/>
          </w:tcPr>
          <w:p w14:paraId="07E400A6">
            <w:pPr>
              <w:spacing w:line="480" w:lineRule="exact"/>
              <w:jc w:val="center"/>
              <w:rPr>
                <w:rFonts w:hint="eastAsia" w:ascii="宋体" w:hAnsi="宋体" w:eastAsia="宋体" w:cs="宋体"/>
                <w:color w:val="auto"/>
                <w:sz w:val="24"/>
                <w:highlight w:val="none"/>
              </w:rPr>
            </w:pPr>
          </w:p>
        </w:tc>
        <w:tc>
          <w:tcPr>
            <w:tcW w:w="1184" w:type="dxa"/>
            <w:noWrap w:val="0"/>
            <w:vAlign w:val="center"/>
          </w:tcPr>
          <w:p w14:paraId="677E56D6">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1103" w:type="dxa"/>
            <w:noWrap w:val="0"/>
            <w:vAlign w:val="center"/>
          </w:tcPr>
          <w:p w14:paraId="54038A42">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1103" w:type="dxa"/>
            <w:noWrap w:val="0"/>
            <w:vAlign w:val="center"/>
          </w:tcPr>
          <w:p w14:paraId="3BAE743F">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863" w:type="dxa"/>
            <w:noWrap w:val="0"/>
            <w:vAlign w:val="center"/>
          </w:tcPr>
          <w:p w14:paraId="41FA96C3">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280" w:type="dxa"/>
            <w:noWrap w:val="0"/>
            <w:vAlign w:val="center"/>
          </w:tcPr>
          <w:p w14:paraId="0416433F">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社会保险</w:t>
            </w:r>
          </w:p>
        </w:tc>
        <w:tc>
          <w:tcPr>
            <w:tcW w:w="847" w:type="dxa"/>
            <w:vMerge w:val="continue"/>
            <w:noWrap w:val="0"/>
            <w:vAlign w:val="center"/>
          </w:tcPr>
          <w:p w14:paraId="44D362A1">
            <w:pPr>
              <w:spacing w:line="480" w:lineRule="exact"/>
              <w:jc w:val="center"/>
              <w:rPr>
                <w:rFonts w:hint="eastAsia" w:ascii="宋体" w:hAnsi="宋体" w:eastAsia="宋体" w:cs="宋体"/>
                <w:color w:val="auto"/>
                <w:sz w:val="24"/>
                <w:highlight w:val="none"/>
              </w:rPr>
            </w:pPr>
          </w:p>
        </w:tc>
      </w:tr>
      <w:tr w14:paraId="3EDE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39E619B5">
            <w:pPr>
              <w:spacing w:line="480" w:lineRule="exact"/>
              <w:jc w:val="center"/>
              <w:rPr>
                <w:rFonts w:hint="eastAsia" w:ascii="宋体" w:hAnsi="宋体" w:eastAsia="宋体" w:cs="宋体"/>
                <w:color w:val="auto"/>
                <w:sz w:val="24"/>
                <w:highlight w:val="none"/>
              </w:rPr>
            </w:pPr>
          </w:p>
        </w:tc>
        <w:tc>
          <w:tcPr>
            <w:tcW w:w="1103" w:type="dxa"/>
            <w:noWrap w:val="0"/>
            <w:vAlign w:val="center"/>
          </w:tcPr>
          <w:p w14:paraId="1879AE5E">
            <w:pPr>
              <w:spacing w:line="480" w:lineRule="exact"/>
              <w:jc w:val="center"/>
              <w:rPr>
                <w:rFonts w:hint="eastAsia" w:ascii="宋体" w:hAnsi="宋体" w:eastAsia="宋体" w:cs="宋体"/>
                <w:color w:val="auto"/>
                <w:sz w:val="24"/>
                <w:highlight w:val="none"/>
              </w:rPr>
            </w:pPr>
          </w:p>
        </w:tc>
        <w:tc>
          <w:tcPr>
            <w:tcW w:w="1022" w:type="dxa"/>
            <w:noWrap w:val="0"/>
            <w:vAlign w:val="center"/>
          </w:tcPr>
          <w:p w14:paraId="673F1D58">
            <w:pPr>
              <w:spacing w:line="480" w:lineRule="exact"/>
              <w:jc w:val="center"/>
              <w:rPr>
                <w:rFonts w:hint="eastAsia" w:ascii="宋体" w:hAnsi="宋体" w:eastAsia="宋体" w:cs="宋体"/>
                <w:color w:val="auto"/>
                <w:sz w:val="24"/>
                <w:highlight w:val="none"/>
              </w:rPr>
            </w:pPr>
          </w:p>
        </w:tc>
        <w:tc>
          <w:tcPr>
            <w:tcW w:w="1184" w:type="dxa"/>
            <w:noWrap w:val="0"/>
            <w:vAlign w:val="center"/>
          </w:tcPr>
          <w:p w14:paraId="2FEA8995">
            <w:pPr>
              <w:spacing w:line="480" w:lineRule="exact"/>
              <w:jc w:val="center"/>
              <w:rPr>
                <w:rFonts w:hint="eastAsia" w:ascii="宋体" w:hAnsi="宋体" w:eastAsia="宋体" w:cs="宋体"/>
                <w:color w:val="auto"/>
                <w:sz w:val="24"/>
                <w:highlight w:val="none"/>
              </w:rPr>
            </w:pPr>
          </w:p>
        </w:tc>
        <w:tc>
          <w:tcPr>
            <w:tcW w:w="1103" w:type="dxa"/>
            <w:noWrap w:val="0"/>
            <w:vAlign w:val="center"/>
          </w:tcPr>
          <w:p w14:paraId="0833FA90">
            <w:pPr>
              <w:spacing w:line="480" w:lineRule="exact"/>
              <w:jc w:val="center"/>
              <w:rPr>
                <w:rFonts w:hint="eastAsia" w:ascii="宋体" w:hAnsi="宋体" w:eastAsia="宋体" w:cs="宋体"/>
                <w:color w:val="auto"/>
                <w:sz w:val="24"/>
                <w:highlight w:val="none"/>
              </w:rPr>
            </w:pPr>
          </w:p>
        </w:tc>
        <w:tc>
          <w:tcPr>
            <w:tcW w:w="1103" w:type="dxa"/>
            <w:noWrap w:val="0"/>
            <w:vAlign w:val="center"/>
          </w:tcPr>
          <w:p w14:paraId="23D249B0">
            <w:pPr>
              <w:spacing w:line="480" w:lineRule="exact"/>
              <w:jc w:val="center"/>
              <w:rPr>
                <w:rFonts w:hint="eastAsia" w:ascii="宋体" w:hAnsi="宋体" w:eastAsia="宋体" w:cs="宋体"/>
                <w:color w:val="auto"/>
                <w:sz w:val="24"/>
                <w:highlight w:val="none"/>
              </w:rPr>
            </w:pPr>
          </w:p>
        </w:tc>
        <w:tc>
          <w:tcPr>
            <w:tcW w:w="863" w:type="dxa"/>
            <w:noWrap w:val="0"/>
            <w:vAlign w:val="center"/>
          </w:tcPr>
          <w:p w14:paraId="7C65AAAE">
            <w:pPr>
              <w:spacing w:line="480" w:lineRule="exact"/>
              <w:jc w:val="center"/>
              <w:rPr>
                <w:rFonts w:hint="eastAsia" w:ascii="宋体" w:hAnsi="宋体" w:eastAsia="宋体" w:cs="宋体"/>
                <w:color w:val="auto"/>
                <w:sz w:val="24"/>
                <w:highlight w:val="none"/>
              </w:rPr>
            </w:pPr>
          </w:p>
        </w:tc>
        <w:tc>
          <w:tcPr>
            <w:tcW w:w="1280" w:type="dxa"/>
            <w:noWrap w:val="0"/>
            <w:vAlign w:val="center"/>
          </w:tcPr>
          <w:p w14:paraId="113355FE">
            <w:pPr>
              <w:spacing w:line="480" w:lineRule="exact"/>
              <w:jc w:val="center"/>
              <w:rPr>
                <w:rFonts w:hint="eastAsia" w:ascii="宋体" w:hAnsi="宋体" w:eastAsia="宋体" w:cs="宋体"/>
                <w:color w:val="auto"/>
                <w:sz w:val="24"/>
                <w:highlight w:val="none"/>
              </w:rPr>
            </w:pPr>
          </w:p>
        </w:tc>
        <w:tc>
          <w:tcPr>
            <w:tcW w:w="847" w:type="dxa"/>
            <w:noWrap w:val="0"/>
            <w:vAlign w:val="center"/>
          </w:tcPr>
          <w:p w14:paraId="326D95DA">
            <w:pPr>
              <w:spacing w:line="480" w:lineRule="exact"/>
              <w:jc w:val="center"/>
              <w:rPr>
                <w:rFonts w:hint="eastAsia" w:ascii="宋体" w:hAnsi="宋体" w:eastAsia="宋体" w:cs="宋体"/>
                <w:color w:val="auto"/>
                <w:sz w:val="24"/>
                <w:highlight w:val="none"/>
              </w:rPr>
            </w:pPr>
          </w:p>
        </w:tc>
      </w:tr>
      <w:tr w14:paraId="5520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1CB9EABF">
            <w:pPr>
              <w:spacing w:line="480" w:lineRule="exact"/>
              <w:jc w:val="center"/>
              <w:rPr>
                <w:rFonts w:hint="eastAsia" w:ascii="宋体" w:hAnsi="宋体" w:eastAsia="宋体" w:cs="宋体"/>
                <w:color w:val="auto"/>
                <w:sz w:val="24"/>
                <w:highlight w:val="none"/>
              </w:rPr>
            </w:pPr>
          </w:p>
        </w:tc>
        <w:tc>
          <w:tcPr>
            <w:tcW w:w="1103" w:type="dxa"/>
            <w:noWrap w:val="0"/>
            <w:vAlign w:val="center"/>
          </w:tcPr>
          <w:p w14:paraId="1FD10D9A">
            <w:pPr>
              <w:spacing w:line="480" w:lineRule="exact"/>
              <w:jc w:val="center"/>
              <w:rPr>
                <w:rFonts w:hint="eastAsia" w:ascii="宋体" w:hAnsi="宋体" w:eastAsia="宋体" w:cs="宋体"/>
                <w:color w:val="auto"/>
                <w:sz w:val="24"/>
                <w:highlight w:val="none"/>
              </w:rPr>
            </w:pPr>
          </w:p>
        </w:tc>
        <w:tc>
          <w:tcPr>
            <w:tcW w:w="1022" w:type="dxa"/>
            <w:noWrap w:val="0"/>
            <w:vAlign w:val="center"/>
          </w:tcPr>
          <w:p w14:paraId="584D3D6F">
            <w:pPr>
              <w:spacing w:line="480" w:lineRule="exact"/>
              <w:jc w:val="center"/>
              <w:rPr>
                <w:rFonts w:hint="eastAsia" w:ascii="宋体" w:hAnsi="宋体" w:eastAsia="宋体" w:cs="宋体"/>
                <w:color w:val="auto"/>
                <w:sz w:val="24"/>
                <w:highlight w:val="none"/>
              </w:rPr>
            </w:pPr>
          </w:p>
        </w:tc>
        <w:tc>
          <w:tcPr>
            <w:tcW w:w="1184" w:type="dxa"/>
            <w:noWrap w:val="0"/>
            <w:vAlign w:val="center"/>
          </w:tcPr>
          <w:p w14:paraId="2DDFFDC0">
            <w:pPr>
              <w:spacing w:line="480" w:lineRule="exact"/>
              <w:jc w:val="center"/>
              <w:rPr>
                <w:rFonts w:hint="eastAsia" w:ascii="宋体" w:hAnsi="宋体" w:eastAsia="宋体" w:cs="宋体"/>
                <w:color w:val="auto"/>
                <w:sz w:val="24"/>
                <w:highlight w:val="none"/>
              </w:rPr>
            </w:pPr>
          </w:p>
        </w:tc>
        <w:tc>
          <w:tcPr>
            <w:tcW w:w="1103" w:type="dxa"/>
            <w:noWrap w:val="0"/>
            <w:vAlign w:val="center"/>
          </w:tcPr>
          <w:p w14:paraId="268FB9F4">
            <w:pPr>
              <w:spacing w:line="480" w:lineRule="exact"/>
              <w:jc w:val="center"/>
              <w:rPr>
                <w:rFonts w:hint="eastAsia" w:ascii="宋体" w:hAnsi="宋体" w:eastAsia="宋体" w:cs="宋体"/>
                <w:color w:val="auto"/>
                <w:sz w:val="24"/>
                <w:highlight w:val="none"/>
              </w:rPr>
            </w:pPr>
          </w:p>
        </w:tc>
        <w:tc>
          <w:tcPr>
            <w:tcW w:w="1103" w:type="dxa"/>
            <w:noWrap w:val="0"/>
            <w:vAlign w:val="center"/>
          </w:tcPr>
          <w:p w14:paraId="428C2FFF">
            <w:pPr>
              <w:spacing w:line="480" w:lineRule="exact"/>
              <w:jc w:val="center"/>
              <w:rPr>
                <w:rFonts w:hint="eastAsia" w:ascii="宋体" w:hAnsi="宋体" w:eastAsia="宋体" w:cs="宋体"/>
                <w:color w:val="auto"/>
                <w:sz w:val="24"/>
                <w:highlight w:val="none"/>
              </w:rPr>
            </w:pPr>
          </w:p>
        </w:tc>
        <w:tc>
          <w:tcPr>
            <w:tcW w:w="863" w:type="dxa"/>
            <w:noWrap w:val="0"/>
            <w:vAlign w:val="center"/>
          </w:tcPr>
          <w:p w14:paraId="2B0A80F0">
            <w:pPr>
              <w:spacing w:line="480" w:lineRule="exact"/>
              <w:jc w:val="center"/>
              <w:rPr>
                <w:rFonts w:hint="eastAsia" w:ascii="宋体" w:hAnsi="宋体" w:eastAsia="宋体" w:cs="宋体"/>
                <w:color w:val="auto"/>
                <w:sz w:val="24"/>
                <w:highlight w:val="none"/>
              </w:rPr>
            </w:pPr>
          </w:p>
        </w:tc>
        <w:tc>
          <w:tcPr>
            <w:tcW w:w="1280" w:type="dxa"/>
            <w:noWrap w:val="0"/>
            <w:vAlign w:val="center"/>
          </w:tcPr>
          <w:p w14:paraId="62994867">
            <w:pPr>
              <w:spacing w:line="480" w:lineRule="exact"/>
              <w:jc w:val="center"/>
              <w:rPr>
                <w:rFonts w:hint="eastAsia" w:ascii="宋体" w:hAnsi="宋体" w:eastAsia="宋体" w:cs="宋体"/>
                <w:color w:val="auto"/>
                <w:sz w:val="24"/>
                <w:highlight w:val="none"/>
              </w:rPr>
            </w:pPr>
          </w:p>
        </w:tc>
        <w:tc>
          <w:tcPr>
            <w:tcW w:w="847" w:type="dxa"/>
            <w:noWrap w:val="0"/>
            <w:vAlign w:val="center"/>
          </w:tcPr>
          <w:p w14:paraId="18E52E71">
            <w:pPr>
              <w:spacing w:line="480" w:lineRule="exact"/>
              <w:jc w:val="center"/>
              <w:rPr>
                <w:rFonts w:hint="eastAsia" w:ascii="宋体" w:hAnsi="宋体" w:eastAsia="宋体" w:cs="宋体"/>
                <w:color w:val="auto"/>
                <w:sz w:val="24"/>
                <w:highlight w:val="none"/>
              </w:rPr>
            </w:pPr>
          </w:p>
        </w:tc>
      </w:tr>
      <w:tr w14:paraId="41BC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1027BD96">
            <w:pPr>
              <w:spacing w:line="480" w:lineRule="exact"/>
              <w:rPr>
                <w:rFonts w:hint="eastAsia" w:ascii="宋体" w:hAnsi="宋体" w:eastAsia="宋体" w:cs="宋体"/>
                <w:color w:val="auto"/>
                <w:sz w:val="24"/>
                <w:highlight w:val="none"/>
              </w:rPr>
            </w:pPr>
          </w:p>
        </w:tc>
        <w:tc>
          <w:tcPr>
            <w:tcW w:w="1103" w:type="dxa"/>
            <w:noWrap w:val="0"/>
            <w:vAlign w:val="center"/>
          </w:tcPr>
          <w:p w14:paraId="63D50C95">
            <w:pPr>
              <w:spacing w:line="480" w:lineRule="exact"/>
              <w:rPr>
                <w:rFonts w:hint="eastAsia" w:ascii="宋体" w:hAnsi="宋体" w:eastAsia="宋体" w:cs="宋体"/>
                <w:color w:val="auto"/>
                <w:sz w:val="24"/>
                <w:highlight w:val="none"/>
              </w:rPr>
            </w:pPr>
          </w:p>
        </w:tc>
        <w:tc>
          <w:tcPr>
            <w:tcW w:w="1022" w:type="dxa"/>
            <w:noWrap w:val="0"/>
            <w:vAlign w:val="center"/>
          </w:tcPr>
          <w:p w14:paraId="0933232C">
            <w:pPr>
              <w:spacing w:line="480" w:lineRule="exact"/>
              <w:rPr>
                <w:rFonts w:hint="eastAsia" w:ascii="宋体" w:hAnsi="宋体" w:eastAsia="宋体" w:cs="宋体"/>
                <w:color w:val="auto"/>
                <w:sz w:val="24"/>
                <w:highlight w:val="none"/>
              </w:rPr>
            </w:pPr>
          </w:p>
        </w:tc>
        <w:tc>
          <w:tcPr>
            <w:tcW w:w="1184" w:type="dxa"/>
            <w:noWrap w:val="0"/>
            <w:vAlign w:val="center"/>
          </w:tcPr>
          <w:p w14:paraId="3274B9DC">
            <w:pPr>
              <w:spacing w:line="480" w:lineRule="exact"/>
              <w:rPr>
                <w:rFonts w:hint="eastAsia" w:ascii="宋体" w:hAnsi="宋体" w:eastAsia="宋体" w:cs="宋体"/>
                <w:color w:val="auto"/>
                <w:sz w:val="24"/>
                <w:highlight w:val="none"/>
              </w:rPr>
            </w:pPr>
          </w:p>
        </w:tc>
        <w:tc>
          <w:tcPr>
            <w:tcW w:w="1103" w:type="dxa"/>
            <w:noWrap w:val="0"/>
            <w:vAlign w:val="center"/>
          </w:tcPr>
          <w:p w14:paraId="039DECDE">
            <w:pPr>
              <w:spacing w:line="480" w:lineRule="exact"/>
              <w:rPr>
                <w:rFonts w:hint="eastAsia" w:ascii="宋体" w:hAnsi="宋体" w:eastAsia="宋体" w:cs="宋体"/>
                <w:color w:val="auto"/>
                <w:sz w:val="24"/>
                <w:highlight w:val="none"/>
              </w:rPr>
            </w:pPr>
          </w:p>
        </w:tc>
        <w:tc>
          <w:tcPr>
            <w:tcW w:w="1103" w:type="dxa"/>
            <w:noWrap w:val="0"/>
            <w:vAlign w:val="center"/>
          </w:tcPr>
          <w:p w14:paraId="6C06C556">
            <w:pPr>
              <w:spacing w:line="480" w:lineRule="exact"/>
              <w:rPr>
                <w:rFonts w:hint="eastAsia" w:ascii="宋体" w:hAnsi="宋体" w:eastAsia="宋体" w:cs="宋体"/>
                <w:color w:val="auto"/>
                <w:sz w:val="24"/>
                <w:highlight w:val="none"/>
              </w:rPr>
            </w:pPr>
          </w:p>
        </w:tc>
        <w:tc>
          <w:tcPr>
            <w:tcW w:w="863" w:type="dxa"/>
            <w:noWrap w:val="0"/>
            <w:vAlign w:val="center"/>
          </w:tcPr>
          <w:p w14:paraId="79DD1E7D">
            <w:pPr>
              <w:spacing w:line="480" w:lineRule="exact"/>
              <w:rPr>
                <w:rFonts w:hint="eastAsia" w:ascii="宋体" w:hAnsi="宋体" w:eastAsia="宋体" w:cs="宋体"/>
                <w:color w:val="auto"/>
                <w:sz w:val="24"/>
                <w:highlight w:val="none"/>
              </w:rPr>
            </w:pPr>
          </w:p>
        </w:tc>
        <w:tc>
          <w:tcPr>
            <w:tcW w:w="1280" w:type="dxa"/>
            <w:noWrap w:val="0"/>
            <w:vAlign w:val="center"/>
          </w:tcPr>
          <w:p w14:paraId="302BDD7F">
            <w:pPr>
              <w:spacing w:line="480" w:lineRule="exact"/>
              <w:rPr>
                <w:rFonts w:hint="eastAsia" w:ascii="宋体" w:hAnsi="宋体" w:eastAsia="宋体" w:cs="宋体"/>
                <w:color w:val="auto"/>
                <w:sz w:val="24"/>
                <w:highlight w:val="none"/>
              </w:rPr>
            </w:pPr>
          </w:p>
        </w:tc>
        <w:tc>
          <w:tcPr>
            <w:tcW w:w="847" w:type="dxa"/>
            <w:noWrap w:val="0"/>
            <w:vAlign w:val="center"/>
          </w:tcPr>
          <w:p w14:paraId="11B0505F">
            <w:pPr>
              <w:spacing w:line="480" w:lineRule="exact"/>
              <w:rPr>
                <w:rFonts w:hint="eastAsia" w:ascii="宋体" w:hAnsi="宋体" w:eastAsia="宋体" w:cs="宋体"/>
                <w:color w:val="auto"/>
                <w:sz w:val="24"/>
                <w:highlight w:val="none"/>
              </w:rPr>
            </w:pPr>
          </w:p>
        </w:tc>
      </w:tr>
      <w:tr w14:paraId="112B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535EC318">
            <w:pPr>
              <w:spacing w:line="480" w:lineRule="exact"/>
              <w:rPr>
                <w:rFonts w:hint="eastAsia" w:ascii="宋体" w:hAnsi="宋体" w:eastAsia="宋体" w:cs="宋体"/>
                <w:color w:val="auto"/>
                <w:sz w:val="24"/>
                <w:highlight w:val="none"/>
              </w:rPr>
            </w:pPr>
          </w:p>
        </w:tc>
        <w:tc>
          <w:tcPr>
            <w:tcW w:w="1103" w:type="dxa"/>
            <w:noWrap w:val="0"/>
            <w:vAlign w:val="center"/>
          </w:tcPr>
          <w:p w14:paraId="54399FA7">
            <w:pPr>
              <w:spacing w:line="480" w:lineRule="exact"/>
              <w:rPr>
                <w:rFonts w:hint="eastAsia" w:ascii="宋体" w:hAnsi="宋体" w:eastAsia="宋体" w:cs="宋体"/>
                <w:color w:val="auto"/>
                <w:sz w:val="24"/>
                <w:highlight w:val="none"/>
              </w:rPr>
            </w:pPr>
          </w:p>
        </w:tc>
        <w:tc>
          <w:tcPr>
            <w:tcW w:w="1022" w:type="dxa"/>
            <w:noWrap w:val="0"/>
            <w:vAlign w:val="center"/>
          </w:tcPr>
          <w:p w14:paraId="244B33B3">
            <w:pPr>
              <w:spacing w:line="480" w:lineRule="exact"/>
              <w:rPr>
                <w:rFonts w:hint="eastAsia" w:ascii="宋体" w:hAnsi="宋体" w:eastAsia="宋体" w:cs="宋体"/>
                <w:color w:val="auto"/>
                <w:sz w:val="24"/>
                <w:highlight w:val="none"/>
              </w:rPr>
            </w:pPr>
          </w:p>
        </w:tc>
        <w:tc>
          <w:tcPr>
            <w:tcW w:w="1184" w:type="dxa"/>
            <w:noWrap w:val="0"/>
            <w:vAlign w:val="center"/>
          </w:tcPr>
          <w:p w14:paraId="24BF6DE1">
            <w:pPr>
              <w:spacing w:line="480" w:lineRule="exact"/>
              <w:rPr>
                <w:rFonts w:hint="eastAsia" w:ascii="宋体" w:hAnsi="宋体" w:eastAsia="宋体" w:cs="宋体"/>
                <w:color w:val="auto"/>
                <w:sz w:val="24"/>
                <w:highlight w:val="none"/>
              </w:rPr>
            </w:pPr>
          </w:p>
        </w:tc>
        <w:tc>
          <w:tcPr>
            <w:tcW w:w="1103" w:type="dxa"/>
            <w:noWrap w:val="0"/>
            <w:vAlign w:val="center"/>
          </w:tcPr>
          <w:p w14:paraId="6F015F92">
            <w:pPr>
              <w:spacing w:line="480" w:lineRule="exact"/>
              <w:rPr>
                <w:rFonts w:hint="eastAsia" w:ascii="宋体" w:hAnsi="宋体" w:eastAsia="宋体" w:cs="宋体"/>
                <w:color w:val="auto"/>
                <w:sz w:val="24"/>
                <w:highlight w:val="none"/>
              </w:rPr>
            </w:pPr>
          </w:p>
        </w:tc>
        <w:tc>
          <w:tcPr>
            <w:tcW w:w="1103" w:type="dxa"/>
            <w:noWrap w:val="0"/>
            <w:vAlign w:val="center"/>
          </w:tcPr>
          <w:p w14:paraId="303A7BF0">
            <w:pPr>
              <w:spacing w:line="480" w:lineRule="exact"/>
              <w:rPr>
                <w:rFonts w:hint="eastAsia" w:ascii="宋体" w:hAnsi="宋体" w:eastAsia="宋体" w:cs="宋体"/>
                <w:color w:val="auto"/>
                <w:sz w:val="24"/>
                <w:highlight w:val="none"/>
              </w:rPr>
            </w:pPr>
          </w:p>
        </w:tc>
        <w:tc>
          <w:tcPr>
            <w:tcW w:w="863" w:type="dxa"/>
            <w:noWrap w:val="0"/>
            <w:vAlign w:val="center"/>
          </w:tcPr>
          <w:p w14:paraId="12C3BAFF">
            <w:pPr>
              <w:spacing w:line="480" w:lineRule="exact"/>
              <w:rPr>
                <w:rFonts w:hint="eastAsia" w:ascii="宋体" w:hAnsi="宋体" w:eastAsia="宋体" w:cs="宋体"/>
                <w:color w:val="auto"/>
                <w:sz w:val="24"/>
                <w:highlight w:val="none"/>
              </w:rPr>
            </w:pPr>
          </w:p>
        </w:tc>
        <w:tc>
          <w:tcPr>
            <w:tcW w:w="1280" w:type="dxa"/>
            <w:noWrap w:val="0"/>
            <w:vAlign w:val="center"/>
          </w:tcPr>
          <w:p w14:paraId="6437BB71">
            <w:pPr>
              <w:spacing w:line="480" w:lineRule="exact"/>
              <w:rPr>
                <w:rFonts w:hint="eastAsia" w:ascii="宋体" w:hAnsi="宋体" w:eastAsia="宋体" w:cs="宋体"/>
                <w:color w:val="auto"/>
                <w:sz w:val="24"/>
                <w:highlight w:val="none"/>
              </w:rPr>
            </w:pPr>
          </w:p>
        </w:tc>
        <w:tc>
          <w:tcPr>
            <w:tcW w:w="847" w:type="dxa"/>
            <w:noWrap w:val="0"/>
            <w:vAlign w:val="center"/>
          </w:tcPr>
          <w:p w14:paraId="30308DA6">
            <w:pPr>
              <w:spacing w:line="480" w:lineRule="exact"/>
              <w:rPr>
                <w:rFonts w:hint="eastAsia" w:ascii="宋体" w:hAnsi="宋体" w:eastAsia="宋体" w:cs="宋体"/>
                <w:color w:val="auto"/>
                <w:sz w:val="24"/>
                <w:highlight w:val="none"/>
              </w:rPr>
            </w:pPr>
          </w:p>
        </w:tc>
      </w:tr>
      <w:tr w14:paraId="3AB8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2E96E2BF">
            <w:pPr>
              <w:spacing w:line="480" w:lineRule="exact"/>
              <w:rPr>
                <w:rFonts w:hint="eastAsia" w:ascii="宋体" w:hAnsi="宋体" w:eastAsia="宋体" w:cs="宋体"/>
                <w:color w:val="auto"/>
                <w:sz w:val="24"/>
                <w:highlight w:val="none"/>
              </w:rPr>
            </w:pPr>
          </w:p>
        </w:tc>
        <w:tc>
          <w:tcPr>
            <w:tcW w:w="1103" w:type="dxa"/>
            <w:noWrap w:val="0"/>
            <w:vAlign w:val="center"/>
          </w:tcPr>
          <w:p w14:paraId="0C64CD0A">
            <w:pPr>
              <w:spacing w:line="480" w:lineRule="exact"/>
              <w:rPr>
                <w:rFonts w:hint="eastAsia" w:ascii="宋体" w:hAnsi="宋体" w:eastAsia="宋体" w:cs="宋体"/>
                <w:color w:val="auto"/>
                <w:sz w:val="24"/>
                <w:highlight w:val="none"/>
              </w:rPr>
            </w:pPr>
          </w:p>
        </w:tc>
        <w:tc>
          <w:tcPr>
            <w:tcW w:w="1022" w:type="dxa"/>
            <w:noWrap w:val="0"/>
            <w:vAlign w:val="center"/>
          </w:tcPr>
          <w:p w14:paraId="5577D7E3">
            <w:pPr>
              <w:spacing w:line="480" w:lineRule="exact"/>
              <w:rPr>
                <w:rFonts w:hint="eastAsia" w:ascii="宋体" w:hAnsi="宋体" w:eastAsia="宋体" w:cs="宋体"/>
                <w:color w:val="auto"/>
                <w:sz w:val="24"/>
                <w:highlight w:val="none"/>
              </w:rPr>
            </w:pPr>
          </w:p>
        </w:tc>
        <w:tc>
          <w:tcPr>
            <w:tcW w:w="1184" w:type="dxa"/>
            <w:noWrap w:val="0"/>
            <w:vAlign w:val="center"/>
          </w:tcPr>
          <w:p w14:paraId="52CCE050">
            <w:pPr>
              <w:spacing w:line="480" w:lineRule="exact"/>
              <w:rPr>
                <w:rFonts w:hint="eastAsia" w:ascii="宋体" w:hAnsi="宋体" w:eastAsia="宋体" w:cs="宋体"/>
                <w:color w:val="auto"/>
                <w:sz w:val="24"/>
                <w:highlight w:val="none"/>
              </w:rPr>
            </w:pPr>
          </w:p>
        </w:tc>
        <w:tc>
          <w:tcPr>
            <w:tcW w:w="1103" w:type="dxa"/>
            <w:noWrap w:val="0"/>
            <w:vAlign w:val="center"/>
          </w:tcPr>
          <w:p w14:paraId="0809B66B">
            <w:pPr>
              <w:spacing w:line="480" w:lineRule="exact"/>
              <w:rPr>
                <w:rFonts w:hint="eastAsia" w:ascii="宋体" w:hAnsi="宋体" w:eastAsia="宋体" w:cs="宋体"/>
                <w:color w:val="auto"/>
                <w:sz w:val="24"/>
                <w:highlight w:val="none"/>
              </w:rPr>
            </w:pPr>
          </w:p>
        </w:tc>
        <w:tc>
          <w:tcPr>
            <w:tcW w:w="1103" w:type="dxa"/>
            <w:noWrap w:val="0"/>
            <w:vAlign w:val="center"/>
          </w:tcPr>
          <w:p w14:paraId="5C753017">
            <w:pPr>
              <w:spacing w:line="480" w:lineRule="exact"/>
              <w:rPr>
                <w:rFonts w:hint="eastAsia" w:ascii="宋体" w:hAnsi="宋体" w:eastAsia="宋体" w:cs="宋体"/>
                <w:color w:val="auto"/>
                <w:sz w:val="24"/>
                <w:highlight w:val="none"/>
              </w:rPr>
            </w:pPr>
          </w:p>
        </w:tc>
        <w:tc>
          <w:tcPr>
            <w:tcW w:w="863" w:type="dxa"/>
            <w:noWrap w:val="0"/>
            <w:vAlign w:val="center"/>
          </w:tcPr>
          <w:p w14:paraId="30E13749">
            <w:pPr>
              <w:spacing w:line="480" w:lineRule="exact"/>
              <w:rPr>
                <w:rFonts w:hint="eastAsia" w:ascii="宋体" w:hAnsi="宋体" w:eastAsia="宋体" w:cs="宋体"/>
                <w:color w:val="auto"/>
                <w:sz w:val="24"/>
                <w:highlight w:val="none"/>
              </w:rPr>
            </w:pPr>
          </w:p>
        </w:tc>
        <w:tc>
          <w:tcPr>
            <w:tcW w:w="1280" w:type="dxa"/>
            <w:noWrap w:val="0"/>
            <w:vAlign w:val="center"/>
          </w:tcPr>
          <w:p w14:paraId="6FFD3906">
            <w:pPr>
              <w:spacing w:line="480" w:lineRule="exact"/>
              <w:rPr>
                <w:rFonts w:hint="eastAsia" w:ascii="宋体" w:hAnsi="宋体" w:eastAsia="宋体" w:cs="宋体"/>
                <w:color w:val="auto"/>
                <w:sz w:val="24"/>
                <w:highlight w:val="none"/>
              </w:rPr>
            </w:pPr>
          </w:p>
        </w:tc>
        <w:tc>
          <w:tcPr>
            <w:tcW w:w="847" w:type="dxa"/>
            <w:noWrap w:val="0"/>
            <w:vAlign w:val="center"/>
          </w:tcPr>
          <w:p w14:paraId="0F720BD0">
            <w:pPr>
              <w:spacing w:line="480" w:lineRule="exact"/>
              <w:rPr>
                <w:rFonts w:hint="eastAsia" w:ascii="宋体" w:hAnsi="宋体" w:eastAsia="宋体" w:cs="宋体"/>
                <w:color w:val="auto"/>
                <w:sz w:val="24"/>
                <w:highlight w:val="none"/>
              </w:rPr>
            </w:pPr>
          </w:p>
        </w:tc>
      </w:tr>
      <w:tr w14:paraId="66E7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4306BA61">
            <w:pPr>
              <w:spacing w:line="480" w:lineRule="exact"/>
              <w:rPr>
                <w:rFonts w:hint="eastAsia" w:ascii="宋体" w:hAnsi="宋体" w:eastAsia="宋体" w:cs="宋体"/>
                <w:color w:val="auto"/>
                <w:sz w:val="24"/>
                <w:highlight w:val="none"/>
              </w:rPr>
            </w:pPr>
          </w:p>
        </w:tc>
        <w:tc>
          <w:tcPr>
            <w:tcW w:w="1103" w:type="dxa"/>
            <w:noWrap w:val="0"/>
            <w:vAlign w:val="center"/>
          </w:tcPr>
          <w:p w14:paraId="34965457">
            <w:pPr>
              <w:spacing w:line="480" w:lineRule="exact"/>
              <w:rPr>
                <w:rFonts w:hint="eastAsia" w:ascii="宋体" w:hAnsi="宋体" w:eastAsia="宋体" w:cs="宋体"/>
                <w:color w:val="auto"/>
                <w:sz w:val="24"/>
                <w:highlight w:val="none"/>
              </w:rPr>
            </w:pPr>
          </w:p>
        </w:tc>
        <w:tc>
          <w:tcPr>
            <w:tcW w:w="1022" w:type="dxa"/>
            <w:noWrap w:val="0"/>
            <w:vAlign w:val="center"/>
          </w:tcPr>
          <w:p w14:paraId="510ADB83">
            <w:pPr>
              <w:spacing w:line="480" w:lineRule="exact"/>
              <w:rPr>
                <w:rFonts w:hint="eastAsia" w:ascii="宋体" w:hAnsi="宋体" w:eastAsia="宋体" w:cs="宋体"/>
                <w:color w:val="auto"/>
                <w:sz w:val="24"/>
                <w:highlight w:val="none"/>
              </w:rPr>
            </w:pPr>
          </w:p>
        </w:tc>
        <w:tc>
          <w:tcPr>
            <w:tcW w:w="1184" w:type="dxa"/>
            <w:noWrap w:val="0"/>
            <w:vAlign w:val="center"/>
          </w:tcPr>
          <w:p w14:paraId="79716693">
            <w:pPr>
              <w:spacing w:line="480" w:lineRule="exact"/>
              <w:rPr>
                <w:rFonts w:hint="eastAsia" w:ascii="宋体" w:hAnsi="宋体" w:eastAsia="宋体" w:cs="宋体"/>
                <w:color w:val="auto"/>
                <w:sz w:val="24"/>
                <w:highlight w:val="none"/>
              </w:rPr>
            </w:pPr>
          </w:p>
        </w:tc>
        <w:tc>
          <w:tcPr>
            <w:tcW w:w="1103" w:type="dxa"/>
            <w:noWrap w:val="0"/>
            <w:vAlign w:val="center"/>
          </w:tcPr>
          <w:p w14:paraId="65D6588D">
            <w:pPr>
              <w:spacing w:line="480" w:lineRule="exact"/>
              <w:rPr>
                <w:rFonts w:hint="eastAsia" w:ascii="宋体" w:hAnsi="宋体" w:eastAsia="宋体" w:cs="宋体"/>
                <w:color w:val="auto"/>
                <w:sz w:val="24"/>
                <w:highlight w:val="none"/>
              </w:rPr>
            </w:pPr>
          </w:p>
        </w:tc>
        <w:tc>
          <w:tcPr>
            <w:tcW w:w="1103" w:type="dxa"/>
            <w:noWrap w:val="0"/>
            <w:vAlign w:val="center"/>
          </w:tcPr>
          <w:p w14:paraId="049C4A28">
            <w:pPr>
              <w:spacing w:line="480" w:lineRule="exact"/>
              <w:rPr>
                <w:rFonts w:hint="eastAsia" w:ascii="宋体" w:hAnsi="宋体" w:eastAsia="宋体" w:cs="宋体"/>
                <w:color w:val="auto"/>
                <w:sz w:val="24"/>
                <w:highlight w:val="none"/>
              </w:rPr>
            </w:pPr>
          </w:p>
        </w:tc>
        <w:tc>
          <w:tcPr>
            <w:tcW w:w="863" w:type="dxa"/>
            <w:noWrap w:val="0"/>
            <w:vAlign w:val="center"/>
          </w:tcPr>
          <w:p w14:paraId="2ED9CB7E">
            <w:pPr>
              <w:spacing w:line="480" w:lineRule="exact"/>
              <w:rPr>
                <w:rFonts w:hint="eastAsia" w:ascii="宋体" w:hAnsi="宋体" w:eastAsia="宋体" w:cs="宋体"/>
                <w:color w:val="auto"/>
                <w:sz w:val="24"/>
                <w:highlight w:val="none"/>
              </w:rPr>
            </w:pPr>
          </w:p>
        </w:tc>
        <w:tc>
          <w:tcPr>
            <w:tcW w:w="1280" w:type="dxa"/>
            <w:noWrap w:val="0"/>
            <w:vAlign w:val="center"/>
          </w:tcPr>
          <w:p w14:paraId="6CAE8654">
            <w:pPr>
              <w:spacing w:line="480" w:lineRule="exact"/>
              <w:rPr>
                <w:rFonts w:hint="eastAsia" w:ascii="宋体" w:hAnsi="宋体" w:eastAsia="宋体" w:cs="宋体"/>
                <w:color w:val="auto"/>
                <w:sz w:val="24"/>
                <w:highlight w:val="none"/>
              </w:rPr>
            </w:pPr>
          </w:p>
        </w:tc>
        <w:tc>
          <w:tcPr>
            <w:tcW w:w="847" w:type="dxa"/>
            <w:noWrap w:val="0"/>
            <w:vAlign w:val="center"/>
          </w:tcPr>
          <w:p w14:paraId="0B3CCB72">
            <w:pPr>
              <w:spacing w:line="480" w:lineRule="exact"/>
              <w:rPr>
                <w:rFonts w:hint="eastAsia" w:ascii="宋体" w:hAnsi="宋体" w:eastAsia="宋体" w:cs="宋体"/>
                <w:color w:val="auto"/>
                <w:sz w:val="24"/>
                <w:highlight w:val="none"/>
              </w:rPr>
            </w:pPr>
          </w:p>
        </w:tc>
      </w:tr>
      <w:tr w14:paraId="0998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77A385DD">
            <w:pPr>
              <w:spacing w:line="480" w:lineRule="exact"/>
              <w:rPr>
                <w:rFonts w:hint="eastAsia" w:ascii="宋体" w:hAnsi="宋体" w:eastAsia="宋体" w:cs="宋体"/>
                <w:color w:val="auto"/>
                <w:sz w:val="24"/>
                <w:highlight w:val="none"/>
              </w:rPr>
            </w:pPr>
          </w:p>
        </w:tc>
        <w:tc>
          <w:tcPr>
            <w:tcW w:w="1103" w:type="dxa"/>
            <w:noWrap w:val="0"/>
            <w:vAlign w:val="center"/>
          </w:tcPr>
          <w:p w14:paraId="02784000">
            <w:pPr>
              <w:spacing w:line="480" w:lineRule="exact"/>
              <w:rPr>
                <w:rFonts w:hint="eastAsia" w:ascii="宋体" w:hAnsi="宋体" w:eastAsia="宋体" w:cs="宋体"/>
                <w:color w:val="auto"/>
                <w:sz w:val="24"/>
                <w:highlight w:val="none"/>
              </w:rPr>
            </w:pPr>
          </w:p>
        </w:tc>
        <w:tc>
          <w:tcPr>
            <w:tcW w:w="1022" w:type="dxa"/>
            <w:noWrap w:val="0"/>
            <w:vAlign w:val="center"/>
          </w:tcPr>
          <w:p w14:paraId="57B2447F">
            <w:pPr>
              <w:spacing w:line="480" w:lineRule="exact"/>
              <w:rPr>
                <w:rFonts w:hint="eastAsia" w:ascii="宋体" w:hAnsi="宋体" w:eastAsia="宋体" w:cs="宋体"/>
                <w:color w:val="auto"/>
                <w:sz w:val="24"/>
                <w:highlight w:val="none"/>
              </w:rPr>
            </w:pPr>
          </w:p>
        </w:tc>
        <w:tc>
          <w:tcPr>
            <w:tcW w:w="1184" w:type="dxa"/>
            <w:noWrap w:val="0"/>
            <w:vAlign w:val="center"/>
          </w:tcPr>
          <w:p w14:paraId="2A8B3309">
            <w:pPr>
              <w:spacing w:line="480" w:lineRule="exact"/>
              <w:rPr>
                <w:rFonts w:hint="eastAsia" w:ascii="宋体" w:hAnsi="宋体" w:eastAsia="宋体" w:cs="宋体"/>
                <w:color w:val="auto"/>
                <w:sz w:val="24"/>
                <w:highlight w:val="none"/>
              </w:rPr>
            </w:pPr>
          </w:p>
        </w:tc>
        <w:tc>
          <w:tcPr>
            <w:tcW w:w="1103" w:type="dxa"/>
            <w:noWrap w:val="0"/>
            <w:vAlign w:val="center"/>
          </w:tcPr>
          <w:p w14:paraId="1C56F794">
            <w:pPr>
              <w:spacing w:line="480" w:lineRule="exact"/>
              <w:rPr>
                <w:rFonts w:hint="eastAsia" w:ascii="宋体" w:hAnsi="宋体" w:eastAsia="宋体" w:cs="宋体"/>
                <w:color w:val="auto"/>
                <w:sz w:val="24"/>
                <w:highlight w:val="none"/>
              </w:rPr>
            </w:pPr>
          </w:p>
        </w:tc>
        <w:tc>
          <w:tcPr>
            <w:tcW w:w="1103" w:type="dxa"/>
            <w:noWrap w:val="0"/>
            <w:vAlign w:val="center"/>
          </w:tcPr>
          <w:p w14:paraId="1745FFCA">
            <w:pPr>
              <w:spacing w:line="480" w:lineRule="exact"/>
              <w:rPr>
                <w:rFonts w:hint="eastAsia" w:ascii="宋体" w:hAnsi="宋体" w:eastAsia="宋体" w:cs="宋体"/>
                <w:color w:val="auto"/>
                <w:sz w:val="24"/>
                <w:highlight w:val="none"/>
              </w:rPr>
            </w:pPr>
          </w:p>
        </w:tc>
        <w:tc>
          <w:tcPr>
            <w:tcW w:w="863" w:type="dxa"/>
            <w:noWrap w:val="0"/>
            <w:vAlign w:val="center"/>
          </w:tcPr>
          <w:p w14:paraId="2CEA9176">
            <w:pPr>
              <w:spacing w:line="480" w:lineRule="exact"/>
              <w:rPr>
                <w:rFonts w:hint="eastAsia" w:ascii="宋体" w:hAnsi="宋体" w:eastAsia="宋体" w:cs="宋体"/>
                <w:color w:val="auto"/>
                <w:sz w:val="24"/>
                <w:highlight w:val="none"/>
              </w:rPr>
            </w:pPr>
          </w:p>
        </w:tc>
        <w:tc>
          <w:tcPr>
            <w:tcW w:w="1280" w:type="dxa"/>
            <w:noWrap w:val="0"/>
            <w:vAlign w:val="center"/>
          </w:tcPr>
          <w:p w14:paraId="3D2BDF82">
            <w:pPr>
              <w:spacing w:line="480" w:lineRule="exact"/>
              <w:rPr>
                <w:rFonts w:hint="eastAsia" w:ascii="宋体" w:hAnsi="宋体" w:eastAsia="宋体" w:cs="宋体"/>
                <w:color w:val="auto"/>
                <w:sz w:val="24"/>
                <w:highlight w:val="none"/>
              </w:rPr>
            </w:pPr>
          </w:p>
        </w:tc>
        <w:tc>
          <w:tcPr>
            <w:tcW w:w="847" w:type="dxa"/>
            <w:noWrap w:val="0"/>
            <w:vAlign w:val="center"/>
          </w:tcPr>
          <w:p w14:paraId="1A759A84">
            <w:pPr>
              <w:spacing w:line="480" w:lineRule="exact"/>
              <w:rPr>
                <w:rFonts w:hint="eastAsia" w:ascii="宋体" w:hAnsi="宋体" w:eastAsia="宋体" w:cs="宋体"/>
                <w:color w:val="auto"/>
                <w:sz w:val="24"/>
                <w:highlight w:val="none"/>
              </w:rPr>
            </w:pPr>
          </w:p>
        </w:tc>
      </w:tr>
      <w:tr w14:paraId="2E1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0D2CA220">
            <w:pPr>
              <w:spacing w:line="480" w:lineRule="exact"/>
              <w:rPr>
                <w:rFonts w:hint="eastAsia" w:ascii="宋体" w:hAnsi="宋体" w:eastAsia="宋体" w:cs="宋体"/>
                <w:color w:val="auto"/>
                <w:sz w:val="24"/>
                <w:highlight w:val="none"/>
              </w:rPr>
            </w:pPr>
          </w:p>
        </w:tc>
        <w:tc>
          <w:tcPr>
            <w:tcW w:w="1103" w:type="dxa"/>
            <w:noWrap w:val="0"/>
            <w:vAlign w:val="center"/>
          </w:tcPr>
          <w:p w14:paraId="5B8E3672">
            <w:pPr>
              <w:spacing w:line="480" w:lineRule="exact"/>
              <w:rPr>
                <w:rFonts w:hint="eastAsia" w:ascii="宋体" w:hAnsi="宋体" w:eastAsia="宋体" w:cs="宋体"/>
                <w:color w:val="auto"/>
                <w:sz w:val="24"/>
                <w:highlight w:val="none"/>
              </w:rPr>
            </w:pPr>
          </w:p>
        </w:tc>
        <w:tc>
          <w:tcPr>
            <w:tcW w:w="1022" w:type="dxa"/>
            <w:noWrap w:val="0"/>
            <w:vAlign w:val="center"/>
          </w:tcPr>
          <w:p w14:paraId="55BB1BAB">
            <w:pPr>
              <w:spacing w:line="480" w:lineRule="exact"/>
              <w:rPr>
                <w:rFonts w:hint="eastAsia" w:ascii="宋体" w:hAnsi="宋体" w:eastAsia="宋体" w:cs="宋体"/>
                <w:color w:val="auto"/>
                <w:sz w:val="24"/>
                <w:highlight w:val="none"/>
              </w:rPr>
            </w:pPr>
          </w:p>
        </w:tc>
        <w:tc>
          <w:tcPr>
            <w:tcW w:w="1184" w:type="dxa"/>
            <w:noWrap w:val="0"/>
            <w:vAlign w:val="center"/>
          </w:tcPr>
          <w:p w14:paraId="7A0C92A2">
            <w:pPr>
              <w:spacing w:line="480" w:lineRule="exact"/>
              <w:rPr>
                <w:rFonts w:hint="eastAsia" w:ascii="宋体" w:hAnsi="宋体" w:eastAsia="宋体" w:cs="宋体"/>
                <w:color w:val="auto"/>
                <w:sz w:val="24"/>
                <w:highlight w:val="none"/>
              </w:rPr>
            </w:pPr>
          </w:p>
        </w:tc>
        <w:tc>
          <w:tcPr>
            <w:tcW w:w="1103" w:type="dxa"/>
            <w:noWrap w:val="0"/>
            <w:vAlign w:val="center"/>
          </w:tcPr>
          <w:p w14:paraId="7D737C45">
            <w:pPr>
              <w:spacing w:line="480" w:lineRule="exact"/>
              <w:rPr>
                <w:rFonts w:hint="eastAsia" w:ascii="宋体" w:hAnsi="宋体" w:eastAsia="宋体" w:cs="宋体"/>
                <w:color w:val="auto"/>
                <w:sz w:val="24"/>
                <w:highlight w:val="none"/>
              </w:rPr>
            </w:pPr>
          </w:p>
        </w:tc>
        <w:tc>
          <w:tcPr>
            <w:tcW w:w="1103" w:type="dxa"/>
            <w:noWrap w:val="0"/>
            <w:vAlign w:val="center"/>
          </w:tcPr>
          <w:p w14:paraId="7111275B">
            <w:pPr>
              <w:spacing w:line="480" w:lineRule="exact"/>
              <w:rPr>
                <w:rFonts w:hint="eastAsia" w:ascii="宋体" w:hAnsi="宋体" w:eastAsia="宋体" w:cs="宋体"/>
                <w:color w:val="auto"/>
                <w:sz w:val="24"/>
                <w:highlight w:val="none"/>
              </w:rPr>
            </w:pPr>
          </w:p>
        </w:tc>
        <w:tc>
          <w:tcPr>
            <w:tcW w:w="863" w:type="dxa"/>
            <w:noWrap w:val="0"/>
            <w:vAlign w:val="center"/>
          </w:tcPr>
          <w:p w14:paraId="0A0E7072">
            <w:pPr>
              <w:spacing w:line="480" w:lineRule="exact"/>
              <w:rPr>
                <w:rFonts w:hint="eastAsia" w:ascii="宋体" w:hAnsi="宋体" w:eastAsia="宋体" w:cs="宋体"/>
                <w:color w:val="auto"/>
                <w:sz w:val="24"/>
                <w:highlight w:val="none"/>
              </w:rPr>
            </w:pPr>
          </w:p>
        </w:tc>
        <w:tc>
          <w:tcPr>
            <w:tcW w:w="1280" w:type="dxa"/>
            <w:noWrap w:val="0"/>
            <w:vAlign w:val="center"/>
          </w:tcPr>
          <w:p w14:paraId="3BD0E414">
            <w:pPr>
              <w:spacing w:line="480" w:lineRule="exact"/>
              <w:rPr>
                <w:rFonts w:hint="eastAsia" w:ascii="宋体" w:hAnsi="宋体" w:eastAsia="宋体" w:cs="宋体"/>
                <w:color w:val="auto"/>
                <w:sz w:val="24"/>
                <w:highlight w:val="none"/>
              </w:rPr>
            </w:pPr>
          </w:p>
        </w:tc>
        <w:tc>
          <w:tcPr>
            <w:tcW w:w="847" w:type="dxa"/>
            <w:noWrap w:val="0"/>
            <w:vAlign w:val="center"/>
          </w:tcPr>
          <w:p w14:paraId="2522C352">
            <w:pPr>
              <w:spacing w:line="480" w:lineRule="exact"/>
              <w:rPr>
                <w:rFonts w:hint="eastAsia" w:ascii="宋体" w:hAnsi="宋体" w:eastAsia="宋体" w:cs="宋体"/>
                <w:color w:val="auto"/>
                <w:sz w:val="24"/>
                <w:highlight w:val="none"/>
              </w:rPr>
            </w:pPr>
          </w:p>
        </w:tc>
      </w:tr>
      <w:tr w14:paraId="0132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6C3C90D0">
            <w:pPr>
              <w:spacing w:line="480" w:lineRule="exact"/>
              <w:rPr>
                <w:rFonts w:hint="eastAsia" w:ascii="宋体" w:hAnsi="宋体" w:eastAsia="宋体" w:cs="宋体"/>
                <w:color w:val="auto"/>
                <w:sz w:val="24"/>
                <w:highlight w:val="none"/>
              </w:rPr>
            </w:pPr>
          </w:p>
        </w:tc>
        <w:tc>
          <w:tcPr>
            <w:tcW w:w="1103" w:type="dxa"/>
            <w:noWrap w:val="0"/>
            <w:vAlign w:val="center"/>
          </w:tcPr>
          <w:p w14:paraId="64D5A1D8">
            <w:pPr>
              <w:spacing w:line="480" w:lineRule="exact"/>
              <w:rPr>
                <w:rFonts w:hint="eastAsia" w:ascii="宋体" w:hAnsi="宋体" w:eastAsia="宋体" w:cs="宋体"/>
                <w:color w:val="auto"/>
                <w:sz w:val="24"/>
                <w:highlight w:val="none"/>
              </w:rPr>
            </w:pPr>
          </w:p>
        </w:tc>
        <w:tc>
          <w:tcPr>
            <w:tcW w:w="1022" w:type="dxa"/>
            <w:noWrap w:val="0"/>
            <w:vAlign w:val="center"/>
          </w:tcPr>
          <w:p w14:paraId="05EE5E93">
            <w:pPr>
              <w:spacing w:line="480" w:lineRule="exact"/>
              <w:rPr>
                <w:rFonts w:hint="eastAsia" w:ascii="宋体" w:hAnsi="宋体" w:eastAsia="宋体" w:cs="宋体"/>
                <w:color w:val="auto"/>
                <w:sz w:val="24"/>
                <w:highlight w:val="none"/>
              </w:rPr>
            </w:pPr>
          </w:p>
        </w:tc>
        <w:tc>
          <w:tcPr>
            <w:tcW w:w="1184" w:type="dxa"/>
            <w:noWrap w:val="0"/>
            <w:vAlign w:val="center"/>
          </w:tcPr>
          <w:p w14:paraId="5883B622">
            <w:pPr>
              <w:spacing w:line="480" w:lineRule="exact"/>
              <w:rPr>
                <w:rFonts w:hint="eastAsia" w:ascii="宋体" w:hAnsi="宋体" w:eastAsia="宋体" w:cs="宋体"/>
                <w:color w:val="auto"/>
                <w:sz w:val="24"/>
                <w:highlight w:val="none"/>
              </w:rPr>
            </w:pPr>
          </w:p>
        </w:tc>
        <w:tc>
          <w:tcPr>
            <w:tcW w:w="1103" w:type="dxa"/>
            <w:noWrap w:val="0"/>
            <w:vAlign w:val="center"/>
          </w:tcPr>
          <w:p w14:paraId="5B861630">
            <w:pPr>
              <w:spacing w:line="480" w:lineRule="exact"/>
              <w:rPr>
                <w:rFonts w:hint="eastAsia" w:ascii="宋体" w:hAnsi="宋体" w:eastAsia="宋体" w:cs="宋体"/>
                <w:color w:val="auto"/>
                <w:sz w:val="24"/>
                <w:highlight w:val="none"/>
              </w:rPr>
            </w:pPr>
          </w:p>
        </w:tc>
        <w:tc>
          <w:tcPr>
            <w:tcW w:w="1103" w:type="dxa"/>
            <w:noWrap w:val="0"/>
            <w:vAlign w:val="center"/>
          </w:tcPr>
          <w:p w14:paraId="279875A5">
            <w:pPr>
              <w:spacing w:line="480" w:lineRule="exact"/>
              <w:rPr>
                <w:rFonts w:hint="eastAsia" w:ascii="宋体" w:hAnsi="宋体" w:eastAsia="宋体" w:cs="宋体"/>
                <w:color w:val="auto"/>
                <w:sz w:val="24"/>
                <w:highlight w:val="none"/>
              </w:rPr>
            </w:pPr>
          </w:p>
        </w:tc>
        <w:tc>
          <w:tcPr>
            <w:tcW w:w="863" w:type="dxa"/>
            <w:noWrap w:val="0"/>
            <w:vAlign w:val="center"/>
          </w:tcPr>
          <w:p w14:paraId="7C62FBB8">
            <w:pPr>
              <w:spacing w:line="480" w:lineRule="exact"/>
              <w:rPr>
                <w:rFonts w:hint="eastAsia" w:ascii="宋体" w:hAnsi="宋体" w:eastAsia="宋体" w:cs="宋体"/>
                <w:color w:val="auto"/>
                <w:sz w:val="24"/>
                <w:highlight w:val="none"/>
              </w:rPr>
            </w:pPr>
          </w:p>
        </w:tc>
        <w:tc>
          <w:tcPr>
            <w:tcW w:w="1280" w:type="dxa"/>
            <w:noWrap w:val="0"/>
            <w:vAlign w:val="center"/>
          </w:tcPr>
          <w:p w14:paraId="2E23029A">
            <w:pPr>
              <w:spacing w:line="480" w:lineRule="exact"/>
              <w:rPr>
                <w:rFonts w:hint="eastAsia" w:ascii="宋体" w:hAnsi="宋体" w:eastAsia="宋体" w:cs="宋体"/>
                <w:color w:val="auto"/>
                <w:sz w:val="24"/>
                <w:highlight w:val="none"/>
              </w:rPr>
            </w:pPr>
          </w:p>
        </w:tc>
        <w:tc>
          <w:tcPr>
            <w:tcW w:w="847" w:type="dxa"/>
            <w:noWrap w:val="0"/>
            <w:vAlign w:val="center"/>
          </w:tcPr>
          <w:p w14:paraId="43A1F4BC">
            <w:pPr>
              <w:spacing w:line="480" w:lineRule="exact"/>
              <w:rPr>
                <w:rFonts w:hint="eastAsia" w:ascii="宋体" w:hAnsi="宋体" w:eastAsia="宋体" w:cs="宋体"/>
                <w:color w:val="auto"/>
                <w:sz w:val="24"/>
                <w:highlight w:val="none"/>
              </w:rPr>
            </w:pPr>
          </w:p>
        </w:tc>
      </w:tr>
      <w:tr w14:paraId="713A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118B6B99">
            <w:pPr>
              <w:spacing w:line="480" w:lineRule="exact"/>
              <w:rPr>
                <w:rFonts w:hint="eastAsia" w:ascii="宋体" w:hAnsi="宋体" w:eastAsia="宋体" w:cs="宋体"/>
                <w:color w:val="auto"/>
                <w:sz w:val="24"/>
                <w:highlight w:val="none"/>
              </w:rPr>
            </w:pPr>
          </w:p>
        </w:tc>
        <w:tc>
          <w:tcPr>
            <w:tcW w:w="1103" w:type="dxa"/>
            <w:noWrap w:val="0"/>
            <w:vAlign w:val="center"/>
          </w:tcPr>
          <w:p w14:paraId="7EC3A143">
            <w:pPr>
              <w:spacing w:line="480" w:lineRule="exact"/>
              <w:rPr>
                <w:rFonts w:hint="eastAsia" w:ascii="宋体" w:hAnsi="宋体" w:eastAsia="宋体" w:cs="宋体"/>
                <w:color w:val="auto"/>
                <w:sz w:val="24"/>
                <w:highlight w:val="none"/>
              </w:rPr>
            </w:pPr>
          </w:p>
        </w:tc>
        <w:tc>
          <w:tcPr>
            <w:tcW w:w="1022" w:type="dxa"/>
            <w:noWrap w:val="0"/>
            <w:vAlign w:val="center"/>
          </w:tcPr>
          <w:p w14:paraId="7C73ECB1">
            <w:pPr>
              <w:spacing w:line="480" w:lineRule="exact"/>
              <w:rPr>
                <w:rFonts w:hint="eastAsia" w:ascii="宋体" w:hAnsi="宋体" w:eastAsia="宋体" w:cs="宋体"/>
                <w:color w:val="auto"/>
                <w:sz w:val="24"/>
                <w:highlight w:val="none"/>
              </w:rPr>
            </w:pPr>
          </w:p>
        </w:tc>
        <w:tc>
          <w:tcPr>
            <w:tcW w:w="1184" w:type="dxa"/>
            <w:noWrap w:val="0"/>
            <w:vAlign w:val="center"/>
          </w:tcPr>
          <w:p w14:paraId="02A77DCD">
            <w:pPr>
              <w:spacing w:line="480" w:lineRule="exact"/>
              <w:rPr>
                <w:rFonts w:hint="eastAsia" w:ascii="宋体" w:hAnsi="宋体" w:eastAsia="宋体" w:cs="宋体"/>
                <w:color w:val="auto"/>
                <w:sz w:val="24"/>
                <w:highlight w:val="none"/>
              </w:rPr>
            </w:pPr>
          </w:p>
        </w:tc>
        <w:tc>
          <w:tcPr>
            <w:tcW w:w="1103" w:type="dxa"/>
            <w:noWrap w:val="0"/>
            <w:vAlign w:val="center"/>
          </w:tcPr>
          <w:p w14:paraId="4977B4D8">
            <w:pPr>
              <w:spacing w:line="480" w:lineRule="exact"/>
              <w:rPr>
                <w:rFonts w:hint="eastAsia" w:ascii="宋体" w:hAnsi="宋体" w:eastAsia="宋体" w:cs="宋体"/>
                <w:color w:val="auto"/>
                <w:sz w:val="24"/>
                <w:highlight w:val="none"/>
              </w:rPr>
            </w:pPr>
          </w:p>
        </w:tc>
        <w:tc>
          <w:tcPr>
            <w:tcW w:w="1103" w:type="dxa"/>
            <w:noWrap w:val="0"/>
            <w:vAlign w:val="center"/>
          </w:tcPr>
          <w:p w14:paraId="62954ECC">
            <w:pPr>
              <w:spacing w:line="480" w:lineRule="exact"/>
              <w:rPr>
                <w:rFonts w:hint="eastAsia" w:ascii="宋体" w:hAnsi="宋体" w:eastAsia="宋体" w:cs="宋体"/>
                <w:color w:val="auto"/>
                <w:sz w:val="24"/>
                <w:highlight w:val="none"/>
              </w:rPr>
            </w:pPr>
          </w:p>
        </w:tc>
        <w:tc>
          <w:tcPr>
            <w:tcW w:w="863" w:type="dxa"/>
            <w:noWrap w:val="0"/>
            <w:vAlign w:val="center"/>
          </w:tcPr>
          <w:p w14:paraId="7C3DED25">
            <w:pPr>
              <w:spacing w:line="480" w:lineRule="exact"/>
              <w:rPr>
                <w:rFonts w:hint="eastAsia" w:ascii="宋体" w:hAnsi="宋体" w:eastAsia="宋体" w:cs="宋体"/>
                <w:color w:val="auto"/>
                <w:sz w:val="24"/>
                <w:highlight w:val="none"/>
              </w:rPr>
            </w:pPr>
          </w:p>
        </w:tc>
        <w:tc>
          <w:tcPr>
            <w:tcW w:w="1280" w:type="dxa"/>
            <w:noWrap w:val="0"/>
            <w:vAlign w:val="center"/>
          </w:tcPr>
          <w:p w14:paraId="11A93036">
            <w:pPr>
              <w:spacing w:line="480" w:lineRule="exact"/>
              <w:rPr>
                <w:rFonts w:hint="eastAsia" w:ascii="宋体" w:hAnsi="宋体" w:eastAsia="宋体" w:cs="宋体"/>
                <w:color w:val="auto"/>
                <w:sz w:val="24"/>
                <w:highlight w:val="none"/>
              </w:rPr>
            </w:pPr>
          </w:p>
        </w:tc>
        <w:tc>
          <w:tcPr>
            <w:tcW w:w="847" w:type="dxa"/>
            <w:noWrap w:val="0"/>
            <w:vAlign w:val="center"/>
          </w:tcPr>
          <w:p w14:paraId="05394F18">
            <w:pPr>
              <w:spacing w:line="480" w:lineRule="exact"/>
              <w:rPr>
                <w:rFonts w:hint="eastAsia" w:ascii="宋体" w:hAnsi="宋体" w:eastAsia="宋体" w:cs="宋体"/>
                <w:color w:val="auto"/>
                <w:sz w:val="24"/>
                <w:highlight w:val="none"/>
              </w:rPr>
            </w:pPr>
          </w:p>
        </w:tc>
      </w:tr>
      <w:tr w14:paraId="59E4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19AE9AE4">
            <w:pPr>
              <w:spacing w:line="480" w:lineRule="exact"/>
              <w:rPr>
                <w:rFonts w:hint="eastAsia" w:ascii="宋体" w:hAnsi="宋体" w:eastAsia="宋体" w:cs="宋体"/>
                <w:color w:val="auto"/>
                <w:sz w:val="24"/>
                <w:highlight w:val="none"/>
              </w:rPr>
            </w:pPr>
          </w:p>
        </w:tc>
        <w:tc>
          <w:tcPr>
            <w:tcW w:w="1103" w:type="dxa"/>
            <w:noWrap w:val="0"/>
            <w:vAlign w:val="center"/>
          </w:tcPr>
          <w:p w14:paraId="055033FC">
            <w:pPr>
              <w:spacing w:line="480" w:lineRule="exact"/>
              <w:rPr>
                <w:rFonts w:hint="eastAsia" w:ascii="宋体" w:hAnsi="宋体" w:eastAsia="宋体" w:cs="宋体"/>
                <w:color w:val="auto"/>
                <w:sz w:val="24"/>
                <w:highlight w:val="none"/>
              </w:rPr>
            </w:pPr>
          </w:p>
        </w:tc>
        <w:tc>
          <w:tcPr>
            <w:tcW w:w="1022" w:type="dxa"/>
            <w:noWrap w:val="0"/>
            <w:vAlign w:val="center"/>
          </w:tcPr>
          <w:p w14:paraId="3D0E1BB5">
            <w:pPr>
              <w:spacing w:line="480" w:lineRule="exact"/>
              <w:rPr>
                <w:rFonts w:hint="eastAsia" w:ascii="宋体" w:hAnsi="宋体" w:eastAsia="宋体" w:cs="宋体"/>
                <w:color w:val="auto"/>
                <w:sz w:val="24"/>
                <w:highlight w:val="none"/>
              </w:rPr>
            </w:pPr>
          </w:p>
        </w:tc>
        <w:tc>
          <w:tcPr>
            <w:tcW w:w="1184" w:type="dxa"/>
            <w:noWrap w:val="0"/>
            <w:vAlign w:val="center"/>
          </w:tcPr>
          <w:p w14:paraId="16515CC2">
            <w:pPr>
              <w:spacing w:line="480" w:lineRule="exact"/>
              <w:rPr>
                <w:rFonts w:hint="eastAsia" w:ascii="宋体" w:hAnsi="宋体" w:eastAsia="宋体" w:cs="宋体"/>
                <w:color w:val="auto"/>
                <w:sz w:val="24"/>
                <w:highlight w:val="none"/>
              </w:rPr>
            </w:pPr>
          </w:p>
        </w:tc>
        <w:tc>
          <w:tcPr>
            <w:tcW w:w="1103" w:type="dxa"/>
            <w:noWrap w:val="0"/>
            <w:vAlign w:val="center"/>
          </w:tcPr>
          <w:p w14:paraId="79CFF395">
            <w:pPr>
              <w:spacing w:line="480" w:lineRule="exact"/>
              <w:rPr>
                <w:rFonts w:hint="eastAsia" w:ascii="宋体" w:hAnsi="宋体" w:eastAsia="宋体" w:cs="宋体"/>
                <w:color w:val="auto"/>
                <w:sz w:val="24"/>
                <w:highlight w:val="none"/>
              </w:rPr>
            </w:pPr>
          </w:p>
        </w:tc>
        <w:tc>
          <w:tcPr>
            <w:tcW w:w="1103" w:type="dxa"/>
            <w:noWrap w:val="0"/>
            <w:vAlign w:val="center"/>
          </w:tcPr>
          <w:p w14:paraId="13FB59D0">
            <w:pPr>
              <w:spacing w:line="480" w:lineRule="exact"/>
              <w:rPr>
                <w:rFonts w:hint="eastAsia" w:ascii="宋体" w:hAnsi="宋体" w:eastAsia="宋体" w:cs="宋体"/>
                <w:color w:val="auto"/>
                <w:sz w:val="24"/>
                <w:highlight w:val="none"/>
              </w:rPr>
            </w:pPr>
          </w:p>
        </w:tc>
        <w:tc>
          <w:tcPr>
            <w:tcW w:w="863" w:type="dxa"/>
            <w:noWrap w:val="0"/>
            <w:vAlign w:val="center"/>
          </w:tcPr>
          <w:p w14:paraId="69087BAA">
            <w:pPr>
              <w:spacing w:line="480" w:lineRule="exact"/>
              <w:rPr>
                <w:rFonts w:hint="eastAsia" w:ascii="宋体" w:hAnsi="宋体" w:eastAsia="宋体" w:cs="宋体"/>
                <w:color w:val="auto"/>
                <w:sz w:val="24"/>
                <w:highlight w:val="none"/>
              </w:rPr>
            </w:pPr>
          </w:p>
        </w:tc>
        <w:tc>
          <w:tcPr>
            <w:tcW w:w="1280" w:type="dxa"/>
            <w:noWrap w:val="0"/>
            <w:vAlign w:val="center"/>
          </w:tcPr>
          <w:p w14:paraId="2C237881">
            <w:pPr>
              <w:spacing w:line="480" w:lineRule="exact"/>
              <w:rPr>
                <w:rFonts w:hint="eastAsia" w:ascii="宋体" w:hAnsi="宋体" w:eastAsia="宋体" w:cs="宋体"/>
                <w:color w:val="auto"/>
                <w:sz w:val="24"/>
                <w:highlight w:val="none"/>
              </w:rPr>
            </w:pPr>
          </w:p>
        </w:tc>
        <w:tc>
          <w:tcPr>
            <w:tcW w:w="847" w:type="dxa"/>
            <w:noWrap w:val="0"/>
            <w:vAlign w:val="center"/>
          </w:tcPr>
          <w:p w14:paraId="6F2AE157">
            <w:pPr>
              <w:spacing w:line="480" w:lineRule="exact"/>
              <w:rPr>
                <w:rFonts w:hint="eastAsia" w:ascii="宋体" w:hAnsi="宋体" w:eastAsia="宋体" w:cs="宋体"/>
                <w:color w:val="auto"/>
                <w:sz w:val="24"/>
                <w:highlight w:val="none"/>
              </w:rPr>
            </w:pPr>
          </w:p>
        </w:tc>
      </w:tr>
      <w:tr w14:paraId="4C27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214F6EFA">
            <w:pPr>
              <w:spacing w:line="480" w:lineRule="exact"/>
              <w:rPr>
                <w:rFonts w:hint="eastAsia" w:ascii="宋体" w:hAnsi="宋体" w:eastAsia="宋体" w:cs="宋体"/>
                <w:color w:val="auto"/>
                <w:sz w:val="24"/>
                <w:highlight w:val="none"/>
              </w:rPr>
            </w:pPr>
          </w:p>
        </w:tc>
        <w:tc>
          <w:tcPr>
            <w:tcW w:w="1103" w:type="dxa"/>
            <w:noWrap w:val="0"/>
            <w:vAlign w:val="center"/>
          </w:tcPr>
          <w:p w14:paraId="74520206">
            <w:pPr>
              <w:spacing w:line="480" w:lineRule="exact"/>
              <w:rPr>
                <w:rFonts w:hint="eastAsia" w:ascii="宋体" w:hAnsi="宋体" w:eastAsia="宋体" w:cs="宋体"/>
                <w:color w:val="auto"/>
                <w:sz w:val="24"/>
                <w:highlight w:val="none"/>
              </w:rPr>
            </w:pPr>
          </w:p>
        </w:tc>
        <w:tc>
          <w:tcPr>
            <w:tcW w:w="1022" w:type="dxa"/>
            <w:noWrap w:val="0"/>
            <w:vAlign w:val="center"/>
          </w:tcPr>
          <w:p w14:paraId="0C0BC080">
            <w:pPr>
              <w:spacing w:line="480" w:lineRule="exact"/>
              <w:rPr>
                <w:rFonts w:hint="eastAsia" w:ascii="宋体" w:hAnsi="宋体" w:eastAsia="宋体" w:cs="宋体"/>
                <w:color w:val="auto"/>
                <w:sz w:val="24"/>
                <w:highlight w:val="none"/>
              </w:rPr>
            </w:pPr>
          </w:p>
        </w:tc>
        <w:tc>
          <w:tcPr>
            <w:tcW w:w="1184" w:type="dxa"/>
            <w:noWrap w:val="0"/>
            <w:vAlign w:val="center"/>
          </w:tcPr>
          <w:p w14:paraId="7EE75818">
            <w:pPr>
              <w:spacing w:line="480" w:lineRule="exact"/>
              <w:rPr>
                <w:rFonts w:hint="eastAsia" w:ascii="宋体" w:hAnsi="宋体" w:eastAsia="宋体" w:cs="宋体"/>
                <w:color w:val="auto"/>
                <w:sz w:val="24"/>
                <w:highlight w:val="none"/>
              </w:rPr>
            </w:pPr>
          </w:p>
        </w:tc>
        <w:tc>
          <w:tcPr>
            <w:tcW w:w="1103" w:type="dxa"/>
            <w:noWrap w:val="0"/>
            <w:vAlign w:val="center"/>
          </w:tcPr>
          <w:p w14:paraId="42E042D9">
            <w:pPr>
              <w:spacing w:line="480" w:lineRule="exact"/>
              <w:rPr>
                <w:rFonts w:hint="eastAsia" w:ascii="宋体" w:hAnsi="宋体" w:eastAsia="宋体" w:cs="宋体"/>
                <w:color w:val="auto"/>
                <w:sz w:val="24"/>
                <w:highlight w:val="none"/>
              </w:rPr>
            </w:pPr>
          </w:p>
        </w:tc>
        <w:tc>
          <w:tcPr>
            <w:tcW w:w="1103" w:type="dxa"/>
            <w:noWrap w:val="0"/>
            <w:vAlign w:val="center"/>
          </w:tcPr>
          <w:p w14:paraId="1E383BD6">
            <w:pPr>
              <w:spacing w:line="480" w:lineRule="exact"/>
              <w:rPr>
                <w:rFonts w:hint="eastAsia" w:ascii="宋体" w:hAnsi="宋体" w:eastAsia="宋体" w:cs="宋体"/>
                <w:color w:val="auto"/>
                <w:sz w:val="24"/>
                <w:highlight w:val="none"/>
              </w:rPr>
            </w:pPr>
          </w:p>
        </w:tc>
        <w:tc>
          <w:tcPr>
            <w:tcW w:w="863" w:type="dxa"/>
            <w:noWrap w:val="0"/>
            <w:vAlign w:val="center"/>
          </w:tcPr>
          <w:p w14:paraId="3330930B">
            <w:pPr>
              <w:spacing w:line="480" w:lineRule="exact"/>
              <w:rPr>
                <w:rFonts w:hint="eastAsia" w:ascii="宋体" w:hAnsi="宋体" w:eastAsia="宋体" w:cs="宋体"/>
                <w:color w:val="auto"/>
                <w:sz w:val="24"/>
                <w:highlight w:val="none"/>
              </w:rPr>
            </w:pPr>
          </w:p>
        </w:tc>
        <w:tc>
          <w:tcPr>
            <w:tcW w:w="1280" w:type="dxa"/>
            <w:noWrap w:val="0"/>
            <w:vAlign w:val="center"/>
          </w:tcPr>
          <w:p w14:paraId="26654396">
            <w:pPr>
              <w:spacing w:line="480" w:lineRule="exact"/>
              <w:rPr>
                <w:rFonts w:hint="eastAsia" w:ascii="宋体" w:hAnsi="宋体" w:eastAsia="宋体" w:cs="宋体"/>
                <w:color w:val="auto"/>
                <w:sz w:val="24"/>
                <w:highlight w:val="none"/>
              </w:rPr>
            </w:pPr>
          </w:p>
        </w:tc>
        <w:tc>
          <w:tcPr>
            <w:tcW w:w="847" w:type="dxa"/>
            <w:noWrap w:val="0"/>
            <w:vAlign w:val="center"/>
          </w:tcPr>
          <w:p w14:paraId="3BCB670A">
            <w:pPr>
              <w:spacing w:line="480" w:lineRule="exact"/>
              <w:rPr>
                <w:rFonts w:hint="eastAsia" w:ascii="宋体" w:hAnsi="宋体" w:eastAsia="宋体" w:cs="宋体"/>
                <w:color w:val="auto"/>
                <w:sz w:val="24"/>
                <w:highlight w:val="none"/>
              </w:rPr>
            </w:pPr>
          </w:p>
        </w:tc>
      </w:tr>
      <w:tr w14:paraId="7791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731D5892">
            <w:pPr>
              <w:spacing w:line="480" w:lineRule="exact"/>
              <w:rPr>
                <w:rFonts w:hint="eastAsia" w:ascii="宋体" w:hAnsi="宋体" w:eastAsia="宋体" w:cs="宋体"/>
                <w:color w:val="auto"/>
                <w:sz w:val="24"/>
                <w:highlight w:val="none"/>
              </w:rPr>
            </w:pPr>
          </w:p>
        </w:tc>
        <w:tc>
          <w:tcPr>
            <w:tcW w:w="1103" w:type="dxa"/>
            <w:noWrap w:val="0"/>
            <w:vAlign w:val="center"/>
          </w:tcPr>
          <w:p w14:paraId="4F14CE3D">
            <w:pPr>
              <w:spacing w:line="480" w:lineRule="exact"/>
              <w:rPr>
                <w:rFonts w:hint="eastAsia" w:ascii="宋体" w:hAnsi="宋体" w:eastAsia="宋体" w:cs="宋体"/>
                <w:color w:val="auto"/>
                <w:sz w:val="24"/>
                <w:highlight w:val="none"/>
              </w:rPr>
            </w:pPr>
          </w:p>
        </w:tc>
        <w:tc>
          <w:tcPr>
            <w:tcW w:w="1022" w:type="dxa"/>
            <w:noWrap w:val="0"/>
            <w:vAlign w:val="center"/>
          </w:tcPr>
          <w:p w14:paraId="42584555">
            <w:pPr>
              <w:spacing w:line="480" w:lineRule="exact"/>
              <w:rPr>
                <w:rFonts w:hint="eastAsia" w:ascii="宋体" w:hAnsi="宋体" w:eastAsia="宋体" w:cs="宋体"/>
                <w:color w:val="auto"/>
                <w:sz w:val="24"/>
                <w:highlight w:val="none"/>
              </w:rPr>
            </w:pPr>
          </w:p>
        </w:tc>
        <w:tc>
          <w:tcPr>
            <w:tcW w:w="1184" w:type="dxa"/>
            <w:noWrap w:val="0"/>
            <w:vAlign w:val="center"/>
          </w:tcPr>
          <w:p w14:paraId="59C0F4D0">
            <w:pPr>
              <w:spacing w:line="480" w:lineRule="exact"/>
              <w:rPr>
                <w:rFonts w:hint="eastAsia" w:ascii="宋体" w:hAnsi="宋体" w:eastAsia="宋体" w:cs="宋体"/>
                <w:color w:val="auto"/>
                <w:sz w:val="24"/>
                <w:highlight w:val="none"/>
              </w:rPr>
            </w:pPr>
          </w:p>
        </w:tc>
        <w:tc>
          <w:tcPr>
            <w:tcW w:w="1103" w:type="dxa"/>
            <w:noWrap w:val="0"/>
            <w:vAlign w:val="center"/>
          </w:tcPr>
          <w:p w14:paraId="517C4EA1">
            <w:pPr>
              <w:spacing w:line="480" w:lineRule="exact"/>
              <w:rPr>
                <w:rFonts w:hint="eastAsia" w:ascii="宋体" w:hAnsi="宋体" w:eastAsia="宋体" w:cs="宋体"/>
                <w:color w:val="auto"/>
                <w:sz w:val="24"/>
                <w:highlight w:val="none"/>
              </w:rPr>
            </w:pPr>
          </w:p>
        </w:tc>
        <w:tc>
          <w:tcPr>
            <w:tcW w:w="1103" w:type="dxa"/>
            <w:noWrap w:val="0"/>
            <w:vAlign w:val="center"/>
          </w:tcPr>
          <w:p w14:paraId="5949BD28">
            <w:pPr>
              <w:spacing w:line="480" w:lineRule="exact"/>
              <w:rPr>
                <w:rFonts w:hint="eastAsia" w:ascii="宋体" w:hAnsi="宋体" w:eastAsia="宋体" w:cs="宋体"/>
                <w:color w:val="auto"/>
                <w:sz w:val="24"/>
                <w:highlight w:val="none"/>
              </w:rPr>
            </w:pPr>
          </w:p>
        </w:tc>
        <w:tc>
          <w:tcPr>
            <w:tcW w:w="863" w:type="dxa"/>
            <w:noWrap w:val="0"/>
            <w:vAlign w:val="center"/>
          </w:tcPr>
          <w:p w14:paraId="59F80D05">
            <w:pPr>
              <w:spacing w:line="480" w:lineRule="exact"/>
              <w:rPr>
                <w:rFonts w:hint="eastAsia" w:ascii="宋体" w:hAnsi="宋体" w:eastAsia="宋体" w:cs="宋体"/>
                <w:color w:val="auto"/>
                <w:sz w:val="24"/>
                <w:highlight w:val="none"/>
              </w:rPr>
            </w:pPr>
          </w:p>
        </w:tc>
        <w:tc>
          <w:tcPr>
            <w:tcW w:w="1280" w:type="dxa"/>
            <w:noWrap w:val="0"/>
            <w:vAlign w:val="center"/>
          </w:tcPr>
          <w:p w14:paraId="69E35676">
            <w:pPr>
              <w:spacing w:line="480" w:lineRule="exact"/>
              <w:rPr>
                <w:rFonts w:hint="eastAsia" w:ascii="宋体" w:hAnsi="宋体" w:eastAsia="宋体" w:cs="宋体"/>
                <w:color w:val="auto"/>
                <w:sz w:val="24"/>
                <w:highlight w:val="none"/>
              </w:rPr>
            </w:pPr>
          </w:p>
        </w:tc>
        <w:tc>
          <w:tcPr>
            <w:tcW w:w="847" w:type="dxa"/>
            <w:noWrap w:val="0"/>
            <w:vAlign w:val="center"/>
          </w:tcPr>
          <w:p w14:paraId="412E59D1">
            <w:pPr>
              <w:spacing w:line="480" w:lineRule="exact"/>
              <w:rPr>
                <w:rFonts w:hint="eastAsia" w:ascii="宋体" w:hAnsi="宋体" w:eastAsia="宋体" w:cs="宋体"/>
                <w:color w:val="auto"/>
                <w:sz w:val="24"/>
                <w:highlight w:val="none"/>
              </w:rPr>
            </w:pPr>
          </w:p>
        </w:tc>
      </w:tr>
      <w:tr w14:paraId="13F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76251987">
            <w:pPr>
              <w:spacing w:line="480" w:lineRule="exact"/>
              <w:rPr>
                <w:rFonts w:hint="eastAsia" w:ascii="宋体" w:hAnsi="宋体" w:eastAsia="宋体" w:cs="宋体"/>
                <w:color w:val="auto"/>
                <w:sz w:val="24"/>
                <w:highlight w:val="none"/>
              </w:rPr>
            </w:pPr>
          </w:p>
        </w:tc>
        <w:tc>
          <w:tcPr>
            <w:tcW w:w="1103" w:type="dxa"/>
            <w:noWrap w:val="0"/>
            <w:vAlign w:val="center"/>
          </w:tcPr>
          <w:p w14:paraId="1678456D">
            <w:pPr>
              <w:spacing w:line="480" w:lineRule="exact"/>
              <w:rPr>
                <w:rFonts w:hint="eastAsia" w:ascii="宋体" w:hAnsi="宋体" w:eastAsia="宋体" w:cs="宋体"/>
                <w:color w:val="auto"/>
                <w:sz w:val="24"/>
                <w:highlight w:val="none"/>
              </w:rPr>
            </w:pPr>
          </w:p>
        </w:tc>
        <w:tc>
          <w:tcPr>
            <w:tcW w:w="1022" w:type="dxa"/>
            <w:noWrap w:val="0"/>
            <w:vAlign w:val="center"/>
          </w:tcPr>
          <w:p w14:paraId="2CB37152">
            <w:pPr>
              <w:spacing w:line="480" w:lineRule="exact"/>
              <w:rPr>
                <w:rFonts w:hint="eastAsia" w:ascii="宋体" w:hAnsi="宋体" w:eastAsia="宋体" w:cs="宋体"/>
                <w:color w:val="auto"/>
                <w:sz w:val="24"/>
                <w:highlight w:val="none"/>
              </w:rPr>
            </w:pPr>
          </w:p>
        </w:tc>
        <w:tc>
          <w:tcPr>
            <w:tcW w:w="1184" w:type="dxa"/>
            <w:noWrap w:val="0"/>
            <w:vAlign w:val="center"/>
          </w:tcPr>
          <w:p w14:paraId="0B300472">
            <w:pPr>
              <w:spacing w:line="480" w:lineRule="exact"/>
              <w:rPr>
                <w:rFonts w:hint="eastAsia" w:ascii="宋体" w:hAnsi="宋体" w:eastAsia="宋体" w:cs="宋体"/>
                <w:color w:val="auto"/>
                <w:sz w:val="24"/>
                <w:highlight w:val="none"/>
              </w:rPr>
            </w:pPr>
          </w:p>
        </w:tc>
        <w:tc>
          <w:tcPr>
            <w:tcW w:w="1103" w:type="dxa"/>
            <w:noWrap w:val="0"/>
            <w:vAlign w:val="center"/>
          </w:tcPr>
          <w:p w14:paraId="506012CC">
            <w:pPr>
              <w:spacing w:line="480" w:lineRule="exact"/>
              <w:rPr>
                <w:rFonts w:hint="eastAsia" w:ascii="宋体" w:hAnsi="宋体" w:eastAsia="宋体" w:cs="宋体"/>
                <w:color w:val="auto"/>
                <w:sz w:val="24"/>
                <w:highlight w:val="none"/>
              </w:rPr>
            </w:pPr>
          </w:p>
        </w:tc>
        <w:tc>
          <w:tcPr>
            <w:tcW w:w="1103" w:type="dxa"/>
            <w:noWrap w:val="0"/>
            <w:vAlign w:val="center"/>
          </w:tcPr>
          <w:p w14:paraId="04FD8F6B">
            <w:pPr>
              <w:spacing w:line="480" w:lineRule="exact"/>
              <w:rPr>
                <w:rFonts w:hint="eastAsia" w:ascii="宋体" w:hAnsi="宋体" w:eastAsia="宋体" w:cs="宋体"/>
                <w:color w:val="auto"/>
                <w:sz w:val="24"/>
                <w:highlight w:val="none"/>
              </w:rPr>
            </w:pPr>
          </w:p>
        </w:tc>
        <w:tc>
          <w:tcPr>
            <w:tcW w:w="863" w:type="dxa"/>
            <w:noWrap w:val="0"/>
            <w:vAlign w:val="center"/>
          </w:tcPr>
          <w:p w14:paraId="2B60B6A7">
            <w:pPr>
              <w:spacing w:line="480" w:lineRule="exact"/>
              <w:rPr>
                <w:rFonts w:hint="eastAsia" w:ascii="宋体" w:hAnsi="宋体" w:eastAsia="宋体" w:cs="宋体"/>
                <w:color w:val="auto"/>
                <w:sz w:val="24"/>
                <w:highlight w:val="none"/>
              </w:rPr>
            </w:pPr>
          </w:p>
        </w:tc>
        <w:tc>
          <w:tcPr>
            <w:tcW w:w="1280" w:type="dxa"/>
            <w:noWrap w:val="0"/>
            <w:vAlign w:val="center"/>
          </w:tcPr>
          <w:p w14:paraId="6E610F38">
            <w:pPr>
              <w:spacing w:line="480" w:lineRule="exact"/>
              <w:rPr>
                <w:rFonts w:hint="eastAsia" w:ascii="宋体" w:hAnsi="宋体" w:eastAsia="宋体" w:cs="宋体"/>
                <w:color w:val="auto"/>
                <w:sz w:val="24"/>
                <w:highlight w:val="none"/>
              </w:rPr>
            </w:pPr>
          </w:p>
        </w:tc>
        <w:tc>
          <w:tcPr>
            <w:tcW w:w="847" w:type="dxa"/>
            <w:noWrap w:val="0"/>
            <w:vAlign w:val="center"/>
          </w:tcPr>
          <w:p w14:paraId="6B578146">
            <w:pPr>
              <w:spacing w:line="480" w:lineRule="exact"/>
              <w:rPr>
                <w:rFonts w:hint="eastAsia" w:ascii="宋体" w:hAnsi="宋体" w:eastAsia="宋体" w:cs="宋体"/>
                <w:color w:val="auto"/>
                <w:sz w:val="24"/>
                <w:highlight w:val="none"/>
              </w:rPr>
            </w:pPr>
          </w:p>
        </w:tc>
      </w:tr>
      <w:tr w14:paraId="067A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35FA982D">
            <w:pPr>
              <w:spacing w:line="480" w:lineRule="exact"/>
              <w:rPr>
                <w:rFonts w:hint="eastAsia" w:ascii="宋体" w:hAnsi="宋体" w:eastAsia="宋体" w:cs="宋体"/>
                <w:color w:val="auto"/>
                <w:sz w:val="24"/>
                <w:highlight w:val="none"/>
              </w:rPr>
            </w:pPr>
          </w:p>
        </w:tc>
        <w:tc>
          <w:tcPr>
            <w:tcW w:w="1103" w:type="dxa"/>
            <w:noWrap w:val="0"/>
            <w:vAlign w:val="center"/>
          </w:tcPr>
          <w:p w14:paraId="6375BEA4">
            <w:pPr>
              <w:spacing w:line="480" w:lineRule="exact"/>
              <w:rPr>
                <w:rFonts w:hint="eastAsia" w:ascii="宋体" w:hAnsi="宋体" w:eastAsia="宋体" w:cs="宋体"/>
                <w:color w:val="auto"/>
                <w:sz w:val="24"/>
                <w:highlight w:val="none"/>
              </w:rPr>
            </w:pPr>
          </w:p>
        </w:tc>
        <w:tc>
          <w:tcPr>
            <w:tcW w:w="1022" w:type="dxa"/>
            <w:noWrap w:val="0"/>
            <w:vAlign w:val="center"/>
          </w:tcPr>
          <w:p w14:paraId="0AEF2C00">
            <w:pPr>
              <w:spacing w:line="480" w:lineRule="exact"/>
              <w:rPr>
                <w:rFonts w:hint="eastAsia" w:ascii="宋体" w:hAnsi="宋体" w:eastAsia="宋体" w:cs="宋体"/>
                <w:color w:val="auto"/>
                <w:sz w:val="24"/>
                <w:highlight w:val="none"/>
              </w:rPr>
            </w:pPr>
          </w:p>
        </w:tc>
        <w:tc>
          <w:tcPr>
            <w:tcW w:w="1184" w:type="dxa"/>
            <w:noWrap w:val="0"/>
            <w:vAlign w:val="center"/>
          </w:tcPr>
          <w:p w14:paraId="5EEE6F67">
            <w:pPr>
              <w:spacing w:line="480" w:lineRule="exact"/>
              <w:rPr>
                <w:rFonts w:hint="eastAsia" w:ascii="宋体" w:hAnsi="宋体" w:eastAsia="宋体" w:cs="宋体"/>
                <w:color w:val="auto"/>
                <w:sz w:val="24"/>
                <w:highlight w:val="none"/>
              </w:rPr>
            </w:pPr>
          </w:p>
        </w:tc>
        <w:tc>
          <w:tcPr>
            <w:tcW w:w="1103" w:type="dxa"/>
            <w:noWrap w:val="0"/>
            <w:vAlign w:val="center"/>
          </w:tcPr>
          <w:p w14:paraId="308001A6">
            <w:pPr>
              <w:spacing w:line="480" w:lineRule="exact"/>
              <w:rPr>
                <w:rFonts w:hint="eastAsia" w:ascii="宋体" w:hAnsi="宋体" w:eastAsia="宋体" w:cs="宋体"/>
                <w:color w:val="auto"/>
                <w:sz w:val="24"/>
                <w:highlight w:val="none"/>
              </w:rPr>
            </w:pPr>
          </w:p>
        </w:tc>
        <w:tc>
          <w:tcPr>
            <w:tcW w:w="1103" w:type="dxa"/>
            <w:noWrap w:val="0"/>
            <w:vAlign w:val="center"/>
          </w:tcPr>
          <w:p w14:paraId="18A48940">
            <w:pPr>
              <w:spacing w:line="480" w:lineRule="exact"/>
              <w:rPr>
                <w:rFonts w:hint="eastAsia" w:ascii="宋体" w:hAnsi="宋体" w:eastAsia="宋体" w:cs="宋体"/>
                <w:color w:val="auto"/>
                <w:sz w:val="24"/>
                <w:highlight w:val="none"/>
              </w:rPr>
            </w:pPr>
          </w:p>
        </w:tc>
        <w:tc>
          <w:tcPr>
            <w:tcW w:w="863" w:type="dxa"/>
            <w:noWrap w:val="0"/>
            <w:vAlign w:val="center"/>
          </w:tcPr>
          <w:p w14:paraId="58F8AB9C">
            <w:pPr>
              <w:spacing w:line="480" w:lineRule="exact"/>
              <w:rPr>
                <w:rFonts w:hint="eastAsia" w:ascii="宋体" w:hAnsi="宋体" w:eastAsia="宋体" w:cs="宋体"/>
                <w:color w:val="auto"/>
                <w:sz w:val="24"/>
                <w:highlight w:val="none"/>
              </w:rPr>
            </w:pPr>
          </w:p>
        </w:tc>
        <w:tc>
          <w:tcPr>
            <w:tcW w:w="1280" w:type="dxa"/>
            <w:noWrap w:val="0"/>
            <w:vAlign w:val="center"/>
          </w:tcPr>
          <w:p w14:paraId="6060B21F">
            <w:pPr>
              <w:spacing w:line="480" w:lineRule="exact"/>
              <w:rPr>
                <w:rFonts w:hint="eastAsia" w:ascii="宋体" w:hAnsi="宋体" w:eastAsia="宋体" w:cs="宋体"/>
                <w:color w:val="auto"/>
                <w:sz w:val="24"/>
                <w:highlight w:val="none"/>
              </w:rPr>
            </w:pPr>
          </w:p>
        </w:tc>
        <w:tc>
          <w:tcPr>
            <w:tcW w:w="847" w:type="dxa"/>
            <w:noWrap w:val="0"/>
            <w:vAlign w:val="center"/>
          </w:tcPr>
          <w:p w14:paraId="4FF73FFD">
            <w:pPr>
              <w:spacing w:line="480" w:lineRule="exact"/>
              <w:rPr>
                <w:rFonts w:hint="eastAsia" w:ascii="宋体" w:hAnsi="宋体" w:eastAsia="宋体" w:cs="宋体"/>
                <w:color w:val="auto"/>
                <w:sz w:val="24"/>
                <w:highlight w:val="none"/>
              </w:rPr>
            </w:pPr>
          </w:p>
        </w:tc>
      </w:tr>
      <w:tr w14:paraId="72B0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0D90DE30">
            <w:pPr>
              <w:spacing w:line="480" w:lineRule="exact"/>
              <w:rPr>
                <w:rFonts w:hint="eastAsia" w:ascii="宋体" w:hAnsi="宋体" w:eastAsia="宋体" w:cs="宋体"/>
                <w:color w:val="auto"/>
                <w:sz w:val="24"/>
                <w:highlight w:val="none"/>
              </w:rPr>
            </w:pPr>
          </w:p>
        </w:tc>
        <w:tc>
          <w:tcPr>
            <w:tcW w:w="1103" w:type="dxa"/>
            <w:noWrap w:val="0"/>
            <w:vAlign w:val="center"/>
          </w:tcPr>
          <w:p w14:paraId="3433550C">
            <w:pPr>
              <w:spacing w:line="480" w:lineRule="exact"/>
              <w:rPr>
                <w:rFonts w:hint="eastAsia" w:ascii="宋体" w:hAnsi="宋体" w:eastAsia="宋体" w:cs="宋体"/>
                <w:color w:val="auto"/>
                <w:sz w:val="24"/>
                <w:highlight w:val="none"/>
              </w:rPr>
            </w:pPr>
          </w:p>
        </w:tc>
        <w:tc>
          <w:tcPr>
            <w:tcW w:w="1022" w:type="dxa"/>
            <w:noWrap w:val="0"/>
            <w:vAlign w:val="center"/>
          </w:tcPr>
          <w:p w14:paraId="07ADF591">
            <w:pPr>
              <w:spacing w:line="480" w:lineRule="exact"/>
              <w:rPr>
                <w:rFonts w:hint="eastAsia" w:ascii="宋体" w:hAnsi="宋体" w:eastAsia="宋体" w:cs="宋体"/>
                <w:color w:val="auto"/>
                <w:sz w:val="24"/>
                <w:highlight w:val="none"/>
              </w:rPr>
            </w:pPr>
          </w:p>
        </w:tc>
        <w:tc>
          <w:tcPr>
            <w:tcW w:w="1184" w:type="dxa"/>
            <w:noWrap w:val="0"/>
            <w:vAlign w:val="center"/>
          </w:tcPr>
          <w:p w14:paraId="114FD6F0">
            <w:pPr>
              <w:spacing w:line="480" w:lineRule="exact"/>
              <w:rPr>
                <w:rFonts w:hint="eastAsia" w:ascii="宋体" w:hAnsi="宋体" w:eastAsia="宋体" w:cs="宋体"/>
                <w:color w:val="auto"/>
                <w:sz w:val="24"/>
                <w:highlight w:val="none"/>
              </w:rPr>
            </w:pPr>
          </w:p>
        </w:tc>
        <w:tc>
          <w:tcPr>
            <w:tcW w:w="1103" w:type="dxa"/>
            <w:noWrap w:val="0"/>
            <w:vAlign w:val="center"/>
          </w:tcPr>
          <w:p w14:paraId="1D16A23A">
            <w:pPr>
              <w:spacing w:line="480" w:lineRule="exact"/>
              <w:rPr>
                <w:rFonts w:hint="eastAsia" w:ascii="宋体" w:hAnsi="宋体" w:eastAsia="宋体" w:cs="宋体"/>
                <w:color w:val="auto"/>
                <w:sz w:val="24"/>
                <w:highlight w:val="none"/>
              </w:rPr>
            </w:pPr>
          </w:p>
        </w:tc>
        <w:tc>
          <w:tcPr>
            <w:tcW w:w="1103" w:type="dxa"/>
            <w:noWrap w:val="0"/>
            <w:vAlign w:val="center"/>
          </w:tcPr>
          <w:p w14:paraId="103A7445">
            <w:pPr>
              <w:spacing w:line="480" w:lineRule="exact"/>
              <w:rPr>
                <w:rFonts w:hint="eastAsia" w:ascii="宋体" w:hAnsi="宋体" w:eastAsia="宋体" w:cs="宋体"/>
                <w:color w:val="auto"/>
                <w:sz w:val="24"/>
                <w:highlight w:val="none"/>
              </w:rPr>
            </w:pPr>
          </w:p>
        </w:tc>
        <w:tc>
          <w:tcPr>
            <w:tcW w:w="863" w:type="dxa"/>
            <w:noWrap w:val="0"/>
            <w:vAlign w:val="center"/>
          </w:tcPr>
          <w:p w14:paraId="42406B17">
            <w:pPr>
              <w:spacing w:line="480" w:lineRule="exact"/>
              <w:rPr>
                <w:rFonts w:hint="eastAsia" w:ascii="宋体" w:hAnsi="宋体" w:eastAsia="宋体" w:cs="宋体"/>
                <w:color w:val="auto"/>
                <w:sz w:val="24"/>
                <w:highlight w:val="none"/>
              </w:rPr>
            </w:pPr>
          </w:p>
        </w:tc>
        <w:tc>
          <w:tcPr>
            <w:tcW w:w="1280" w:type="dxa"/>
            <w:noWrap w:val="0"/>
            <w:vAlign w:val="center"/>
          </w:tcPr>
          <w:p w14:paraId="7F5F6FB3">
            <w:pPr>
              <w:spacing w:line="480" w:lineRule="exact"/>
              <w:rPr>
                <w:rFonts w:hint="eastAsia" w:ascii="宋体" w:hAnsi="宋体" w:eastAsia="宋体" w:cs="宋体"/>
                <w:color w:val="auto"/>
                <w:sz w:val="24"/>
                <w:highlight w:val="none"/>
              </w:rPr>
            </w:pPr>
          </w:p>
        </w:tc>
        <w:tc>
          <w:tcPr>
            <w:tcW w:w="847" w:type="dxa"/>
            <w:noWrap w:val="0"/>
            <w:vAlign w:val="center"/>
          </w:tcPr>
          <w:p w14:paraId="37A1B58D">
            <w:pPr>
              <w:spacing w:line="480" w:lineRule="exact"/>
              <w:rPr>
                <w:rFonts w:hint="eastAsia" w:ascii="宋体" w:hAnsi="宋体" w:eastAsia="宋体" w:cs="宋体"/>
                <w:color w:val="auto"/>
                <w:sz w:val="24"/>
                <w:highlight w:val="none"/>
              </w:rPr>
            </w:pPr>
          </w:p>
        </w:tc>
      </w:tr>
      <w:tr w14:paraId="01FE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5A73B0D5">
            <w:pPr>
              <w:spacing w:line="480" w:lineRule="exact"/>
              <w:rPr>
                <w:rFonts w:hint="eastAsia" w:ascii="宋体" w:hAnsi="宋体" w:eastAsia="宋体" w:cs="宋体"/>
                <w:color w:val="auto"/>
                <w:sz w:val="24"/>
                <w:highlight w:val="none"/>
              </w:rPr>
            </w:pPr>
          </w:p>
        </w:tc>
        <w:tc>
          <w:tcPr>
            <w:tcW w:w="1103" w:type="dxa"/>
            <w:noWrap w:val="0"/>
            <w:vAlign w:val="center"/>
          </w:tcPr>
          <w:p w14:paraId="11A67442">
            <w:pPr>
              <w:spacing w:line="480" w:lineRule="exact"/>
              <w:rPr>
                <w:rFonts w:hint="eastAsia" w:ascii="宋体" w:hAnsi="宋体" w:eastAsia="宋体" w:cs="宋体"/>
                <w:color w:val="auto"/>
                <w:sz w:val="24"/>
                <w:highlight w:val="none"/>
              </w:rPr>
            </w:pPr>
          </w:p>
        </w:tc>
        <w:tc>
          <w:tcPr>
            <w:tcW w:w="1022" w:type="dxa"/>
            <w:noWrap w:val="0"/>
            <w:vAlign w:val="center"/>
          </w:tcPr>
          <w:p w14:paraId="158DA1E9">
            <w:pPr>
              <w:spacing w:line="480" w:lineRule="exact"/>
              <w:rPr>
                <w:rFonts w:hint="eastAsia" w:ascii="宋体" w:hAnsi="宋体" w:eastAsia="宋体" w:cs="宋体"/>
                <w:color w:val="auto"/>
                <w:sz w:val="24"/>
                <w:highlight w:val="none"/>
              </w:rPr>
            </w:pPr>
          </w:p>
        </w:tc>
        <w:tc>
          <w:tcPr>
            <w:tcW w:w="1184" w:type="dxa"/>
            <w:noWrap w:val="0"/>
            <w:vAlign w:val="center"/>
          </w:tcPr>
          <w:p w14:paraId="3CF4CA63">
            <w:pPr>
              <w:spacing w:line="480" w:lineRule="exact"/>
              <w:rPr>
                <w:rFonts w:hint="eastAsia" w:ascii="宋体" w:hAnsi="宋体" w:eastAsia="宋体" w:cs="宋体"/>
                <w:color w:val="auto"/>
                <w:sz w:val="24"/>
                <w:highlight w:val="none"/>
              </w:rPr>
            </w:pPr>
          </w:p>
        </w:tc>
        <w:tc>
          <w:tcPr>
            <w:tcW w:w="1103" w:type="dxa"/>
            <w:noWrap w:val="0"/>
            <w:vAlign w:val="center"/>
          </w:tcPr>
          <w:p w14:paraId="4230C047">
            <w:pPr>
              <w:spacing w:line="480" w:lineRule="exact"/>
              <w:rPr>
                <w:rFonts w:hint="eastAsia" w:ascii="宋体" w:hAnsi="宋体" w:eastAsia="宋体" w:cs="宋体"/>
                <w:color w:val="auto"/>
                <w:sz w:val="24"/>
                <w:highlight w:val="none"/>
              </w:rPr>
            </w:pPr>
          </w:p>
        </w:tc>
        <w:tc>
          <w:tcPr>
            <w:tcW w:w="1103" w:type="dxa"/>
            <w:noWrap w:val="0"/>
            <w:vAlign w:val="center"/>
          </w:tcPr>
          <w:p w14:paraId="25F9A758">
            <w:pPr>
              <w:spacing w:line="480" w:lineRule="exact"/>
              <w:rPr>
                <w:rFonts w:hint="eastAsia" w:ascii="宋体" w:hAnsi="宋体" w:eastAsia="宋体" w:cs="宋体"/>
                <w:color w:val="auto"/>
                <w:sz w:val="24"/>
                <w:highlight w:val="none"/>
              </w:rPr>
            </w:pPr>
          </w:p>
        </w:tc>
        <w:tc>
          <w:tcPr>
            <w:tcW w:w="863" w:type="dxa"/>
            <w:noWrap w:val="0"/>
            <w:vAlign w:val="center"/>
          </w:tcPr>
          <w:p w14:paraId="389DEB28">
            <w:pPr>
              <w:spacing w:line="480" w:lineRule="exact"/>
              <w:rPr>
                <w:rFonts w:hint="eastAsia" w:ascii="宋体" w:hAnsi="宋体" w:eastAsia="宋体" w:cs="宋体"/>
                <w:color w:val="auto"/>
                <w:sz w:val="24"/>
                <w:highlight w:val="none"/>
              </w:rPr>
            </w:pPr>
          </w:p>
        </w:tc>
        <w:tc>
          <w:tcPr>
            <w:tcW w:w="1280" w:type="dxa"/>
            <w:noWrap w:val="0"/>
            <w:vAlign w:val="center"/>
          </w:tcPr>
          <w:p w14:paraId="5628A053">
            <w:pPr>
              <w:spacing w:line="480" w:lineRule="exact"/>
              <w:rPr>
                <w:rFonts w:hint="eastAsia" w:ascii="宋体" w:hAnsi="宋体" w:eastAsia="宋体" w:cs="宋体"/>
                <w:color w:val="auto"/>
                <w:sz w:val="24"/>
                <w:highlight w:val="none"/>
              </w:rPr>
            </w:pPr>
          </w:p>
        </w:tc>
        <w:tc>
          <w:tcPr>
            <w:tcW w:w="847" w:type="dxa"/>
            <w:noWrap w:val="0"/>
            <w:vAlign w:val="center"/>
          </w:tcPr>
          <w:p w14:paraId="7F3BCCC7">
            <w:pPr>
              <w:spacing w:line="480" w:lineRule="exact"/>
              <w:rPr>
                <w:rFonts w:hint="eastAsia" w:ascii="宋体" w:hAnsi="宋体" w:eastAsia="宋体" w:cs="宋体"/>
                <w:color w:val="auto"/>
                <w:sz w:val="24"/>
                <w:highlight w:val="none"/>
              </w:rPr>
            </w:pPr>
          </w:p>
        </w:tc>
      </w:tr>
      <w:tr w14:paraId="62EC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3B244A28">
            <w:pPr>
              <w:spacing w:line="480" w:lineRule="exact"/>
              <w:rPr>
                <w:rFonts w:hint="eastAsia" w:ascii="宋体" w:hAnsi="宋体" w:eastAsia="宋体" w:cs="宋体"/>
                <w:color w:val="auto"/>
                <w:sz w:val="24"/>
                <w:highlight w:val="none"/>
              </w:rPr>
            </w:pPr>
          </w:p>
        </w:tc>
        <w:tc>
          <w:tcPr>
            <w:tcW w:w="1103" w:type="dxa"/>
            <w:noWrap w:val="0"/>
            <w:vAlign w:val="center"/>
          </w:tcPr>
          <w:p w14:paraId="2021B7EC">
            <w:pPr>
              <w:spacing w:line="480" w:lineRule="exact"/>
              <w:rPr>
                <w:rFonts w:hint="eastAsia" w:ascii="宋体" w:hAnsi="宋体" w:eastAsia="宋体" w:cs="宋体"/>
                <w:color w:val="auto"/>
                <w:sz w:val="24"/>
                <w:highlight w:val="none"/>
              </w:rPr>
            </w:pPr>
          </w:p>
        </w:tc>
        <w:tc>
          <w:tcPr>
            <w:tcW w:w="1022" w:type="dxa"/>
            <w:noWrap w:val="0"/>
            <w:vAlign w:val="center"/>
          </w:tcPr>
          <w:p w14:paraId="02A5FB2B">
            <w:pPr>
              <w:spacing w:line="480" w:lineRule="exact"/>
              <w:rPr>
                <w:rFonts w:hint="eastAsia" w:ascii="宋体" w:hAnsi="宋体" w:eastAsia="宋体" w:cs="宋体"/>
                <w:color w:val="auto"/>
                <w:sz w:val="24"/>
                <w:highlight w:val="none"/>
              </w:rPr>
            </w:pPr>
          </w:p>
        </w:tc>
        <w:tc>
          <w:tcPr>
            <w:tcW w:w="1184" w:type="dxa"/>
            <w:noWrap w:val="0"/>
            <w:vAlign w:val="center"/>
          </w:tcPr>
          <w:p w14:paraId="58329BE6">
            <w:pPr>
              <w:spacing w:line="480" w:lineRule="exact"/>
              <w:rPr>
                <w:rFonts w:hint="eastAsia" w:ascii="宋体" w:hAnsi="宋体" w:eastAsia="宋体" w:cs="宋体"/>
                <w:color w:val="auto"/>
                <w:sz w:val="24"/>
                <w:highlight w:val="none"/>
              </w:rPr>
            </w:pPr>
          </w:p>
        </w:tc>
        <w:tc>
          <w:tcPr>
            <w:tcW w:w="1103" w:type="dxa"/>
            <w:noWrap w:val="0"/>
            <w:vAlign w:val="center"/>
          </w:tcPr>
          <w:p w14:paraId="14E75495">
            <w:pPr>
              <w:spacing w:line="480" w:lineRule="exact"/>
              <w:rPr>
                <w:rFonts w:hint="eastAsia" w:ascii="宋体" w:hAnsi="宋体" w:eastAsia="宋体" w:cs="宋体"/>
                <w:color w:val="auto"/>
                <w:sz w:val="24"/>
                <w:highlight w:val="none"/>
              </w:rPr>
            </w:pPr>
          </w:p>
        </w:tc>
        <w:tc>
          <w:tcPr>
            <w:tcW w:w="1103" w:type="dxa"/>
            <w:noWrap w:val="0"/>
            <w:vAlign w:val="center"/>
          </w:tcPr>
          <w:p w14:paraId="33AEFD16">
            <w:pPr>
              <w:spacing w:line="480" w:lineRule="exact"/>
              <w:rPr>
                <w:rFonts w:hint="eastAsia" w:ascii="宋体" w:hAnsi="宋体" w:eastAsia="宋体" w:cs="宋体"/>
                <w:color w:val="auto"/>
                <w:sz w:val="24"/>
                <w:highlight w:val="none"/>
              </w:rPr>
            </w:pPr>
          </w:p>
        </w:tc>
        <w:tc>
          <w:tcPr>
            <w:tcW w:w="863" w:type="dxa"/>
            <w:noWrap w:val="0"/>
            <w:vAlign w:val="center"/>
          </w:tcPr>
          <w:p w14:paraId="2762A807">
            <w:pPr>
              <w:spacing w:line="480" w:lineRule="exact"/>
              <w:rPr>
                <w:rFonts w:hint="eastAsia" w:ascii="宋体" w:hAnsi="宋体" w:eastAsia="宋体" w:cs="宋体"/>
                <w:color w:val="auto"/>
                <w:sz w:val="24"/>
                <w:highlight w:val="none"/>
              </w:rPr>
            </w:pPr>
          </w:p>
        </w:tc>
        <w:tc>
          <w:tcPr>
            <w:tcW w:w="1280" w:type="dxa"/>
            <w:noWrap w:val="0"/>
            <w:vAlign w:val="center"/>
          </w:tcPr>
          <w:p w14:paraId="55AD101E">
            <w:pPr>
              <w:spacing w:line="480" w:lineRule="exact"/>
              <w:rPr>
                <w:rFonts w:hint="eastAsia" w:ascii="宋体" w:hAnsi="宋体" w:eastAsia="宋体" w:cs="宋体"/>
                <w:color w:val="auto"/>
                <w:sz w:val="24"/>
                <w:highlight w:val="none"/>
              </w:rPr>
            </w:pPr>
          </w:p>
        </w:tc>
        <w:tc>
          <w:tcPr>
            <w:tcW w:w="847" w:type="dxa"/>
            <w:noWrap w:val="0"/>
            <w:vAlign w:val="center"/>
          </w:tcPr>
          <w:p w14:paraId="309558DE">
            <w:pPr>
              <w:spacing w:line="480" w:lineRule="exact"/>
              <w:rPr>
                <w:rFonts w:hint="eastAsia" w:ascii="宋体" w:hAnsi="宋体" w:eastAsia="宋体" w:cs="宋体"/>
                <w:color w:val="auto"/>
                <w:sz w:val="24"/>
                <w:highlight w:val="none"/>
              </w:rPr>
            </w:pPr>
          </w:p>
        </w:tc>
      </w:tr>
      <w:tr w14:paraId="770F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dxa"/>
            <w:noWrap w:val="0"/>
            <w:vAlign w:val="center"/>
          </w:tcPr>
          <w:p w14:paraId="2228402F">
            <w:pPr>
              <w:spacing w:line="480" w:lineRule="exact"/>
              <w:rPr>
                <w:rFonts w:hint="eastAsia" w:ascii="宋体" w:hAnsi="宋体" w:eastAsia="宋体" w:cs="宋体"/>
                <w:color w:val="auto"/>
                <w:sz w:val="24"/>
                <w:highlight w:val="none"/>
              </w:rPr>
            </w:pPr>
          </w:p>
        </w:tc>
        <w:tc>
          <w:tcPr>
            <w:tcW w:w="1103" w:type="dxa"/>
            <w:noWrap w:val="0"/>
            <w:vAlign w:val="center"/>
          </w:tcPr>
          <w:p w14:paraId="510FB8FD">
            <w:pPr>
              <w:spacing w:line="480" w:lineRule="exact"/>
              <w:rPr>
                <w:rFonts w:hint="eastAsia" w:ascii="宋体" w:hAnsi="宋体" w:eastAsia="宋体" w:cs="宋体"/>
                <w:color w:val="auto"/>
                <w:sz w:val="24"/>
                <w:highlight w:val="none"/>
              </w:rPr>
            </w:pPr>
          </w:p>
        </w:tc>
        <w:tc>
          <w:tcPr>
            <w:tcW w:w="1022" w:type="dxa"/>
            <w:noWrap w:val="0"/>
            <w:vAlign w:val="center"/>
          </w:tcPr>
          <w:p w14:paraId="20BCC99B">
            <w:pPr>
              <w:spacing w:line="480" w:lineRule="exact"/>
              <w:rPr>
                <w:rFonts w:hint="eastAsia" w:ascii="宋体" w:hAnsi="宋体" w:eastAsia="宋体" w:cs="宋体"/>
                <w:color w:val="auto"/>
                <w:sz w:val="24"/>
                <w:highlight w:val="none"/>
              </w:rPr>
            </w:pPr>
          </w:p>
        </w:tc>
        <w:tc>
          <w:tcPr>
            <w:tcW w:w="1184" w:type="dxa"/>
            <w:noWrap w:val="0"/>
            <w:vAlign w:val="center"/>
          </w:tcPr>
          <w:p w14:paraId="29793520">
            <w:pPr>
              <w:spacing w:line="480" w:lineRule="exact"/>
              <w:rPr>
                <w:rFonts w:hint="eastAsia" w:ascii="宋体" w:hAnsi="宋体" w:eastAsia="宋体" w:cs="宋体"/>
                <w:color w:val="auto"/>
                <w:sz w:val="24"/>
                <w:highlight w:val="none"/>
              </w:rPr>
            </w:pPr>
          </w:p>
        </w:tc>
        <w:tc>
          <w:tcPr>
            <w:tcW w:w="1103" w:type="dxa"/>
            <w:noWrap w:val="0"/>
            <w:vAlign w:val="center"/>
          </w:tcPr>
          <w:p w14:paraId="0D1FCBAF">
            <w:pPr>
              <w:spacing w:line="480" w:lineRule="exact"/>
              <w:rPr>
                <w:rFonts w:hint="eastAsia" w:ascii="宋体" w:hAnsi="宋体" w:eastAsia="宋体" w:cs="宋体"/>
                <w:color w:val="auto"/>
                <w:sz w:val="24"/>
                <w:highlight w:val="none"/>
              </w:rPr>
            </w:pPr>
          </w:p>
        </w:tc>
        <w:tc>
          <w:tcPr>
            <w:tcW w:w="1103" w:type="dxa"/>
            <w:noWrap w:val="0"/>
            <w:vAlign w:val="center"/>
          </w:tcPr>
          <w:p w14:paraId="419970F0">
            <w:pPr>
              <w:spacing w:line="480" w:lineRule="exact"/>
              <w:rPr>
                <w:rFonts w:hint="eastAsia" w:ascii="宋体" w:hAnsi="宋体" w:eastAsia="宋体" w:cs="宋体"/>
                <w:color w:val="auto"/>
                <w:sz w:val="24"/>
                <w:highlight w:val="none"/>
              </w:rPr>
            </w:pPr>
          </w:p>
        </w:tc>
        <w:tc>
          <w:tcPr>
            <w:tcW w:w="863" w:type="dxa"/>
            <w:noWrap w:val="0"/>
            <w:vAlign w:val="center"/>
          </w:tcPr>
          <w:p w14:paraId="78FD0B84">
            <w:pPr>
              <w:spacing w:line="480" w:lineRule="exact"/>
              <w:rPr>
                <w:rFonts w:hint="eastAsia" w:ascii="宋体" w:hAnsi="宋体" w:eastAsia="宋体" w:cs="宋体"/>
                <w:color w:val="auto"/>
                <w:sz w:val="24"/>
                <w:highlight w:val="none"/>
              </w:rPr>
            </w:pPr>
          </w:p>
        </w:tc>
        <w:tc>
          <w:tcPr>
            <w:tcW w:w="1280" w:type="dxa"/>
            <w:noWrap w:val="0"/>
            <w:vAlign w:val="center"/>
          </w:tcPr>
          <w:p w14:paraId="146ABA6C">
            <w:pPr>
              <w:spacing w:line="480" w:lineRule="exact"/>
              <w:rPr>
                <w:rFonts w:hint="eastAsia" w:ascii="宋体" w:hAnsi="宋体" w:eastAsia="宋体" w:cs="宋体"/>
                <w:color w:val="auto"/>
                <w:sz w:val="24"/>
                <w:highlight w:val="none"/>
              </w:rPr>
            </w:pPr>
          </w:p>
        </w:tc>
        <w:tc>
          <w:tcPr>
            <w:tcW w:w="847" w:type="dxa"/>
            <w:noWrap w:val="0"/>
            <w:vAlign w:val="center"/>
          </w:tcPr>
          <w:p w14:paraId="1C885D5B">
            <w:pPr>
              <w:spacing w:line="480" w:lineRule="exact"/>
              <w:rPr>
                <w:rFonts w:hint="eastAsia" w:ascii="宋体" w:hAnsi="宋体" w:eastAsia="宋体" w:cs="宋体"/>
                <w:color w:val="auto"/>
                <w:sz w:val="24"/>
                <w:highlight w:val="none"/>
              </w:rPr>
            </w:pPr>
          </w:p>
        </w:tc>
      </w:tr>
      <w:tr w14:paraId="39E7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0" w:type="dxa"/>
            <w:noWrap w:val="0"/>
            <w:vAlign w:val="center"/>
          </w:tcPr>
          <w:p w14:paraId="4F939522">
            <w:pPr>
              <w:spacing w:line="480" w:lineRule="exact"/>
              <w:rPr>
                <w:rFonts w:hint="eastAsia" w:ascii="宋体" w:hAnsi="宋体" w:eastAsia="宋体" w:cs="宋体"/>
                <w:color w:val="auto"/>
                <w:sz w:val="24"/>
                <w:highlight w:val="none"/>
              </w:rPr>
            </w:pPr>
          </w:p>
        </w:tc>
        <w:tc>
          <w:tcPr>
            <w:tcW w:w="1103" w:type="dxa"/>
            <w:noWrap w:val="0"/>
            <w:vAlign w:val="center"/>
          </w:tcPr>
          <w:p w14:paraId="76B5C511">
            <w:pPr>
              <w:spacing w:line="480" w:lineRule="exact"/>
              <w:rPr>
                <w:rFonts w:hint="eastAsia" w:ascii="宋体" w:hAnsi="宋体" w:eastAsia="宋体" w:cs="宋体"/>
                <w:color w:val="auto"/>
                <w:sz w:val="24"/>
                <w:highlight w:val="none"/>
              </w:rPr>
            </w:pPr>
          </w:p>
        </w:tc>
        <w:tc>
          <w:tcPr>
            <w:tcW w:w="1022" w:type="dxa"/>
            <w:noWrap w:val="0"/>
            <w:vAlign w:val="center"/>
          </w:tcPr>
          <w:p w14:paraId="7CDC3DCC">
            <w:pPr>
              <w:spacing w:line="480" w:lineRule="exact"/>
              <w:rPr>
                <w:rFonts w:hint="eastAsia" w:ascii="宋体" w:hAnsi="宋体" w:eastAsia="宋体" w:cs="宋体"/>
                <w:color w:val="auto"/>
                <w:sz w:val="24"/>
                <w:highlight w:val="none"/>
              </w:rPr>
            </w:pPr>
          </w:p>
        </w:tc>
        <w:tc>
          <w:tcPr>
            <w:tcW w:w="1184" w:type="dxa"/>
            <w:noWrap w:val="0"/>
            <w:vAlign w:val="center"/>
          </w:tcPr>
          <w:p w14:paraId="6EDB3D75">
            <w:pPr>
              <w:spacing w:line="480" w:lineRule="exact"/>
              <w:rPr>
                <w:rFonts w:hint="eastAsia" w:ascii="宋体" w:hAnsi="宋体" w:eastAsia="宋体" w:cs="宋体"/>
                <w:color w:val="auto"/>
                <w:sz w:val="24"/>
                <w:highlight w:val="none"/>
              </w:rPr>
            </w:pPr>
          </w:p>
        </w:tc>
        <w:tc>
          <w:tcPr>
            <w:tcW w:w="1103" w:type="dxa"/>
            <w:noWrap w:val="0"/>
            <w:vAlign w:val="center"/>
          </w:tcPr>
          <w:p w14:paraId="3FC5CD03">
            <w:pPr>
              <w:spacing w:line="480" w:lineRule="exact"/>
              <w:rPr>
                <w:rFonts w:hint="eastAsia" w:ascii="宋体" w:hAnsi="宋体" w:eastAsia="宋体" w:cs="宋体"/>
                <w:color w:val="auto"/>
                <w:sz w:val="24"/>
                <w:highlight w:val="none"/>
              </w:rPr>
            </w:pPr>
          </w:p>
        </w:tc>
        <w:tc>
          <w:tcPr>
            <w:tcW w:w="1103" w:type="dxa"/>
            <w:noWrap w:val="0"/>
            <w:vAlign w:val="center"/>
          </w:tcPr>
          <w:p w14:paraId="2D1F707E">
            <w:pPr>
              <w:spacing w:line="480" w:lineRule="exact"/>
              <w:rPr>
                <w:rFonts w:hint="eastAsia" w:ascii="宋体" w:hAnsi="宋体" w:eastAsia="宋体" w:cs="宋体"/>
                <w:color w:val="auto"/>
                <w:sz w:val="24"/>
                <w:highlight w:val="none"/>
              </w:rPr>
            </w:pPr>
          </w:p>
        </w:tc>
        <w:tc>
          <w:tcPr>
            <w:tcW w:w="863" w:type="dxa"/>
            <w:noWrap w:val="0"/>
            <w:vAlign w:val="center"/>
          </w:tcPr>
          <w:p w14:paraId="771BF1B4">
            <w:pPr>
              <w:spacing w:line="480" w:lineRule="exact"/>
              <w:rPr>
                <w:rFonts w:hint="eastAsia" w:ascii="宋体" w:hAnsi="宋体" w:eastAsia="宋体" w:cs="宋体"/>
                <w:color w:val="auto"/>
                <w:sz w:val="24"/>
                <w:highlight w:val="none"/>
              </w:rPr>
            </w:pPr>
          </w:p>
        </w:tc>
        <w:tc>
          <w:tcPr>
            <w:tcW w:w="1280" w:type="dxa"/>
            <w:noWrap w:val="0"/>
            <w:vAlign w:val="center"/>
          </w:tcPr>
          <w:p w14:paraId="17FB746D">
            <w:pPr>
              <w:spacing w:line="480" w:lineRule="exact"/>
              <w:rPr>
                <w:rFonts w:hint="eastAsia" w:ascii="宋体" w:hAnsi="宋体" w:eastAsia="宋体" w:cs="宋体"/>
                <w:color w:val="auto"/>
                <w:sz w:val="24"/>
                <w:highlight w:val="none"/>
              </w:rPr>
            </w:pPr>
          </w:p>
        </w:tc>
        <w:tc>
          <w:tcPr>
            <w:tcW w:w="847" w:type="dxa"/>
            <w:noWrap w:val="0"/>
            <w:vAlign w:val="center"/>
          </w:tcPr>
          <w:p w14:paraId="01BA37DA">
            <w:pPr>
              <w:spacing w:line="480" w:lineRule="exact"/>
              <w:rPr>
                <w:rFonts w:hint="eastAsia" w:ascii="宋体" w:hAnsi="宋体" w:eastAsia="宋体" w:cs="宋体"/>
                <w:color w:val="auto"/>
                <w:sz w:val="24"/>
                <w:highlight w:val="none"/>
              </w:rPr>
            </w:pPr>
          </w:p>
        </w:tc>
      </w:tr>
    </w:tbl>
    <w:p w14:paraId="2A5E9598">
      <w:pPr>
        <w:spacing w:line="480" w:lineRule="exact"/>
        <w:rPr>
          <w:rFonts w:hint="eastAsia" w:ascii="宋体" w:hAnsi="宋体" w:eastAsia="宋体" w:cs="宋体"/>
          <w:color w:val="auto"/>
          <w:sz w:val="24"/>
          <w:highlight w:val="none"/>
        </w:rPr>
      </w:pPr>
    </w:p>
    <w:p w14:paraId="4A0B1E86">
      <w:pPr>
        <w:spacing w:line="480" w:lineRule="exact"/>
        <w:rPr>
          <w:rFonts w:hint="eastAsia" w:ascii="宋体" w:hAnsi="宋体" w:eastAsia="宋体" w:cs="宋体"/>
          <w:color w:val="auto"/>
          <w:sz w:val="24"/>
          <w:highlight w:val="none"/>
        </w:rPr>
      </w:pPr>
    </w:p>
    <w:p w14:paraId="58F5DEBA">
      <w:pPr>
        <w:spacing w:line="480" w:lineRule="exact"/>
        <w:rPr>
          <w:rFonts w:hint="eastAsia" w:ascii="宋体" w:hAnsi="宋体" w:eastAsia="宋体" w:cs="宋体"/>
          <w:color w:val="auto"/>
          <w:sz w:val="24"/>
          <w:highlight w:val="none"/>
        </w:rPr>
      </w:pPr>
    </w:p>
    <w:p w14:paraId="0660171E">
      <w:pPr>
        <w:pStyle w:val="9"/>
        <w:rPr>
          <w:rFonts w:hint="eastAsia" w:ascii="宋体" w:hAnsi="宋体" w:eastAsia="宋体" w:cs="宋体"/>
          <w:color w:val="auto"/>
          <w:highlight w:val="none"/>
        </w:rPr>
      </w:pPr>
    </w:p>
    <w:p w14:paraId="6B9EF943">
      <w:pPr>
        <w:pStyle w:val="9"/>
        <w:rPr>
          <w:rFonts w:hint="eastAsia" w:ascii="宋体" w:hAnsi="宋体" w:eastAsia="宋体" w:cs="宋体"/>
          <w:color w:val="auto"/>
          <w:highlight w:val="none"/>
        </w:rPr>
      </w:pPr>
    </w:p>
    <w:p w14:paraId="4608E849">
      <w:pPr>
        <w:spacing w:line="480" w:lineRule="exac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（二）主要人员简历表　　　　</w:t>
      </w:r>
    </w:p>
    <w:p w14:paraId="6FD12671">
      <w:pPr>
        <w:spacing w:line="4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48"/>
        <w:gridCol w:w="1095"/>
        <w:gridCol w:w="1416"/>
        <w:gridCol w:w="1339"/>
        <w:gridCol w:w="496"/>
        <w:gridCol w:w="1704"/>
        <w:gridCol w:w="475"/>
        <w:gridCol w:w="1186"/>
      </w:tblGrid>
      <w:tr w14:paraId="7D0A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48" w:type="dxa"/>
            <w:noWrap w:val="0"/>
            <w:vAlign w:val="center"/>
          </w:tcPr>
          <w:p w14:paraId="092961E2">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343" w:type="dxa"/>
            <w:gridSpan w:val="2"/>
            <w:noWrap w:val="0"/>
            <w:vAlign w:val="center"/>
          </w:tcPr>
          <w:p w14:paraId="3296E7E5">
            <w:pPr>
              <w:spacing w:line="480" w:lineRule="exact"/>
              <w:jc w:val="center"/>
              <w:rPr>
                <w:rFonts w:hint="eastAsia" w:ascii="宋体" w:hAnsi="宋体" w:eastAsia="宋体" w:cs="宋体"/>
                <w:color w:val="auto"/>
                <w:sz w:val="24"/>
                <w:highlight w:val="none"/>
              </w:rPr>
            </w:pPr>
          </w:p>
        </w:tc>
        <w:tc>
          <w:tcPr>
            <w:tcW w:w="1416" w:type="dxa"/>
            <w:noWrap w:val="0"/>
            <w:vAlign w:val="center"/>
          </w:tcPr>
          <w:p w14:paraId="5AB06E69">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39" w:type="dxa"/>
            <w:noWrap w:val="0"/>
            <w:vAlign w:val="center"/>
          </w:tcPr>
          <w:p w14:paraId="2C512FEF">
            <w:pPr>
              <w:spacing w:line="480" w:lineRule="exact"/>
              <w:jc w:val="center"/>
              <w:rPr>
                <w:rFonts w:hint="eastAsia" w:ascii="宋体" w:hAnsi="宋体" w:eastAsia="宋体" w:cs="宋体"/>
                <w:color w:val="auto"/>
                <w:sz w:val="24"/>
                <w:highlight w:val="none"/>
              </w:rPr>
            </w:pPr>
          </w:p>
        </w:tc>
        <w:tc>
          <w:tcPr>
            <w:tcW w:w="2675" w:type="dxa"/>
            <w:gridSpan w:val="3"/>
            <w:noWrap w:val="0"/>
            <w:vAlign w:val="center"/>
          </w:tcPr>
          <w:p w14:paraId="402C16AD">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186" w:type="dxa"/>
            <w:noWrap w:val="0"/>
            <w:vAlign w:val="center"/>
          </w:tcPr>
          <w:p w14:paraId="7EEAD053">
            <w:pPr>
              <w:spacing w:line="480" w:lineRule="exact"/>
              <w:jc w:val="center"/>
              <w:rPr>
                <w:rFonts w:hint="eastAsia" w:ascii="宋体" w:hAnsi="宋体" w:eastAsia="宋体" w:cs="宋体"/>
                <w:color w:val="auto"/>
                <w:sz w:val="24"/>
                <w:highlight w:val="none"/>
              </w:rPr>
            </w:pPr>
          </w:p>
        </w:tc>
      </w:tr>
      <w:tr w14:paraId="7FC8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48" w:type="dxa"/>
            <w:noWrap w:val="0"/>
            <w:vAlign w:val="center"/>
          </w:tcPr>
          <w:p w14:paraId="13047BDF">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w:t>
            </w:r>
          </w:p>
        </w:tc>
        <w:tc>
          <w:tcPr>
            <w:tcW w:w="4098" w:type="dxa"/>
            <w:gridSpan w:val="4"/>
            <w:noWrap w:val="0"/>
            <w:vAlign w:val="center"/>
          </w:tcPr>
          <w:p w14:paraId="419F7E6F">
            <w:pPr>
              <w:spacing w:line="480" w:lineRule="exact"/>
              <w:jc w:val="center"/>
              <w:rPr>
                <w:rFonts w:hint="eastAsia" w:ascii="宋体" w:hAnsi="宋体" w:eastAsia="宋体" w:cs="宋体"/>
                <w:color w:val="auto"/>
                <w:sz w:val="24"/>
                <w:highlight w:val="none"/>
              </w:rPr>
            </w:pPr>
          </w:p>
        </w:tc>
        <w:tc>
          <w:tcPr>
            <w:tcW w:w="2675" w:type="dxa"/>
            <w:gridSpan w:val="3"/>
            <w:noWrap w:val="0"/>
            <w:vAlign w:val="center"/>
          </w:tcPr>
          <w:p w14:paraId="269F9F43">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w:t>
            </w:r>
          </w:p>
        </w:tc>
        <w:tc>
          <w:tcPr>
            <w:tcW w:w="1186" w:type="dxa"/>
            <w:noWrap w:val="0"/>
            <w:vAlign w:val="center"/>
          </w:tcPr>
          <w:p w14:paraId="263F8992">
            <w:pPr>
              <w:spacing w:line="480" w:lineRule="exact"/>
              <w:jc w:val="center"/>
              <w:rPr>
                <w:rFonts w:hint="eastAsia" w:ascii="宋体" w:hAnsi="宋体" w:eastAsia="宋体" w:cs="宋体"/>
                <w:color w:val="auto"/>
                <w:sz w:val="24"/>
                <w:highlight w:val="none"/>
              </w:rPr>
            </w:pPr>
          </w:p>
        </w:tc>
      </w:tr>
      <w:tr w14:paraId="7BD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48" w:type="dxa"/>
            <w:noWrap w:val="0"/>
            <w:vAlign w:val="center"/>
          </w:tcPr>
          <w:p w14:paraId="77DF9C90">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343" w:type="dxa"/>
            <w:gridSpan w:val="2"/>
            <w:noWrap w:val="0"/>
            <w:vAlign w:val="center"/>
          </w:tcPr>
          <w:p w14:paraId="16DC763F">
            <w:pPr>
              <w:spacing w:line="480" w:lineRule="exact"/>
              <w:jc w:val="center"/>
              <w:rPr>
                <w:rFonts w:hint="eastAsia" w:ascii="宋体" w:hAnsi="宋体" w:eastAsia="宋体" w:cs="宋体"/>
                <w:color w:val="auto"/>
                <w:sz w:val="24"/>
                <w:highlight w:val="none"/>
              </w:rPr>
            </w:pPr>
          </w:p>
        </w:tc>
        <w:tc>
          <w:tcPr>
            <w:tcW w:w="1416" w:type="dxa"/>
            <w:noWrap w:val="0"/>
            <w:vAlign w:val="center"/>
          </w:tcPr>
          <w:p w14:paraId="0D18D091">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339" w:type="dxa"/>
            <w:noWrap w:val="0"/>
            <w:vAlign w:val="center"/>
          </w:tcPr>
          <w:p w14:paraId="68ABF638">
            <w:pPr>
              <w:spacing w:line="480" w:lineRule="exact"/>
              <w:jc w:val="center"/>
              <w:rPr>
                <w:rFonts w:hint="eastAsia" w:ascii="宋体" w:hAnsi="宋体" w:eastAsia="宋体" w:cs="宋体"/>
                <w:color w:val="auto"/>
                <w:sz w:val="24"/>
                <w:highlight w:val="none"/>
              </w:rPr>
            </w:pPr>
          </w:p>
        </w:tc>
        <w:tc>
          <w:tcPr>
            <w:tcW w:w="2675" w:type="dxa"/>
            <w:gridSpan w:val="3"/>
            <w:noWrap w:val="0"/>
            <w:vAlign w:val="center"/>
          </w:tcPr>
          <w:p w14:paraId="6FDF5C13">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拟在本合同任职</w:t>
            </w:r>
          </w:p>
        </w:tc>
        <w:tc>
          <w:tcPr>
            <w:tcW w:w="1186" w:type="dxa"/>
            <w:noWrap w:val="0"/>
            <w:vAlign w:val="center"/>
          </w:tcPr>
          <w:p w14:paraId="22E7C222">
            <w:pPr>
              <w:spacing w:line="480" w:lineRule="exact"/>
              <w:jc w:val="center"/>
              <w:rPr>
                <w:rFonts w:hint="eastAsia" w:ascii="宋体" w:hAnsi="宋体" w:eastAsia="宋体" w:cs="宋体"/>
                <w:color w:val="auto"/>
                <w:sz w:val="24"/>
                <w:highlight w:val="none"/>
              </w:rPr>
            </w:pPr>
          </w:p>
        </w:tc>
      </w:tr>
      <w:tr w14:paraId="598A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48" w:type="dxa"/>
            <w:noWrap w:val="0"/>
            <w:vAlign w:val="center"/>
          </w:tcPr>
          <w:p w14:paraId="51986E37">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7959" w:type="dxa"/>
            <w:gridSpan w:val="8"/>
            <w:noWrap w:val="0"/>
            <w:vAlign w:val="center"/>
          </w:tcPr>
          <w:p w14:paraId="1E783836">
            <w:pPr>
              <w:spacing w:line="480" w:lineRule="exact"/>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年毕业于学校专业</w:t>
            </w:r>
          </w:p>
        </w:tc>
      </w:tr>
      <w:tr w14:paraId="1217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607" w:type="dxa"/>
            <w:gridSpan w:val="9"/>
            <w:noWrap w:val="0"/>
            <w:vAlign w:val="center"/>
          </w:tcPr>
          <w:p w14:paraId="1A4DC85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主要施工管理经历</w:t>
            </w:r>
          </w:p>
        </w:tc>
      </w:tr>
      <w:tr w14:paraId="6C35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544269A3">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4346" w:type="dxa"/>
            <w:gridSpan w:val="4"/>
            <w:noWrap w:val="0"/>
            <w:vAlign w:val="center"/>
          </w:tcPr>
          <w:p w14:paraId="5EA2C60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w:t>
            </w:r>
          </w:p>
        </w:tc>
        <w:tc>
          <w:tcPr>
            <w:tcW w:w="1704" w:type="dxa"/>
            <w:noWrap w:val="0"/>
            <w:vAlign w:val="center"/>
          </w:tcPr>
          <w:p w14:paraId="3875C831">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担任职务</w:t>
            </w:r>
          </w:p>
        </w:tc>
        <w:tc>
          <w:tcPr>
            <w:tcW w:w="1661" w:type="dxa"/>
            <w:gridSpan w:val="2"/>
            <w:noWrap w:val="0"/>
            <w:vAlign w:val="center"/>
          </w:tcPr>
          <w:p w14:paraId="39AA905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2EE5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331B756D">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7BF503B6">
            <w:pPr>
              <w:spacing w:line="480" w:lineRule="exact"/>
              <w:jc w:val="center"/>
              <w:rPr>
                <w:rFonts w:hint="eastAsia" w:ascii="宋体" w:hAnsi="宋体" w:eastAsia="宋体" w:cs="宋体"/>
                <w:color w:val="auto"/>
                <w:sz w:val="24"/>
                <w:highlight w:val="none"/>
              </w:rPr>
            </w:pPr>
          </w:p>
        </w:tc>
        <w:tc>
          <w:tcPr>
            <w:tcW w:w="1704" w:type="dxa"/>
            <w:noWrap w:val="0"/>
            <w:vAlign w:val="center"/>
          </w:tcPr>
          <w:p w14:paraId="031F349D">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6BC96737">
            <w:pPr>
              <w:spacing w:line="480" w:lineRule="exact"/>
              <w:jc w:val="center"/>
              <w:rPr>
                <w:rFonts w:hint="eastAsia" w:ascii="宋体" w:hAnsi="宋体" w:eastAsia="宋体" w:cs="宋体"/>
                <w:color w:val="auto"/>
                <w:sz w:val="24"/>
                <w:highlight w:val="none"/>
              </w:rPr>
            </w:pPr>
          </w:p>
        </w:tc>
      </w:tr>
      <w:tr w14:paraId="2D87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26B0AA57">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67CE875B">
            <w:pPr>
              <w:spacing w:line="480" w:lineRule="exact"/>
              <w:jc w:val="center"/>
              <w:rPr>
                <w:rFonts w:hint="eastAsia" w:ascii="宋体" w:hAnsi="宋体" w:eastAsia="宋体" w:cs="宋体"/>
                <w:color w:val="auto"/>
                <w:sz w:val="24"/>
                <w:highlight w:val="none"/>
              </w:rPr>
            </w:pPr>
          </w:p>
        </w:tc>
        <w:tc>
          <w:tcPr>
            <w:tcW w:w="1704" w:type="dxa"/>
            <w:noWrap w:val="0"/>
            <w:vAlign w:val="center"/>
          </w:tcPr>
          <w:p w14:paraId="0F5ED208">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59712444">
            <w:pPr>
              <w:spacing w:line="480" w:lineRule="exact"/>
              <w:jc w:val="center"/>
              <w:rPr>
                <w:rFonts w:hint="eastAsia" w:ascii="宋体" w:hAnsi="宋体" w:eastAsia="宋体" w:cs="宋体"/>
                <w:color w:val="auto"/>
                <w:sz w:val="24"/>
                <w:highlight w:val="none"/>
              </w:rPr>
            </w:pPr>
          </w:p>
        </w:tc>
      </w:tr>
      <w:tr w14:paraId="2C1E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427AAC03">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30C64782">
            <w:pPr>
              <w:spacing w:line="480" w:lineRule="exact"/>
              <w:jc w:val="center"/>
              <w:rPr>
                <w:rFonts w:hint="eastAsia" w:ascii="宋体" w:hAnsi="宋体" w:eastAsia="宋体" w:cs="宋体"/>
                <w:color w:val="auto"/>
                <w:sz w:val="24"/>
                <w:highlight w:val="none"/>
              </w:rPr>
            </w:pPr>
          </w:p>
        </w:tc>
        <w:tc>
          <w:tcPr>
            <w:tcW w:w="1704" w:type="dxa"/>
            <w:noWrap w:val="0"/>
            <w:vAlign w:val="center"/>
          </w:tcPr>
          <w:p w14:paraId="1C6F6BB1">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711301C2">
            <w:pPr>
              <w:spacing w:line="480" w:lineRule="exact"/>
              <w:jc w:val="center"/>
              <w:rPr>
                <w:rFonts w:hint="eastAsia" w:ascii="宋体" w:hAnsi="宋体" w:eastAsia="宋体" w:cs="宋体"/>
                <w:color w:val="auto"/>
                <w:sz w:val="24"/>
                <w:highlight w:val="none"/>
              </w:rPr>
            </w:pPr>
          </w:p>
        </w:tc>
      </w:tr>
      <w:tr w14:paraId="0CE9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317A773B">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28A52F3A">
            <w:pPr>
              <w:spacing w:line="480" w:lineRule="exact"/>
              <w:jc w:val="center"/>
              <w:rPr>
                <w:rFonts w:hint="eastAsia" w:ascii="宋体" w:hAnsi="宋体" w:eastAsia="宋体" w:cs="宋体"/>
                <w:color w:val="auto"/>
                <w:sz w:val="24"/>
                <w:highlight w:val="none"/>
              </w:rPr>
            </w:pPr>
          </w:p>
        </w:tc>
        <w:tc>
          <w:tcPr>
            <w:tcW w:w="1704" w:type="dxa"/>
            <w:noWrap w:val="0"/>
            <w:vAlign w:val="center"/>
          </w:tcPr>
          <w:p w14:paraId="51956E9E">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6B4436BB">
            <w:pPr>
              <w:spacing w:line="480" w:lineRule="exact"/>
              <w:jc w:val="center"/>
              <w:rPr>
                <w:rFonts w:hint="eastAsia" w:ascii="宋体" w:hAnsi="宋体" w:eastAsia="宋体" w:cs="宋体"/>
                <w:color w:val="auto"/>
                <w:sz w:val="24"/>
                <w:highlight w:val="none"/>
              </w:rPr>
            </w:pPr>
          </w:p>
        </w:tc>
      </w:tr>
      <w:tr w14:paraId="1B65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059EE4DB">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11105678">
            <w:pPr>
              <w:spacing w:line="480" w:lineRule="exact"/>
              <w:jc w:val="center"/>
              <w:rPr>
                <w:rFonts w:hint="eastAsia" w:ascii="宋体" w:hAnsi="宋体" w:eastAsia="宋体" w:cs="宋体"/>
                <w:color w:val="auto"/>
                <w:sz w:val="24"/>
                <w:highlight w:val="none"/>
              </w:rPr>
            </w:pPr>
          </w:p>
        </w:tc>
        <w:tc>
          <w:tcPr>
            <w:tcW w:w="1704" w:type="dxa"/>
            <w:noWrap w:val="0"/>
            <w:vAlign w:val="center"/>
          </w:tcPr>
          <w:p w14:paraId="44CE1EFE">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1E5BF8B9">
            <w:pPr>
              <w:spacing w:line="480" w:lineRule="exact"/>
              <w:jc w:val="center"/>
              <w:rPr>
                <w:rFonts w:hint="eastAsia" w:ascii="宋体" w:hAnsi="宋体" w:eastAsia="宋体" w:cs="宋体"/>
                <w:color w:val="auto"/>
                <w:sz w:val="24"/>
                <w:highlight w:val="none"/>
              </w:rPr>
            </w:pPr>
          </w:p>
        </w:tc>
      </w:tr>
      <w:tr w14:paraId="764F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05622062">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7C026C5C">
            <w:pPr>
              <w:spacing w:line="480" w:lineRule="exact"/>
              <w:jc w:val="center"/>
              <w:rPr>
                <w:rFonts w:hint="eastAsia" w:ascii="宋体" w:hAnsi="宋体" w:eastAsia="宋体" w:cs="宋体"/>
                <w:color w:val="auto"/>
                <w:sz w:val="24"/>
                <w:highlight w:val="none"/>
              </w:rPr>
            </w:pPr>
          </w:p>
        </w:tc>
        <w:tc>
          <w:tcPr>
            <w:tcW w:w="1704" w:type="dxa"/>
            <w:noWrap w:val="0"/>
            <w:vAlign w:val="center"/>
          </w:tcPr>
          <w:p w14:paraId="4493AD99">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6356ACBD">
            <w:pPr>
              <w:spacing w:line="480" w:lineRule="exact"/>
              <w:jc w:val="center"/>
              <w:rPr>
                <w:rFonts w:hint="eastAsia" w:ascii="宋体" w:hAnsi="宋体" w:eastAsia="宋体" w:cs="宋体"/>
                <w:color w:val="auto"/>
                <w:sz w:val="24"/>
                <w:highlight w:val="none"/>
              </w:rPr>
            </w:pPr>
          </w:p>
        </w:tc>
      </w:tr>
      <w:tr w14:paraId="1640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30BF63DD">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3DC1592D">
            <w:pPr>
              <w:spacing w:line="480" w:lineRule="exact"/>
              <w:jc w:val="center"/>
              <w:rPr>
                <w:rFonts w:hint="eastAsia" w:ascii="宋体" w:hAnsi="宋体" w:eastAsia="宋体" w:cs="宋体"/>
                <w:color w:val="auto"/>
                <w:sz w:val="24"/>
                <w:highlight w:val="none"/>
              </w:rPr>
            </w:pPr>
          </w:p>
        </w:tc>
        <w:tc>
          <w:tcPr>
            <w:tcW w:w="1704" w:type="dxa"/>
            <w:noWrap w:val="0"/>
            <w:vAlign w:val="center"/>
          </w:tcPr>
          <w:p w14:paraId="51704B14">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4D5151D8">
            <w:pPr>
              <w:spacing w:line="480" w:lineRule="exact"/>
              <w:jc w:val="center"/>
              <w:rPr>
                <w:rFonts w:hint="eastAsia" w:ascii="宋体" w:hAnsi="宋体" w:eastAsia="宋体" w:cs="宋体"/>
                <w:color w:val="auto"/>
                <w:sz w:val="24"/>
                <w:highlight w:val="none"/>
              </w:rPr>
            </w:pPr>
          </w:p>
        </w:tc>
      </w:tr>
      <w:tr w14:paraId="0859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214D61EE">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519F2515">
            <w:pPr>
              <w:spacing w:line="480" w:lineRule="exact"/>
              <w:jc w:val="center"/>
              <w:rPr>
                <w:rFonts w:hint="eastAsia" w:ascii="宋体" w:hAnsi="宋体" w:eastAsia="宋体" w:cs="宋体"/>
                <w:color w:val="auto"/>
                <w:sz w:val="24"/>
                <w:highlight w:val="none"/>
              </w:rPr>
            </w:pPr>
          </w:p>
        </w:tc>
        <w:tc>
          <w:tcPr>
            <w:tcW w:w="1704" w:type="dxa"/>
            <w:noWrap w:val="0"/>
            <w:vAlign w:val="center"/>
          </w:tcPr>
          <w:p w14:paraId="4FA69ECC">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69EE1D2A">
            <w:pPr>
              <w:spacing w:line="480" w:lineRule="exact"/>
              <w:jc w:val="center"/>
              <w:rPr>
                <w:rFonts w:hint="eastAsia" w:ascii="宋体" w:hAnsi="宋体" w:eastAsia="宋体" w:cs="宋体"/>
                <w:color w:val="auto"/>
                <w:sz w:val="24"/>
                <w:highlight w:val="none"/>
              </w:rPr>
            </w:pPr>
          </w:p>
        </w:tc>
      </w:tr>
      <w:tr w14:paraId="4FFC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11083358">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3430A221">
            <w:pPr>
              <w:spacing w:line="480" w:lineRule="exact"/>
              <w:jc w:val="center"/>
              <w:rPr>
                <w:rFonts w:hint="eastAsia" w:ascii="宋体" w:hAnsi="宋体" w:eastAsia="宋体" w:cs="宋体"/>
                <w:color w:val="auto"/>
                <w:sz w:val="24"/>
                <w:highlight w:val="none"/>
              </w:rPr>
            </w:pPr>
          </w:p>
        </w:tc>
        <w:tc>
          <w:tcPr>
            <w:tcW w:w="1704" w:type="dxa"/>
            <w:noWrap w:val="0"/>
            <w:vAlign w:val="center"/>
          </w:tcPr>
          <w:p w14:paraId="689AE476">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3237D77F">
            <w:pPr>
              <w:spacing w:line="480" w:lineRule="exact"/>
              <w:jc w:val="center"/>
              <w:rPr>
                <w:rFonts w:hint="eastAsia" w:ascii="宋体" w:hAnsi="宋体" w:eastAsia="宋体" w:cs="宋体"/>
                <w:color w:val="auto"/>
                <w:sz w:val="24"/>
                <w:highlight w:val="none"/>
              </w:rPr>
            </w:pPr>
          </w:p>
        </w:tc>
      </w:tr>
      <w:tr w14:paraId="04C2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0723E218">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71A65411">
            <w:pPr>
              <w:spacing w:line="480" w:lineRule="exact"/>
              <w:jc w:val="center"/>
              <w:rPr>
                <w:rFonts w:hint="eastAsia" w:ascii="宋体" w:hAnsi="宋体" w:eastAsia="宋体" w:cs="宋体"/>
                <w:color w:val="auto"/>
                <w:sz w:val="24"/>
                <w:highlight w:val="none"/>
              </w:rPr>
            </w:pPr>
          </w:p>
        </w:tc>
        <w:tc>
          <w:tcPr>
            <w:tcW w:w="1704" w:type="dxa"/>
            <w:noWrap w:val="0"/>
            <w:vAlign w:val="center"/>
          </w:tcPr>
          <w:p w14:paraId="4EE5BC18">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116A7B53">
            <w:pPr>
              <w:spacing w:line="480" w:lineRule="exact"/>
              <w:jc w:val="center"/>
              <w:rPr>
                <w:rFonts w:hint="eastAsia" w:ascii="宋体" w:hAnsi="宋体" w:eastAsia="宋体" w:cs="宋体"/>
                <w:color w:val="auto"/>
                <w:sz w:val="24"/>
                <w:highlight w:val="none"/>
              </w:rPr>
            </w:pPr>
          </w:p>
        </w:tc>
      </w:tr>
      <w:tr w14:paraId="108D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571C3FFE">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5341EF33">
            <w:pPr>
              <w:spacing w:line="480" w:lineRule="exact"/>
              <w:jc w:val="center"/>
              <w:rPr>
                <w:rFonts w:hint="eastAsia" w:ascii="宋体" w:hAnsi="宋体" w:eastAsia="宋体" w:cs="宋体"/>
                <w:color w:val="auto"/>
                <w:sz w:val="24"/>
                <w:highlight w:val="none"/>
              </w:rPr>
            </w:pPr>
          </w:p>
        </w:tc>
        <w:tc>
          <w:tcPr>
            <w:tcW w:w="1704" w:type="dxa"/>
            <w:noWrap w:val="0"/>
            <w:vAlign w:val="center"/>
          </w:tcPr>
          <w:p w14:paraId="6477D581">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56BC0264">
            <w:pPr>
              <w:spacing w:line="480" w:lineRule="exact"/>
              <w:jc w:val="center"/>
              <w:rPr>
                <w:rFonts w:hint="eastAsia" w:ascii="宋体" w:hAnsi="宋体" w:eastAsia="宋体" w:cs="宋体"/>
                <w:color w:val="auto"/>
                <w:sz w:val="24"/>
                <w:highlight w:val="none"/>
              </w:rPr>
            </w:pPr>
          </w:p>
        </w:tc>
      </w:tr>
      <w:tr w14:paraId="0CFF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380C48FB">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52890041">
            <w:pPr>
              <w:spacing w:line="480" w:lineRule="exact"/>
              <w:jc w:val="center"/>
              <w:rPr>
                <w:rFonts w:hint="eastAsia" w:ascii="宋体" w:hAnsi="宋体" w:eastAsia="宋体" w:cs="宋体"/>
                <w:color w:val="auto"/>
                <w:sz w:val="24"/>
                <w:highlight w:val="none"/>
              </w:rPr>
            </w:pPr>
          </w:p>
        </w:tc>
        <w:tc>
          <w:tcPr>
            <w:tcW w:w="1704" w:type="dxa"/>
            <w:noWrap w:val="0"/>
            <w:vAlign w:val="center"/>
          </w:tcPr>
          <w:p w14:paraId="34F4AE31">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266951FD">
            <w:pPr>
              <w:spacing w:line="480" w:lineRule="exact"/>
              <w:jc w:val="center"/>
              <w:rPr>
                <w:rFonts w:hint="eastAsia" w:ascii="宋体" w:hAnsi="宋体" w:eastAsia="宋体" w:cs="宋体"/>
                <w:color w:val="auto"/>
                <w:sz w:val="24"/>
                <w:highlight w:val="none"/>
              </w:rPr>
            </w:pPr>
          </w:p>
        </w:tc>
      </w:tr>
      <w:tr w14:paraId="51AA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4D58DF36">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35A89E89">
            <w:pPr>
              <w:spacing w:line="480" w:lineRule="exact"/>
              <w:jc w:val="center"/>
              <w:rPr>
                <w:rFonts w:hint="eastAsia" w:ascii="宋体" w:hAnsi="宋体" w:eastAsia="宋体" w:cs="宋体"/>
                <w:color w:val="auto"/>
                <w:sz w:val="24"/>
                <w:highlight w:val="none"/>
              </w:rPr>
            </w:pPr>
          </w:p>
        </w:tc>
        <w:tc>
          <w:tcPr>
            <w:tcW w:w="1704" w:type="dxa"/>
            <w:noWrap w:val="0"/>
            <w:vAlign w:val="center"/>
          </w:tcPr>
          <w:p w14:paraId="497AFFE7">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089CF1EC">
            <w:pPr>
              <w:spacing w:line="480" w:lineRule="exact"/>
              <w:jc w:val="center"/>
              <w:rPr>
                <w:rFonts w:hint="eastAsia" w:ascii="宋体" w:hAnsi="宋体" w:eastAsia="宋体" w:cs="宋体"/>
                <w:color w:val="auto"/>
                <w:sz w:val="24"/>
                <w:highlight w:val="none"/>
              </w:rPr>
            </w:pPr>
          </w:p>
        </w:tc>
      </w:tr>
      <w:tr w14:paraId="0F8C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6" w:type="dxa"/>
            <w:gridSpan w:val="2"/>
            <w:noWrap w:val="0"/>
            <w:vAlign w:val="center"/>
          </w:tcPr>
          <w:p w14:paraId="517E336E">
            <w:pPr>
              <w:spacing w:line="480" w:lineRule="exact"/>
              <w:jc w:val="center"/>
              <w:rPr>
                <w:rFonts w:hint="eastAsia" w:ascii="宋体" w:hAnsi="宋体" w:eastAsia="宋体" w:cs="宋体"/>
                <w:color w:val="auto"/>
                <w:sz w:val="24"/>
                <w:highlight w:val="none"/>
              </w:rPr>
            </w:pPr>
          </w:p>
        </w:tc>
        <w:tc>
          <w:tcPr>
            <w:tcW w:w="4346" w:type="dxa"/>
            <w:gridSpan w:val="4"/>
            <w:noWrap w:val="0"/>
            <w:vAlign w:val="center"/>
          </w:tcPr>
          <w:p w14:paraId="73DA5C19">
            <w:pPr>
              <w:spacing w:line="480" w:lineRule="exact"/>
              <w:jc w:val="center"/>
              <w:rPr>
                <w:rFonts w:hint="eastAsia" w:ascii="宋体" w:hAnsi="宋体" w:eastAsia="宋体" w:cs="宋体"/>
                <w:color w:val="auto"/>
                <w:sz w:val="24"/>
                <w:highlight w:val="none"/>
              </w:rPr>
            </w:pPr>
          </w:p>
        </w:tc>
        <w:tc>
          <w:tcPr>
            <w:tcW w:w="1704" w:type="dxa"/>
            <w:noWrap w:val="0"/>
            <w:vAlign w:val="center"/>
          </w:tcPr>
          <w:p w14:paraId="7FFBCF81">
            <w:pPr>
              <w:spacing w:line="480" w:lineRule="exact"/>
              <w:jc w:val="center"/>
              <w:rPr>
                <w:rFonts w:hint="eastAsia" w:ascii="宋体" w:hAnsi="宋体" w:eastAsia="宋体" w:cs="宋体"/>
                <w:color w:val="auto"/>
                <w:sz w:val="24"/>
                <w:highlight w:val="none"/>
              </w:rPr>
            </w:pPr>
          </w:p>
        </w:tc>
        <w:tc>
          <w:tcPr>
            <w:tcW w:w="1661" w:type="dxa"/>
            <w:gridSpan w:val="2"/>
            <w:noWrap w:val="0"/>
            <w:vAlign w:val="center"/>
          </w:tcPr>
          <w:p w14:paraId="2F7FF3A1">
            <w:pPr>
              <w:spacing w:line="480" w:lineRule="exact"/>
              <w:jc w:val="center"/>
              <w:rPr>
                <w:rFonts w:hint="eastAsia" w:ascii="宋体" w:hAnsi="宋体" w:eastAsia="宋体" w:cs="宋体"/>
                <w:color w:val="auto"/>
                <w:sz w:val="24"/>
                <w:highlight w:val="none"/>
              </w:rPr>
            </w:pPr>
          </w:p>
        </w:tc>
      </w:tr>
    </w:tbl>
    <w:p w14:paraId="15AF9E6C">
      <w:pPr>
        <w:spacing w:line="480" w:lineRule="exact"/>
        <w:ind w:firstLine="420" w:firstLineChars="200"/>
        <w:rPr>
          <w:rFonts w:hint="eastAsia" w:ascii="宋体" w:hAnsi="宋体" w:eastAsia="宋体" w:cs="宋体"/>
          <w:color w:val="auto"/>
          <w:szCs w:val="21"/>
          <w:highlight w:val="none"/>
        </w:rPr>
      </w:pPr>
      <w:bookmarkStart w:id="357" w:name="_Toc256773243"/>
      <w:bookmarkStart w:id="358" w:name="_Toc263413242"/>
      <w:r>
        <w:rPr>
          <w:rFonts w:hint="eastAsia" w:ascii="宋体" w:hAnsi="宋体" w:eastAsia="宋体" w:cs="宋体"/>
          <w:color w:val="auto"/>
          <w:szCs w:val="21"/>
          <w:highlight w:val="none"/>
        </w:rPr>
        <w:t>注：主要人员指项目经理、技术负责人、安全管理人员（专职安全生产管理人员）及其他主要人员。</w:t>
      </w:r>
    </w:p>
    <w:p w14:paraId="7F808355">
      <w:pPr>
        <w:bidi w:val="0"/>
        <w:rPr>
          <w:rFonts w:hint="eastAsia" w:ascii="宋体" w:hAnsi="宋体" w:eastAsia="宋体" w:cs="宋体"/>
          <w:color w:val="auto"/>
        </w:rPr>
      </w:pPr>
    </w:p>
    <w:p w14:paraId="2174DA26">
      <w:pPr>
        <w:bidi w:val="0"/>
        <w:rPr>
          <w:rFonts w:hint="eastAsia" w:ascii="宋体" w:hAnsi="宋体" w:eastAsia="宋体" w:cs="宋体"/>
          <w:color w:val="auto"/>
        </w:rPr>
      </w:pPr>
    </w:p>
    <w:p w14:paraId="5A6F531F">
      <w:pPr>
        <w:spacing w:line="480" w:lineRule="exact"/>
        <w:jc w:val="center"/>
        <w:outlineLvl w:val="1"/>
        <w:rPr>
          <w:rFonts w:hint="eastAsia" w:ascii="宋体" w:hAnsi="宋体" w:eastAsia="宋体" w:cs="宋体"/>
          <w:color w:val="auto"/>
          <w:szCs w:val="21"/>
          <w:highlight w:val="none"/>
        </w:rPr>
      </w:pPr>
      <w:r>
        <w:rPr>
          <w:rFonts w:hint="eastAsia" w:ascii="宋体" w:hAnsi="宋体" w:eastAsia="宋体" w:cs="宋体"/>
          <w:b/>
          <w:color w:val="auto"/>
          <w:sz w:val="32"/>
          <w:szCs w:val="32"/>
          <w:highlight w:val="none"/>
        </w:rPr>
        <w:br w:type="page"/>
      </w:r>
      <w:bookmarkStart w:id="359" w:name="_Toc12438"/>
      <w:bookmarkStart w:id="360" w:name="_Toc11612"/>
      <w:bookmarkStart w:id="361" w:name="_Toc2874"/>
      <w:r>
        <w:rPr>
          <w:rFonts w:hint="eastAsia" w:ascii="宋体" w:hAnsi="宋体" w:eastAsia="宋体" w:cs="宋体"/>
          <w:b/>
          <w:color w:val="auto"/>
          <w:sz w:val="32"/>
          <w:szCs w:val="32"/>
          <w:highlight w:val="none"/>
        </w:rPr>
        <w:t>五、</w:t>
      </w:r>
      <w:bookmarkEnd w:id="357"/>
      <w:bookmarkEnd w:id="358"/>
      <w:r>
        <w:rPr>
          <w:rFonts w:hint="eastAsia" w:ascii="宋体" w:hAnsi="宋体" w:eastAsia="宋体" w:cs="宋体"/>
          <w:b/>
          <w:color w:val="auto"/>
          <w:sz w:val="32"/>
          <w:szCs w:val="32"/>
          <w:highlight w:val="none"/>
        </w:rPr>
        <w:t>资格审查资料</w:t>
      </w:r>
      <w:bookmarkEnd w:id="359"/>
      <w:bookmarkEnd w:id="360"/>
      <w:bookmarkEnd w:id="361"/>
    </w:p>
    <w:p w14:paraId="6690D503">
      <w:pPr>
        <w:spacing w:line="480" w:lineRule="exac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（一）投标人基本情况表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1035"/>
        <w:gridCol w:w="1340"/>
        <w:gridCol w:w="1289"/>
        <w:gridCol w:w="1725"/>
        <w:gridCol w:w="979"/>
        <w:gridCol w:w="1257"/>
      </w:tblGrid>
      <w:tr w14:paraId="3AA9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40" w:type="dxa"/>
            <w:noWrap w:val="0"/>
            <w:vAlign w:val="center"/>
          </w:tcPr>
          <w:p w14:paraId="29B51D7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625" w:type="dxa"/>
            <w:gridSpan w:val="6"/>
            <w:noWrap w:val="0"/>
            <w:vAlign w:val="center"/>
          </w:tcPr>
          <w:p w14:paraId="7D1B43E7">
            <w:pPr>
              <w:spacing w:line="480" w:lineRule="exact"/>
              <w:jc w:val="center"/>
              <w:rPr>
                <w:rFonts w:hint="eastAsia" w:ascii="宋体" w:hAnsi="宋体" w:eastAsia="宋体" w:cs="宋体"/>
                <w:color w:val="auto"/>
                <w:sz w:val="24"/>
                <w:highlight w:val="none"/>
              </w:rPr>
            </w:pPr>
          </w:p>
        </w:tc>
      </w:tr>
      <w:tr w14:paraId="6577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40" w:type="dxa"/>
            <w:noWrap w:val="0"/>
            <w:vAlign w:val="center"/>
          </w:tcPr>
          <w:p w14:paraId="5D2153DC">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664" w:type="dxa"/>
            <w:gridSpan w:val="3"/>
            <w:noWrap w:val="0"/>
            <w:vAlign w:val="center"/>
          </w:tcPr>
          <w:p w14:paraId="0DB57608">
            <w:pPr>
              <w:spacing w:line="480" w:lineRule="exact"/>
              <w:jc w:val="center"/>
              <w:rPr>
                <w:rFonts w:hint="eastAsia" w:ascii="宋体" w:hAnsi="宋体" w:eastAsia="宋体" w:cs="宋体"/>
                <w:color w:val="auto"/>
                <w:sz w:val="24"/>
                <w:highlight w:val="none"/>
              </w:rPr>
            </w:pPr>
          </w:p>
        </w:tc>
        <w:tc>
          <w:tcPr>
            <w:tcW w:w="1725" w:type="dxa"/>
            <w:noWrap w:val="0"/>
            <w:vAlign w:val="center"/>
          </w:tcPr>
          <w:p w14:paraId="30B2E550">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236" w:type="dxa"/>
            <w:gridSpan w:val="2"/>
            <w:noWrap w:val="0"/>
            <w:vAlign w:val="center"/>
          </w:tcPr>
          <w:p w14:paraId="54582D80">
            <w:pPr>
              <w:spacing w:line="480" w:lineRule="exact"/>
              <w:jc w:val="center"/>
              <w:rPr>
                <w:rFonts w:hint="eastAsia" w:ascii="宋体" w:hAnsi="宋体" w:eastAsia="宋体" w:cs="宋体"/>
                <w:color w:val="auto"/>
                <w:sz w:val="24"/>
                <w:highlight w:val="none"/>
              </w:rPr>
            </w:pPr>
          </w:p>
        </w:tc>
      </w:tr>
      <w:tr w14:paraId="0577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840" w:type="dxa"/>
            <w:vMerge w:val="restart"/>
            <w:noWrap w:val="0"/>
            <w:vAlign w:val="center"/>
          </w:tcPr>
          <w:p w14:paraId="09DBAC27">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035" w:type="dxa"/>
            <w:noWrap w:val="0"/>
            <w:vAlign w:val="center"/>
          </w:tcPr>
          <w:p w14:paraId="1D613F8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629" w:type="dxa"/>
            <w:gridSpan w:val="2"/>
            <w:noWrap w:val="0"/>
            <w:vAlign w:val="center"/>
          </w:tcPr>
          <w:p w14:paraId="5C4D7AB4">
            <w:pPr>
              <w:spacing w:line="480" w:lineRule="exact"/>
              <w:jc w:val="center"/>
              <w:rPr>
                <w:rFonts w:hint="eastAsia" w:ascii="宋体" w:hAnsi="宋体" w:eastAsia="宋体" w:cs="宋体"/>
                <w:color w:val="auto"/>
                <w:sz w:val="24"/>
                <w:highlight w:val="none"/>
              </w:rPr>
            </w:pPr>
          </w:p>
        </w:tc>
        <w:tc>
          <w:tcPr>
            <w:tcW w:w="1725" w:type="dxa"/>
            <w:noWrap w:val="0"/>
            <w:vAlign w:val="center"/>
          </w:tcPr>
          <w:p w14:paraId="7563DF4C">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236" w:type="dxa"/>
            <w:gridSpan w:val="2"/>
            <w:noWrap w:val="0"/>
            <w:vAlign w:val="center"/>
          </w:tcPr>
          <w:p w14:paraId="1C8581F1">
            <w:pPr>
              <w:spacing w:line="480" w:lineRule="exact"/>
              <w:jc w:val="center"/>
              <w:rPr>
                <w:rFonts w:hint="eastAsia" w:ascii="宋体" w:hAnsi="宋体" w:eastAsia="宋体" w:cs="宋体"/>
                <w:color w:val="auto"/>
                <w:sz w:val="24"/>
                <w:highlight w:val="none"/>
              </w:rPr>
            </w:pPr>
          </w:p>
        </w:tc>
      </w:tr>
      <w:tr w14:paraId="3FD5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840" w:type="dxa"/>
            <w:vMerge w:val="continue"/>
            <w:noWrap w:val="0"/>
            <w:vAlign w:val="center"/>
          </w:tcPr>
          <w:p w14:paraId="52C10D1F">
            <w:pPr>
              <w:spacing w:line="480" w:lineRule="exact"/>
              <w:jc w:val="center"/>
              <w:rPr>
                <w:rFonts w:hint="eastAsia" w:ascii="宋体" w:hAnsi="宋体" w:eastAsia="宋体" w:cs="宋体"/>
                <w:color w:val="auto"/>
                <w:sz w:val="24"/>
                <w:highlight w:val="none"/>
              </w:rPr>
            </w:pPr>
          </w:p>
        </w:tc>
        <w:tc>
          <w:tcPr>
            <w:tcW w:w="1035" w:type="dxa"/>
            <w:noWrap w:val="0"/>
            <w:vAlign w:val="center"/>
          </w:tcPr>
          <w:p w14:paraId="3E1E8B3F">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629" w:type="dxa"/>
            <w:gridSpan w:val="2"/>
            <w:noWrap w:val="0"/>
            <w:vAlign w:val="center"/>
          </w:tcPr>
          <w:p w14:paraId="62221393">
            <w:pPr>
              <w:spacing w:line="480" w:lineRule="exact"/>
              <w:jc w:val="center"/>
              <w:rPr>
                <w:rFonts w:hint="eastAsia" w:ascii="宋体" w:hAnsi="宋体" w:eastAsia="宋体" w:cs="宋体"/>
                <w:color w:val="auto"/>
                <w:sz w:val="24"/>
                <w:highlight w:val="none"/>
              </w:rPr>
            </w:pPr>
          </w:p>
        </w:tc>
        <w:tc>
          <w:tcPr>
            <w:tcW w:w="1725" w:type="dxa"/>
            <w:noWrap w:val="0"/>
            <w:vAlign w:val="center"/>
          </w:tcPr>
          <w:p w14:paraId="57A9062C">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p>
        </w:tc>
        <w:tc>
          <w:tcPr>
            <w:tcW w:w="2236" w:type="dxa"/>
            <w:gridSpan w:val="2"/>
            <w:noWrap w:val="0"/>
            <w:vAlign w:val="center"/>
          </w:tcPr>
          <w:p w14:paraId="275E247E">
            <w:pPr>
              <w:spacing w:line="480" w:lineRule="exact"/>
              <w:jc w:val="center"/>
              <w:rPr>
                <w:rFonts w:hint="eastAsia" w:ascii="宋体" w:hAnsi="宋体" w:eastAsia="宋体" w:cs="宋体"/>
                <w:color w:val="auto"/>
                <w:sz w:val="24"/>
                <w:highlight w:val="none"/>
              </w:rPr>
            </w:pPr>
          </w:p>
        </w:tc>
      </w:tr>
      <w:tr w14:paraId="2250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40" w:type="dxa"/>
            <w:noWrap w:val="0"/>
            <w:vAlign w:val="center"/>
          </w:tcPr>
          <w:p w14:paraId="72A28C4F">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7625" w:type="dxa"/>
            <w:gridSpan w:val="6"/>
            <w:noWrap w:val="0"/>
            <w:vAlign w:val="center"/>
          </w:tcPr>
          <w:p w14:paraId="157BB790">
            <w:pPr>
              <w:spacing w:line="480" w:lineRule="exact"/>
              <w:jc w:val="center"/>
              <w:rPr>
                <w:rFonts w:hint="eastAsia" w:ascii="宋体" w:hAnsi="宋体" w:eastAsia="宋体" w:cs="宋体"/>
                <w:color w:val="auto"/>
                <w:sz w:val="24"/>
                <w:highlight w:val="none"/>
              </w:rPr>
            </w:pPr>
          </w:p>
        </w:tc>
      </w:tr>
      <w:tr w14:paraId="4A48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40" w:type="dxa"/>
            <w:noWrap w:val="0"/>
            <w:vAlign w:val="center"/>
          </w:tcPr>
          <w:p w14:paraId="4156C3DE">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035" w:type="dxa"/>
            <w:noWrap w:val="0"/>
            <w:vAlign w:val="center"/>
          </w:tcPr>
          <w:p w14:paraId="63126917">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340" w:type="dxa"/>
            <w:noWrap w:val="0"/>
            <w:vAlign w:val="center"/>
          </w:tcPr>
          <w:p w14:paraId="4EC2F1D8">
            <w:pPr>
              <w:spacing w:line="480" w:lineRule="exact"/>
              <w:jc w:val="center"/>
              <w:rPr>
                <w:rFonts w:hint="eastAsia" w:ascii="宋体" w:hAnsi="宋体" w:eastAsia="宋体" w:cs="宋体"/>
                <w:color w:val="auto"/>
                <w:sz w:val="24"/>
                <w:highlight w:val="none"/>
              </w:rPr>
            </w:pPr>
          </w:p>
        </w:tc>
        <w:tc>
          <w:tcPr>
            <w:tcW w:w="1289" w:type="dxa"/>
            <w:noWrap w:val="0"/>
            <w:vAlign w:val="center"/>
          </w:tcPr>
          <w:p w14:paraId="13C6B0F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725" w:type="dxa"/>
            <w:noWrap w:val="0"/>
            <w:vAlign w:val="center"/>
          </w:tcPr>
          <w:p w14:paraId="5D36E547">
            <w:pPr>
              <w:spacing w:line="480" w:lineRule="exact"/>
              <w:jc w:val="center"/>
              <w:rPr>
                <w:rFonts w:hint="eastAsia" w:ascii="宋体" w:hAnsi="宋体" w:eastAsia="宋体" w:cs="宋体"/>
                <w:color w:val="auto"/>
                <w:sz w:val="24"/>
                <w:highlight w:val="none"/>
              </w:rPr>
            </w:pPr>
          </w:p>
        </w:tc>
        <w:tc>
          <w:tcPr>
            <w:tcW w:w="979" w:type="dxa"/>
            <w:noWrap w:val="0"/>
            <w:vAlign w:val="center"/>
          </w:tcPr>
          <w:p w14:paraId="0094DD31">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57" w:type="dxa"/>
            <w:noWrap w:val="0"/>
            <w:vAlign w:val="center"/>
          </w:tcPr>
          <w:p w14:paraId="107B15D1">
            <w:pPr>
              <w:spacing w:line="480" w:lineRule="exact"/>
              <w:jc w:val="center"/>
              <w:rPr>
                <w:rFonts w:hint="eastAsia" w:ascii="宋体" w:hAnsi="宋体" w:eastAsia="宋体" w:cs="宋体"/>
                <w:color w:val="auto"/>
                <w:sz w:val="24"/>
                <w:highlight w:val="none"/>
              </w:rPr>
            </w:pPr>
          </w:p>
        </w:tc>
      </w:tr>
      <w:tr w14:paraId="766D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40" w:type="dxa"/>
            <w:noWrap w:val="0"/>
            <w:vAlign w:val="center"/>
          </w:tcPr>
          <w:p w14:paraId="0FFB3627">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035" w:type="dxa"/>
            <w:noWrap w:val="0"/>
            <w:vAlign w:val="center"/>
          </w:tcPr>
          <w:p w14:paraId="302DB9B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340" w:type="dxa"/>
            <w:noWrap w:val="0"/>
            <w:vAlign w:val="center"/>
          </w:tcPr>
          <w:p w14:paraId="6B9F3CAD">
            <w:pPr>
              <w:spacing w:line="480" w:lineRule="exact"/>
              <w:jc w:val="center"/>
              <w:rPr>
                <w:rFonts w:hint="eastAsia" w:ascii="宋体" w:hAnsi="宋体" w:eastAsia="宋体" w:cs="宋体"/>
                <w:color w:val="auto"/>
                <w:sz w:val="24"/>
                <w:highlight w:val="none"/>
              </w:rPr>
            </w:pPr>
          </w:p>
        </w:tc>
        <w:tc>
          <w:tcPr>
            <w:tcW w:w="1289" w:type="dxa"/>
            <w:noWrap w:val="0"/>
            <w:vAlign w:val="center"/>
          </w:tcPr>
          <w:p w14:paraId="179CB6A5">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725" w:type="dxa"/>
            <w:noWrap w:val="0"/>
            <w:vAlign w:val="center"/>
          </w:tcPr>
          <w:p w14:paraId="79448DD2">
            <w:pPr>
              <w:spacing w:line="480" w:lineRule="exact"/>
              <w:jc w:val="center"/>
              <w:rPr>
                <w:rFonts w:hint="eastAsia" w:ascii="宋体" w:hAnsi="宋体" w:eastAsia="宋体" w:cs="宋体"/>
                <w:color w:val="auto"/>
                <w:sz w:val="24"/>
                <w:highlight w:val="none"/>
              </w:rPr>
            </w:pPr>
          </w:p>
        </w:tc>
        <w:tc>
          <w:tcPr>
            <w:tcW w:w="979" w:type="dxa"/>
            <w:noWrap w:val="0"/>
            <w:vAlign w:val="center"/>
          </w:tcPr>
          <w:p w14:paraId="7D428DD5">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57" w:type="dxa"/>
            <w:noWrap w:val="0"/>
            <w:vAlign w:val="center"/>
          </w:tcPr>
          <w:p w14:paraId="760FD872">
            <w:pPr>
              <w:spacing w:line="480" w:lineRule="exact"/>
              <w:jc w:val="center"/>
              <w:rPr>
                <w:rFonts w:hint="eastAsia" w:ascii="宋体" w:hAnsi="宋体" w:eastAsia="宋体" w:cs="宋体"/>
                <w:color w:val="auto"/>
                <w:sz w:val="24"/>
                <w:highlight w:val="none"/>
              </w:rPr>
            </w:pPr>
          </w:p>
        </w:tc>
      </w:tr>
      <w:tr w14:paraId="75DA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40" w:type="dxa"/>
            <w:noWrap w:val="0"/>
            <w:vAlign w:val="center"/>
          </w:tcPr>
          <w:p w14:paraId="489B2510">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2375" w:type="dxa"/>
            <w:gridSpan w:val="2"/>
            <w:noWrap w:val="0"/>
            <w:vAlign w:val="center"/>
          </w:tcPr>
          <w:p w14:paraId="726613B9">
            <w:pPr>
              <w:spacing w:line="480" w:lineRule="exact"/>
              <w:jc w:val="center"/>
              <w:rPr>
                <w:rFonts w:hint="eastAsia" w:ascii="宋体" w:hAnsi="宋体" w:eastAsia="宋体" w:cs="宋体"/>
                <w:color w:val="auto"/>
                <w:sz w:val="24"/>
                <w:highlight w:val="none"/>
              </w:rPr>
            </w:pPr>
          </w:p>
        </w:tc>
        <w:tc>
          <w:tcPr>
            <w:tcW w:w="3014" w:type="dxa"/>
            <w:gridSpan w:val="2"/>
            <w:noWrap w:val="0"/>
            <w:vAlign w:val="center"/>
          </w:tcPr>
          <w:p w14:paraId="76AEE986">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2236" w:type="dxa"/>
            <w:gridSpan w:val="2"/>
            <w:noWrap w:val="0"/>
            <w:vAlign w:val="center"/>
          </w:tcPr>
          <w:p w14:paraId="77BD9F07">
            <w:pPr>
              <w:spacing w:line="480" w:lineRule="exact"/>
              <w:jc w:val="center"/>
              <w:rPr>
                <w:rFonts w:hint="eastAsia" w:ascii="宋体" w:hAnsi="宋体" w:eastAsia="宋体" w:cs="宋体"/>
                <w:color w:val="auto"/>
                <w:sz w:val="24"/>
                <w:highlight w:val="none"/>
              </w:rPr>
            </w:pPr>
          </w:p>
        </w:tc>
      </w:tr>
      <w:tr w14:paraId="4D60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840" w:type="dxa"/>
            <w:noWrap w:val="0"/>
            <w:vAlign w:val="center"/>
          </w:tcPr>
          <w:p w14:paraId="7B18D4C1">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企业资质等级</w:t>
            </w:r>
          </w:p>
        </w:tc>
        <w:tc>
          <w:tcPr>
            <w:tcW w:w="2375" w:type="dxa"/>
            <w:gridSpan w:val="2"/>
            <w:noWrap w:val="0"/>
            <w:vAlign w:val="center"/>
          </w:tcPr>
          <w:p w14:paraId="1A1D6617">
            <w:pPr>
              <w:spacing w:line="480" w:lineRule="exact"/>
              <w:jc w:val="center"/>
              <w:rPr>
                <w:rFonts w:hint="eastAsia" w:ascii="宋体" w:hAnsi="宋体" w:eastAsia="宋体" w:cs="宋体"/>
                <w:color w:val="auto"/>
                <w:sz w:val="24"/>
                <w:highlight w:val="none"/>
              </w:rPr>
            </w:pPr>
          </w:p>
        </w:tc>
        <w:tc>
          <w:tcPr>
            <w:tcW w:w="1289" w:type="dxa"/>
            <w:vMerge w:val="restart"/>
            <w:noWrap w:val="0"/>
            <w:vAlign w:val="center"/>
          </w:tcPr>
          <w:p w14:paraId="096D8F2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1725" w:type="dxa"/>
            <w:noWrap w:val="0"/>
            <w:vAlign w:val="center"/>
          </w:tcPr>
          <w:p w14:paraId="0BC0A1B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c>
          <w:tcPr>
            <w:tcW w:w="2236" w:type="dxa"/>
            <w:gridSpan w:val="2"/>
            <w:noWrap w:val="0"/>
            <w:vAlign w:val="center"/>
          </w:tcPr>
          <w:p w14:paraId="76524A4D">
            <w:pPr>
              <w:spacing w:line="480" w:lineRule="exact"/>
              <w:jc w:val="center"/>
              <w:rPr>
                <w:rFonts w:hint="eastAsia" w:ascii="宋体" w:hAnsi="宋体" w:eastAsia="宋体" w:cs="宋体"/>
                <w:color w:val="auto"/>
                <w:sz w:val="24"/>
                <w:highlight w:val="none"/>
              </w:rPr>
            </w:pPr>
          </w:p>
        </w:tc>
      </w:tr>
      <w:tr w14:paraId="5F79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840" w:type="dxa"/>
            <w:noWrap w:val="0"/>
            <w:vAlign w:val="center"/>
          </w:tcPr>
          <w:p w14:paraId="340CC925">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2375" w:type="dxa"/>
            <w:gridSpan w:val="2"/>
            <w:noWrap w:val="0"/>
            <w:vAlign w:val="center"/>
          </w:tcPr>
          <w:p w14:paraId="7EF015FE">
            <w:pPr>
              <w:spacing w:line="480" w:lineRule="exact"/>
              <w:jc w:val="center"/>
              <w:rPr>
                <w:rFonts w:hint="eastAsia" w:ascii="宋体" w:hAnsi="宋体" w:eastAsia="宋体" w:cs="宋体"/>
                <w:color w:val="auto"/>
                <w:sz w:val="24"/>
                <w:highlight w:val="none"/>
              </w:rPr>
            </w:pPr>
          </w:p>
        </w:tc>
        <w:tc>
          <w:tcPr>
            <w:tcW w:w="1289" w:type="dxa"/>
            <w:vMerge w:val="continue"/>
            <w:noWrap w:val="0"/>
            <w:vAlign w:val="center"/>
          </w:tcPr>
          <w:p w14:paraId="323C2F7B">
            <w:pPr>
              <w:spacing w:line="480" w:lineRule="exact"/>
              <w:jc w:val="center"/>
              <w:rPr>
                <w:rFonts w:hint="eastAsia" w:ascii="宋体" w:hAnsi="宋体" w:eastAsia="宋体" w:cs="宋体"/>
                <w:color w:val="auto"/>
                <w:sz w:val="24"/>
                <w:highlight w:val="none"/>
              </w:rPr>
            </w:pPr>
          </w:p>
        </w:tc>
        <w:tc>
          <w:tcPr>
            <w:tcW w:w="1725" w:type="dxa"/>
            <w:noWrap w:val="0"/>
            <w:vAlign w:val="center"/>
          </w:tcPr>
          <w:p w14:paraId="7C5BC6C7">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2236" w:type="dxa"/>
            <w:gridSpan w:val="2"/>
            <w:noWrap w:val="0"/>
            <w:vAlign w:val="center"/>
          </w:tcPr>
          <w:p w14:paraId="2DC47E52">
            <w:pPr>
              <w:spacing w:line="480" w:lineRule="exact"/>
              <w:jc w:val="center"/>
              <w:rPr>
                <w:rFonts w:hint="eastAsia" w:ascii="宋体" w:hAnsi="宋体" w:eastAsia="宋体" w:cs="宋体"/>
                <w:color w:val="auto"/>
                <w:sz w:val="24"/>
                <w:highlight w:val="none"/>
              </w:rPr>
            </w:pPr>
          </w:p>
        </w:tc>
      </w:tr>
      <w:tr w14:paraId="30D7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840" w:type="dxa"/>
            <w:noWrap w:val="0"/>
            <w:vAlign w:val="center"/>
          </w:tcPr>
          <w:p w14:paraId="3EFB1183">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2375" w:type="dxa"/>
            <w:gridSpan w:val="2"/>
            <w:noWrap w:val="0"/>
            <w:vAlign w:val="center"/>
          </w:tcPr>
          <w:p w14:paraId="13CE897E">
            <w:pPr>
              <w:spacing w:line="480" w:lineRule="exact"/>
              <w:jc w:val="center"/>
              <w:rPr>
                <w:rFonts w:hint="eastAsia" w:ascii="宋体" w:hAnsi="宋体" w:eastAsia="宋体" w:cs="宋体"/>
                <w:color w:val="auto"/>
                <w:sz w:val="24"/>
                <w:highlight w:val="none"/>
              </w:rPr>
            </w:pPr>
          </w:p>
        </w:tc>
        <w:tc>
          <w:tcPr>
            <w:tcW w:w="1289" w:type="dxa"/>
            <w:vMerge w:val="continue"/>
            <w:noWrap w:val="0"/>
            <w:vAlign w:val="center"/>
          </w:tcPr>
          <w:p w14:paraId="64AA8E1C">
            <w:pPr>
              <w:spacing w:line="480" w:lineRule="exact"/>
              <w:jc w:val="center"/>
              <w:rPr>
                <w:rFonts w:hint="eastAsia" w:ascii="宋体" w:hAnsi="宋体" w:eastAsia="宋体" w:cs="宋体"/>
                <w:color w:val="auto"/>
                <w:sz w:val="24"/>
                <w:highlight w:val="none"/>
              </w:rPr>
            </w:pPr>
          </w:p>
        </w:tc>
        <w:tc>
          <w:tcPr>
            <w:tcW w:w="1725" w:type="dxa"/>
            <w:noWrap w:val="0"/>
            <w:vAlign w:val="center"/>
          </w:tcPr>
          <w:p w14:paraId="19B12832">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2236" w:type="dxa"/>
            <w:gridSpan w:val="2"/>
            <w:noWrap w:val="0"/>
            <w:vAlign w:val="center"/>
          </w:tcPr>
          <w:p w14:paraId="05E53228">
            <w:pPr>
              <w:spacing w:line="480" w:lineRule="exact"/>
              <w:jc w:val="center"/>
              <w:rPr>
                <w:rFonts w:hint="eastAsia" w:ascii="宋体" w:hAnsi="宋体" w:eastAsia="宋体" w:cs="宋体"/>
                <w:color w:val="auto"/>
                <w:sz w:val="24"/>
                <w:highlight w:val="none"/>
              </w:rPr>
            </w:pPr>
          </w:p>
        </w:tc>
      </w:tr>
      <w:tr w14:paraId="3236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840" w:type="dxa"/>
            <w:noWrap w:val="0"/>
            <w:vAlign w:val="center"/>
          </w:tcPr>
          <w:p w14:paraId="7C071EB0">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2375" w:type="dxa"/>
            <w:gridSpan w:val="2"/>
            <w:noWrap w:val="0"/>
            <w:vAlign w:val="center"/>
          </w:tcPr>
          <w:p w14:paraId="065647AB">
            <w:pPr>
              <w:spacing w:line="480" w:lineRule="exact"/>
              <w:jc w:val="center"/>
              <w:rPr>
                <w:rFonts w:hint="eastAsia" w:ascii="宋体" w:hAnsi="宋体" w:eastAsia="宋体" w:cs="宋体"/>
                <w:color w:val="auto"/>
                <w:sz w:val="24"/>
                <w:highlight w:val="none"/>
              </w:rPr>
            </w:pPr>
          </w:p>
        </w:tc>
        <w:tc>
          <w:tcPr>
            <w:tcW w:w="1289" w:type="dxa"/>
            <w:vMerge w:val="continue"/>
            <w:noWrap w:val="0"/>
            <w:vAlign w:val="center"/>
          </w:tcPr>
          <w:p w14:paraId="684733C3">
            <w:pPr>
              <w:spacing w:line="480" w:lineRule="exact"/>
              <w:jc w:val="center"/>
              <w:rPr>
                <w:rFonts w:hint="eastAsia" w:ascii="宋体" w:hAnsi="宋体" w:eastAsia="宋体" w:cs="宋体"/>
                <w:color w:val="auto"/>
                <w:sz w:val="24"/>
                <w:highlight w:val="none"/>
              </w:rPr>
            </w:pPr>
          </w:p>
        </w:tc>
        <w:tc>
          <w:tcPr>
            <w:tcW w:w="1725" w:type="dxa"/>
            <w:noWrap w:val="0"/>
            <w:vAlign w:val="center"/>
          </w:tcPr>
          <w:p w14:paraId="4EB27318">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2236" w:type="dxa"/>
            <w:gridSpan w:val="2"/>
            <w:noWrap w:val="0"/>
            <w:vAlign w:val="center"/>
          </w:tcPr>
          <w:p w14:paraId="56F90C02">
            <w:pPr>
              <w:spacing w:line="480" w:lineRule="exact"/>
              <w:jc w:val="center"/>
              <w:rPr>
                <w:rFonts w:hint="eastAsia" w:ascii="宋体" w:hAnsi="宋体" w:eastAsia="宋体" w:cs="宋体"/>
                <w:color w:val="auto"/>
                <w:sz w:val="24"/>
                <w:highlight w:val="none"/>
              </w:rPr>
            </w:pPr>
          </w:p>
        </w:tc>
      </w:tr>
      <w:tr w14:paraId="55BA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840" w:type="dxa"/>
            <w:noWrap w:val="0"/>
            <w:vAlign w:val="center"/>
          </w:tcPr>
          <w:p w14:paraId="3AAD96C3">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2375" w:type="dxa"/>
            <w:gridSpan w:val="2"/>
            <w:noWrap w:val="0"/>
            <w:vAlign w:val="center"/>
          </w:tcPr>
          <w:p w14:paraId="54C11CDE">
            <w:pPr>
              <w:spacing w:line="480" w:lineRule="exact"/>
              <w:jc w:val="center"/>
              <w:rPr>
                <w:rFonts w:hint="eastAsia" w:ascii="宋体" w:hAnsi="宋体" w:eastAsia="宋体" w:cs="宋体"/>
                <w:color w:val="auto"/>
                <w:sz w:val="24"/>
                <w:highlight w:val="none"/>
              </w:rPr>
            </w:pPr>
          </w:p>
        </w:tc>
        <w:tc>
          <w:tcPr>
            <w:tcW w:w="1289" w:type="dxa"/>
            <w:vMerge w:val="continue"/>
            <w:noWrap w:val="0"/>
            <w:vAlign w:val="center"/>
          </w:tcPr>
          <w:p w14:paraId="6BAF8E25">
            <w:pPr>
              <w:spacing w:line="480" w:lineRule="exact"/>
              <w:jc w:val="center"/>
              <w:rPr>
                <w:rFonts w:hint="eastAsia" w:ascii="宋体" w:hAnsi="宋体" w:eastAsia="宋体" w:cs="宋体"/>
                <w:color w:val="auto"/>
                <w:sz w:val="24"/>
                <w:highlight w:val="none"/>
              </w:rPr>
            </w:pPr>
          </w:p>
        </w:tc>
        <w:tc>
          <w:tcPr>
            <w:tcW w:w="1725" w:type="dxa"/>
            <w:noWrap w:val="0"/>
            <w:vAlign w:val="center"/>
          </w:tcPr>
          <w:p w14:paraId="18A4F32D">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2236" w:type="dxa"/>
            <w:gridSpan w:val="2"/>
            <w:noWrap w:val="0"/>
            <w:vAlign w:val="center"/>
          </w:tcPr>
          <w:p w14:paraId="24670DBA">
            <w:pPr>
              <w:spacing w:line="480" w:lineRule="exact"/>
              <w:jc w:val="center"/>
              <w:rPr>
                <w:rFonts w:hint="eastAsia" w:ascii="宋体" w:hAnsi="宋体" w:eastAsia="宋体" w:cs="宋体"/>
                <w:color w:val="auto"/>
                <w:sz w:val="24"/>
                <w:highlight w:val="none"/>
              </w:rPr>
            </w:pPr>
          </w:p>
        </w:tc>
      </w:tr>
      <w:tr w14:paraId="757B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40" w:type="dxa"/>
            <w:noWrap w:val="0"/>
            <w:vAlign w:val="center"/>
          </w:tcPr>
          <w:p w14:paraId="69C3CDF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7625" w:type="dxa"/>
            <w:gridSpan w:val="6"/>
            <w:noWrap w:val="0"/>
            <w:vAlign w:val="center"/>
          </w:tcPr>
          <w:p w14:paraId="0E73B16E">
            <w:pPr>
              <w:spacing w:line="480" w:lineRule="exact"/>
              <w:jc w:val="center"/>
              <w:rPr>
                <w:rFonts w:hint="eastAsia" w:ascii="宋体" w:hAnsi="宋体" w:eastAsia="宋体" w:cs="宋体"/>
                <w:color w:val="auto"/>
                <w:sz w:val="24"/>
                <w:highlight w:val="none"/>
              </w:rPr>
            </w:pPr>
          </w:p>
          <w:p w14:paraId="7AD4FB4A">
            <w:pPr>
              <w:spacing w:line="480" w:lineRule="exact"/>
              <w:jc w:val="center"/>
              <w:rPr>
                <w:rFonts w:hint="eastAsia" w:ascii="宋体" w:hAnsi="宋体" w:eastAsia="宋体" w:cs="宋体"/>
                <w:color w:val="auto"/>
                <w:sz w:val="24"/>
                <w:highlight w:val="none"/>
              </w:rPr>
            </w:pPr>
          </w:p>
          <w:p w14:paraId="30F84E01">
            <w:pPr>
              <w:spacing w:line="480" w:lineRule="exact"/>
              <w:jc w:val="center"/>
              <w:rPr>
                <w:rFonts w:hint="eastAsia" w:ascii="宋体" w:hAnsi="宋体" w:eastAsia="宋体" w:cs="宋体"/>
                <w:color w:val="auto"/>
                <w:sz w:val="24"/>
                <w:highlight w:val="none"/>
              </w:rPr>
            </w:pPr>
          </w:p>
          <w:p w14:paraId="169DFD5F">
            <w:pPr>
              <w:spacing w:line="480" w:lineRule="exact"/>
              <w:jc w:val="center"/>
              <w:rPr>
                <w:rFonts w:hint="eastAsia" w:ascii="宋体" w:hAnsi="宋体" w:eastAsia="宋体" w:cs="宋体"/>
                <w:color w:val="auto"/>
                <w:sz w:val="24"/>
                <w:highlight w:val="none"/>
              </w:rPr>
            </w:pPr>
          </w:p>
          <w:p w14:paraId="565A31F2">
            <w:pPr>
              <w:spacing w:line="480" w:lineRule="exact"/>
              <w:jc w:val="center"/>
              <w:rPr>
                <w:rFonts w:hint="eastAsia" w:ascii="宋体" w:hAnsi="宋体" w:eastAsia="宋体" w:cs="宋体"/>
                <w:color w:val="auto"/>
                <w:sz w:val="24"/>
                <w:highlight w:val="none"/>
              </w:rPr>
            </w:pPr>
          </w:p>
          <w:p w14:paraId="040FF613">
            <w:pPr>
              <w:spacing w:line="480" w:lineRule="exact"/>
              <w:jc w:val="center"/>
              <w:rPr>
                <w:rFonts w:hint="eastAsia" w:ascii="宋体" w:hAnsi="宋体" w:eastAsia="宋体" w:cs="宋体"/>
                <w:color w:val="auto"/>
                <w:sz w:val="24"/>
                <w:highlight w:val="none"/>
              </w:rPr>
            </w:pPr>
          </w:p>
          <w:p w14:paraId="0CCD560F">
            <w:pPr>
              <w:spacing w:line="480" w:lineRule="exact"/>
              <w:jc w:val="center"/>
              <w:rPr>
                <w:rFonts w:hint="eastAsia" w:ascii="宋体" w:hAnsi="宋体" w:eastAsia="宋体" w:cs="宋体"/>
                <w:color w:val="auto"/>
                <w:sz w:val="24"/>
                <w:highlight w:val="none"/>
              </w:rPr>
            </w:pPr>
          </w:p>
        </w:tc>
      </w:tr>
      <w:tr w14:paraId="66E8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40" w:type="dxa"/>
            <w:noWrap w:val="0"/>
            <w:vAlign w:val="center"/>
          </w:tcPr>
          <w:p w14:paraId="68F19C9D">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625" w:type="dxa"/>
            <w:gridSpan w:val="6"/>
            <w:noWrap w:val="0"/>
            <w:vAlign w:val="center"/>
          </w:tcPr>
          <w:p w14:paraId="4A85E95C">
            <w:pPr>
              <w:spacing w:line="480" w:lineRule="exact"/>
              <w:jc w:val="center"/>
              <w:rPr>
                <w:rFonts w:hint="eastAsia" w:ascii="宋体" w:hAnsi="宋体" w:eastAsia="宋体" w:cs="宋体"/>
                <w:color w:val="auto"/>
                <w:sz w:val="24"/>
                <w:highlight w:val="none"/>
              </w:rPr>
            </w:pPr>
          </w:p>
          <w:p w14:paraId="23B76CF3">
            <w:pPr>
              <w:spacing w:line="480" w:lineRule="exact"/>
              <w:jc w:val="center"/>
              <w:rPr>
                <w:rFonts w:hint="eastAsia" w:ascii="宋体" w:hAnsi="宋体" w:eastAsia="宋体" w:cs="宋体"/>
                <w:color w:val="auto"/>
                <w:sz w:val="24"/>
                <w:highlight w:val="none"/>
              </w:rPr>
            </w:pPr>
          </w:p>
          <w:p w14:paraId="6A2A6714">
            <w:pPr>
              <w:spacing w:line="480" w:lineRule="exact"/>
              <w:jc w:val="center"/>
              <w:rPr>
                <w:rFonts w:hint="eastAsia" w:ascii="宋体" w:hAnsi="宋体" w:eastAsia="宋体" w:cs="宋体"/>
                <w:color w:val="auto"/>
                <w:sz w:val="24"/>
                <w:highlight w:val="none"/>
              </w:rPr>
            </w:pPr>
          </w:p>
          <w:p w14:paraId="484E0092">
            <w:pPr>
              <w:spacing w:line="480" w:lineRule="exact"/>
              <w:jc w:val="center"/>
              <w:rPr>
                <w:rFonts w:hint="eastAsia" w:ascii="宋体" w:hAnsi="宋体" w:eastAsia="宋体" w:cs="宋体"/>
                <w:color w:val="auto"/>
                <w:sz w:val="24"/>
                <w:highlight w:val="none"/>
              </w:rPr>
            </w:pPr>
          </w:p>
        </w:tc>
      </w:tr>
    </w:tbl>
    <w:p w14:paraId="6E27B708">
      <w:pPr>
        <w:spacing w:line="480" w:lineRule="exact"/>
        <w:rPr>
          <w:rFonts w:hint="eastAsia" w:ascii="宋体" w:hAnsi="宋体" w:eastAsia="宋体" w:cs="宋体"/>
          <w:color w:val="auto"/>
          <w:sz w:val="24"/>
          <w:highlight w:val="none"/>
        </w:rPr>
      </w:pPr>
    </w:p>
    <w:p w14:paraId="341C9EF2">
      <w:pPr>
        <w:spacing w:line="480" w:lineRule="exact"/>
        <w:rPr>
          <w:rFonts w:hint="eastAsia" w:ascii="宋体" w:hAnsi="宋体" w:eastAsia="宋体" w:cs="宋体"/>
          <w:b/>
          <w:color w:val="auto"/>
          <w:sz w:val="24"/>
          <w:highlight w:val="none"/>
        </w:rPr>
      </w:pPr>
    </w:p>
    <w:p w14:paraId="1E943776">
      <w:pPr>
        <w:spacing w:line="480" w:lineRule="exact"/>
        <w:rPr>
          <w:rFonts w:hint="eastAsia" w:ascii="宋体" w:hAnsi="宋体" w:eastAsia="宋体" w:cs="宋体"/>
          <w:b/>
          <w:color w:val="auto"/>
          <w:sz w:val="24"/>
          <w:highlight w:val="none"/>
        </w:rPr>
      </w:pPr>
    </w:p>
    <w:p w14:paraId="7E4DDDC9">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（二）相关材料的复印件</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6603"/>
        <w:gridCol w:w="2020"/>
      </w:tblGrid>
      <w:tr w14:paraId="4590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5F6A6244">
            <w:pPr>
              <w:spacing w:line="480" w:lineRule="exact"/>
              <w:jc w:val="center"/>
              <w:rPr>
                <w:rFonts w:hint="eastAsia" w:ascii="宋体" w:hAnsi="宋体" w:eastAsia="宋体" w:cs="宋体"/>
                <w:color w:val="auto"/>
                <w:sz w:val="24"/>
                <w:highlight w:val="none"/>
              </w:rPr>
            </w:pPr>
            <w:bookmarkStart w:id="362" w:name="_Toc48667612"/>
            <w:r>
              <w:rPr>
                <w:rFonts w:hint="eastAsia" w:ascii="宋体" w:hAnsi="宋体" w:eastAsia="宋体" w:cs="宋体"/>
                <w:color w:val="auto"/>
                <w:sz w:val="24"/>
                <w:highlight w:val="none"/>
              </w:rPr>
              <w:t>序号</w:t>
            </w:r>
            <w:bookmarkEnd w:id="362"/>
          </w:p>
        </w:tc>
        <w:tc>
          <w:tcPr>
            <w:tcW w:w="6603" w:type="dxa"/>
            <w:tcBorders>
              <w:top w:val="single" w:color="auto" w:sz="4" w:space="0"/>
              <w:left w:val="single" w:color="auto" w:sz="4" w:space="0"/>
              <w:bottom w:val="single" w:color="auto" w:sz="4" w:space="0"/>
              <w:right w:val="single" w:color="auto" w:sz="4" w:space="0"/>
            </w:tcBorders>
            <w:noWrap w:val="0"/>
            <w:vAlign w:val="center"/>
          </w:tcPr>
          <w:p w14:paraId="454210BF">
            <w:pPr>
              <w:spacing w:line="480" w:lineRule="exact"/>
              <w:jc w:val="center"/>
              <w:rPr>
                <w:rFonts w:hint="eastAsia" w:ascii="宋体" w:hAnsi="宋体" w:eastAsia="宋体" w:cs="宋体"/>
                <w:color w:val="auto"/>
                <w:sz w:val="24"/>
                <w:highlight w:val="none"/>
              </w:rPr>
            </w:pPr>
            <w:bookmarkStart w:id="363" w:name="_Toc48667613"/>
            <w:r>
              <w:rPr>
                <w:rFonts w:hint="eastAsia" w:ascii="宋体" w:hAnsi="宋体" w:eastAsia="宋体" w:cs="宋体"/>
                <w:color w:val="auto"/>
                <w:sz w:val="24"/>
                <w:highlight w:val="none"/>
              </w:rPr>
              <w:t>名称</w:t>
            </w:r>
            <w:bookmarkEnd w:id="363"/>
          </w:p>
        </w:tc>
        <w:tc>
          <w:tcPr>
            <w:tcW w:w="2020" w:type="dxa"/>
            <w:tcBorders>
              <w:top w:val="single" w:color="auto" w:sz="4" w:space="0"/>
              <w:left w:val="single" w:color="auto" w:sz="4" w:space="0"/>
              <w:bottom w:val="single" w:color="auto" w:sz="4" w:space="0"/>
              <w:right w:val="single" w:color="auto" w:sz="4" w:space="0"/>
            </w:tcBorders>
            <w:noWrap w:val="0"/>
            <w:vAlign w:val="center"/>
          </w:tcPr>
          <w:p w14:paraId="2BB335C0">
            <w:pPr>
              <w:spacing w:line="480" w:lineRule="exact"/>
              <w:jc w:val="center"/>
              <w:rPr>
                <w:rFonts w:hint="eastAsia" w:ascii="宋体" w:hAnsi="宋体" w:eastAsia="宋体" w:cs="宋体"/>
                <w:color w:val="auto"/>
                <w:sz w:val="24"/>
                <w:highlight w:val="none"/>
              </w:rPr>
            </w:pPr>
            <w:bookmarkStart w:id="364" w:name="_Toc48667614"/>
            <w:r>
              <w:rPr>
                <w:rFonts w:hint="eastAsia" w:ascii="宋体" w:hAnsi="宋体" w:eastAsia="宋体" w:cs="宋体"/>
                <w:color w:val="auto"/>
                <w:sz w:val="24"/>
                <w:highlight w:val="none"/>
              </w:rPr>
              <w:t>备注</w:t>
            </w:r>
            <w:bookmarkEnd w:id="364"/>
          </w:p>
        </w:tc>
      </w:tr>
      <w:tr w14:paraId="200C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11ED0EBC">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65C9826E">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787D06D">
            <w:pPr>
              <w:spacing w:line="480" w:lineRule="exact"/>
              <w:rPr>
                <w:rFonts w:hint="eastAsia" w:ascii="宋体" w:hAnsi="宋体" w:eastAsia="宋体" w:cs="宋体"/>
                <w:color w:val="auto"/>
                <w:sz w:val="24"/>
                <w:highlight w:val="none"/>
              </w:rPr>
            </w:pPr>
          </w:p>
        </w:tc>
      </w:tr>
      <w:tr w14:paraId="6253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1A924D92">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2CCF1DC2">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58EB75A">
            <w:pPr>
              <w:spacing w:line="480" w:lineRule="exact"/>
              <w:rPr>
                <w:rFonts w:hint="eastAsia" w:ascii="宋体" w:hAnsi="宋体" w:eastAsia="宋体" w:cs="宋体"/>
                <w:color w:val="auto"/>
                <w:sz w:val="24"/>
                <w:highlight w:val="none"/>
              </w:rPr>
            </w:pPr>
          </w:p>
        </w:tc>
      </w:tr>
      <w:tr w14:paraId="768B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2E4FDB4E">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3E4C425C">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7020DC77">
            <w:pPr>
              <w:spacing w:line="480" w:lineRule="exact"/>
              <w:rPr>
                <w:rFonts w:hint="eastAsia" w:ascii="宋体" w:hAnsi="宋体" w:eastAsia="宋体" w:cs="宋体"/>
                <w:color w:val="auto"/>
                <w:sz w:val="24"/>
                <w:highlight w:val="none"/>
              </w:rPr>
            </w:pPr>
          </w:p>
        </w:tc>
      </w:tr>
      <w:tr w14:paraId="2D95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7EFEE66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012E69A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项目经理注册建造师证、居民身份证</w:t>
            </w:r>
            <w:r>
              <w:rPr>
                <w:rFonts w:hint="eastAsia" w:ascii="宋体" w:hAnsi="宋体" w:eastAsia="宋体" w:cs="宋体"/>
                <w:color w:val="auto"/>
                <w:sz w:val="24"/>
              </w:rPr>
              <w:t>、职称证（如有）、社会保险证明（退休人员提供退休证及单位返聘证明）、</w:t>
            </w:r>
            <w:r>
              <w:rPr>
                <w:rFonts w:hint="eastAsia" w:ascii="宋体" w:hAnsi="宋体" w:eastAsia="宋体" w:cs="宋体"/>
                <w:color w:val="auto"/>
                <w:sz w:val="24"/>
                <w:highlight w:val="none"/>
              </w:rPr>
              <w:t>安全生产考核合格证书B证</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B6AB19F">
            <w:pPr>
              <w:spacing w:line="480" w:lineRule="exact"/>
              <w:rPr>
                <w:rFonts w:hint="eastAsia" w:ascii="宋体" w:hAnsi="宋体" w:eastAsia="宋体" w:cs="宋体"/>
                <w:color w:val="auto"/>
                <w:sz w:val="24"/>
                <w:highlight w:val="none"/>
              </w:rPr>
            </w:pPr>
          </w:p>
        </w:tc>
      </w:tr>
      <w:tr w14:paraId="704B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11937D9C">
            <w:pPr>
              <w:spacing w:line="400" w:lineRule="exact"/>
              <w:jc w:val="center"/>
              <w:rPr>
                <w:rFonts w:hint="eastAsia" w:ascii="宋体" w:hAnsi="宋体" w:eastAsia="宋体" w:cs="宋体"/>
                <w:color w:val="auto"/>
                <w:sz w:val="24"/>
                <w:highlight w:val="none"/>
              </w:rPr>
            </w:pPr>
            <w:bookmarkStart w:id="365" w:name="_Toc48667623"/>
            <w:r>
              <w:rPr>
                <w:rFonts w:hint="eastAsia" w:ascii="宋体" w:hAnsi="宋体" w:eastAsia="宋体" w:cs="宋体"/>
                <w:color w:val="auto"/>
                <w:sz w:val="24"/>
                <w:highlight w:val="none"/>
              </w:rPr>
              <w:t>5</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52764A36">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授权委托人居民身份证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rPr>
              <w:t>社会保险证明（退休人员提供退休证及单位返聘证明）</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2353AF8">
            <w:pPr>
              <w:spacing w:line="480" w:lineRule="exact"/>
              <w:rPr>
                <w:rFonts w:hint="eastAsia" w:ascii="宋体" w:hAnsi="宋体" w:eastAsia="宋体" w:cs="宋体"/>
                <w:color w:val="auto"/>
                <w:sz w:val="24"/>
                <w:highlight w:val="none"/>
              </w:rPr>
            </w:pPr>
          </w:p>
        </w:tc>
      </w:tr>
      <w:bookmarkEnd w:id="365"/>
      <w:tr w14:paraId="4DD6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478F6B46">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2CDF33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技术负责人居民身份证、职称证</w:t>
            </w:r>
            <w:r>
              <w:rPr>
                <w:rFonts w:hint="eastAsia" w:ascii="宋体" w:hAnsi="宋体" w:eastAsia="宋体" w:cs="宋体"/>
                <w:color w:val="auto"/>
                <w:sz w:val="24"/>
              </w:rPr>
              <w:t>、</w:t>
            </w:r>
            <w:r>
              <w:rPr>
                <w:rFonts w:hint="eastAsia" w:ascii="宋体" w:hAnsi="宋体" w:eastAsia="宋体" w:cs="宋体"/>
                <w:color w:val="auto"/>
                <w:sz w:val="24"/>
                <w:highlight w:val="none"/>
              </w:rPr>
              <w:t>建造师证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rPr>
              <w:t>社会保险证明（退休人员提供退休证及单位返聘证明）</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6404A3D7">
            <w:pPr>
              <w:spacing w:line="480" w:lineRule="exact"/>
              <w:rPr>
                <w:rFonts w:hint="eastAsia" w:ascii="宋体" w:hAnsi="宋体" w:eastAsia="宋体" w:cs="宋体"/>
                <w:color w:val="auto"/>
                <w:sz w:val="24"/>
                <w:highlight w:val="none"/>
              </w:rPr>
            </w:pPr>
          </w:p>
        </w:tc>
      </w:tr>
      <w:tr w14:paraId="7086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3F1B982D">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60BCC0B3">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安全管理人员（专职安全生产管理人员）居民身份证</w:t>
            </w:r>
            <w:r>
              <w:rPr>
                <w:rFonts w:hint="eastAsia" w:ascii="宋体" w:hAnsi="宋体" w:eastAsia="宋体" w:cs="宋体"/>
                <w:color w:val="auto"/>
                <w:sz w:val="24"/>
              </w:rPr>
              <w:t>、社会保险证明（退休人员提供退休证及单位返聘证明）、</w:t>
            </w:r>
            <w:r>
              <w:rPr>
                <w:rFonts w:hint="eastAsia" w:ascii="宋体" w:hAnsi="宋体" w:eastAsia="宋体" w:cs="宋体"/>
                <w:color w:val="auto"/>
                <w:sz w:val="24"/>
                <w:highlight w:val="none"/>
              </w:rPr>
              <w:t>安全生产考核合格证书C证</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6F009B4">
            <w:pPr>
              <w:spacing w:line="480" w:lineRule="exact"/>
              <w:rPr>
                <w:rFonts w:hint="eastAsia" w:ascii="宋体" w:hAnsi="宋体" w:eastAsia="宋体" w:cs="宋体"/>
                <w:color w:val="auto"/>
                <w:sz w:val="24"/>
                <w:highlight w:val="none"/>
              </w:rPr>
            </w:pPr>
          </w:p>
        </w:tc>
      </w:tr>
      <w:tr w14:paraId="2604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62E4933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513DABE0">
            <w:pPr>
              <w:spacing w:line="400" w:lineRule="exact"/>
              <w:rPr>
                <w:rFonts w:hint="eastAsia" w:ascii="宋体" w:hAnsi="宋体" w:eastAsia="宋体" w:cs="宋体"/>
                <w:color w:val="auto"/>
                <w:sz w:val="24"/>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234A2C1">
            <w:pPr>
              <w:spacing w:line="480" w:lineRule="exact"/>
              <w:rPr>
                <w:rFonts w:hint="eastAsia" w:ascii="宋体" w:hAnsi="宋体" w:eastAsia="宋体" w:cs="宋体"/>
                <w:color w:val="auto"/>
                <w:sz w:val="24"/>
                <w:highlight w:val="none"/>
              </w:rPr>
            </w:pPr>
          </w:p>
        </w:tc>
      </w:tr>
      <w:tr w14:paraId="2D9F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69E5EDDF">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44A4584E">
            <w:pPr>
              <w:spacing w:line="400" w:lineRule="exact"/>
              <w:rPr>
                <w:rFonts w:hint="eastAsia" w:ascii="宋体" w:hAnsi="宋体" w:eastAsia="宋体" w:cs="宋体"/>
                <w:color w:val="auto"/>
                <w:sz w:val="24"/>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5EDDA68">
            <w:pPr>
              <w:spacing w:line="480" w:lineRule="exact"/>
              <w:rPr>
                <w:rFonts w:hint="eastAsia" w:ascii="宋体" w:hAnsi="宋体" w:eastAsia="宋体" w:cs="宋体"/>
                <w:color w:val="auto"/>
                <w:sz w:val="24"/>
                <w:highlight w:val="none"/>
              </w:rPr>
            </w:pPr>
          </w:p>
        </w:tc>
      </w:tr>
      <w:tr w14:paraId="10F6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14:paraId="73667D07">
            <w:pPr>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22383892">
            <w:pPr>
              <w:rPr>
                <w:rFonts w:hint="eastAsia" w:ascii="宋体" w:hAnsi="宋体" w:eastAsia="宋体" w:cs="宋体"/>
                <w:color w:val="auto"/>
                <w:sz w:val="24"/>
                <w:highlight w:val="none"/>
              </w:rPr>
            </w:pPr>
            <w:r>
              <w:rPr>
                <w:rFonts w:hint="eastAsia" w:ascii="宋体" w:hAnsi="宋体" w:eastAsia="宋体" w:cs="宋体"/>
                <w:color w:val="auto"/>
                <w:szCs w:val="21"/>
                <w:highlight w:val="none"/>
              </w:rPr>
              <w:t>...</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51A8BED0">
            <w:pPr>
              <w:spacing w:line="480" w:lineRule="exact"/>
              <w:rPr>
                <w:rFonts w:hint="eastAsia" w:ascii="宋体" w:hAnsi="宋体" w:eastAsia="宋体" w:cs="宋体"/>
                <w:color w:val="auto"/>
                <w:sz w:val="24"/>
                <w:highlight w:val="none"/>
              </w:rPr>
            </w:pPr>
          </w:p>
        </w:tc>
      </w:tr>
    </w:tbl>
    <w:p w14:paraId="6F414EE9">
      <w:pPr>
        <w:spacing w:line="48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注：上表内容仅供参考，投标人应根据招标文件要求自行填写，表格可扩展，投标单位参与此项目的所有人员（包括授权委托人）</w:t>
      </w:r>
      <w:bookmarkStart w:id="366" w:name="_Toc459446232"/>
      <w:bookmarkStart w:id="367" w:name="_Toc456951624"/>
      <w:bookmarkStart w:id="368" w:name="_Toc263413237"/>
      <w:bookmarkStart w:id="369" w:name="_Toc256773238"/>
      <w:bookmarkStart w:id="370" w:name="_Toc456966065"/>
      <w:bookmarkStart w:id="371" w:name="_Toc456953787"/>
      <w:r>
        <w:rPr>
          <w:rFonts w:hint="eastAsia" w:ascii="宋体" w:hAnsi="宋体" w:eastAsia="宋体" w:cs="宋体"/>
          <w:b/>
          <w:bCs/>
          <w:color w:val="auto"/>
          <w:sz w:val="24"/>
          <w:highlight w:val="none"/>
        </w:rPr>
        <w:t>应附至少近3个月(其中必须有2026年4月)社保证明的彩色扫描件并加盖公章，如为退休人员，须提供退休证及返聘证明彩色扫描件并加盖公章。</w:t>
      </w:r>
    </w:p>
    <w:p w14:paraId="476459A8">
      <w:pPr>
        <w:spacing w:line="48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72" w:name="_Toc13092"/>
      <w:bookmarkStart w:id="373" w:name="_Toc3915"/>
      <w:bookmarkStart w:id="374" w:name="_Toc13465"/>
      <w:r>
        <w:rPr>
          <w:rFonts w:hint="eastAsia" w:ascii="宋体" w:hAnsi="宋体" w:eastAsia="宋体" w:cs="宋体"/>
          <w:b/>
          <w:color w:val="auto"/>
          <w:sz w:val="32"/>
          <w:szCs w:val="32"/>
          <w:highlight w:val="none"/>
        </w:rPr>
        <w:t>六、</w:t>
      </w:r>
      <w:bookmarkEnd w:id="366"/>
      <w:bookmarkEnd w:id="367"/>
      <w:bookmarkEnd w:id="368"/>
      <w:bookmarkEnd w:id="369"/>
      <w:bookmarkEnd w:id="370"/>
      <w:bookmarkEnd w:id="371"/>
      <w:r>
        <w:rPr>
          <w:rFonts w:hint="eastAsia" w:ascii="宋体" w:hAnsi="宋体" w:eastAsia="宋体" w:cs="宋体"/>
          <w:b/>
          <w:color w:val="auto"/>
          <w:sz w:val="32"/>
          <w:szCs w:val="32"/>
          <w:highlight w:val="none"/>
        </w:rPr>
        <w:t>缴纳投标保证的凭证</w:t>
      </w:r>
      <w:bookmarkEnd w:id="372"/>
      <w:bookmarkEnd w:id="373"/>
      <w:bookmarkEnd w:id="374"/>
    </w:p>
    <w:p w14:paraId="6D17E6E7">
      <w:pPr>
        <w:bidi w:val="0"/>
        <w:rPr>
          <w:rFonts w:hint="eastAsia" w:ascii="宋体" w:hAnsi="宋体" w:eastAsia="宋体" w:cs="宋体"/>
          <w:color w:val="auto"/>
        </w:rPr>
      </w:pPr>
    </w:p>
    <w:p w14:paraId="6DC7FF5C">
      <w:pPr>
        <w:pStyle w:val="1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50F6F7A">
      <w:pPr>
        <w:spacing w:line="48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75" w:name="_Toc25869"/>
      <w:bookmarkStart w:id="376" w:name="_Toc1399"/>
      <w:bookmarkStart w:id="377" w:name="_Toc28789"/>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投标承诺书</w:t>
      </w:r>
      <w:bookmarkEnd w:id="375"/>
      <w:bookmarkEnd w:id="376"/>
      <w:bookmarkEnd w:id="377"/>
    </w:p>
    <w:p w14:paraId="16A8157C">
      <w:pPr>
        <w:pStyle w:val="26"/>
        <w:rPr>
          <w:rFonts w:hint="eastAsia" w:ascii="宋体" w:hAnsi="宋体" w:eastAsia="宋体" w:cs="宋体"/>
          <w:color w:val="auto"/>
          <w:highlight w:val="none"/>
        </w:rPr>
      </w:pPr>
    </w:p>
    <w:p w14:paraId="45DD9E2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（招标人）</w:t>
      </w:r>
    </w:p>
    <w:p w14:paraId="6EE10D2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我方现参加</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招标及合同文件施工项目投标，如我方中标，为确保按时、保质、保量完成项目施工任务，特此作出如下承诺：</w:t>
      </w:r>
    </w:p>
    <w:p w14:paraId="5BB2F76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1.我方保证</w:t>
      </w:r>
      <w:r>
        <w:rPr>
          <w:rFonts w:hint="eastAsia" w:ascii="宋体" w:hAnsi="宋体" w:eastAsia="宋体" w:cs="宋体"/>
          <w:color w:val="auto"/>
          <w:sz w:val="24"/>
          <w:highlight w:val="none"/>
        </w:rPr>
        <w:t>在工期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日历天内，按合同约定实施和完成工程任务，修补工程中任何缺陷。</w:t>
      </w:r>
    </w:p>
    <w:p w14:paraId="5441F5B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2.我方保证工程质量达到合格。</w:t>
      </w:r>
    </w:p>
    <w:p w14:paraId="278D0E0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3.我方保证在中标候选人公示期满后3个工作日内按韶关市公共资源交易中心的规定办理相关手续后领取中标通知书。</w:t>
      </w:r>
    </w:p>
    <w:p w14:paraId="6E1544D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4.我方保证自收到中标通知书后15天内与招标人签订书面合同。</w:t>
      </w:r>
    </w:p>
    <w:p w14:paraId="2A51AF5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5.我方保证在签订合同之日起一个月内到人力资源和社会保障局办理工资保证金登记手续，并到指定的银行设立工资保证金专用账户，按照中标价的3%一次性提取资金存入该账户。</w:t>
      </w:r>
    </w:p>
    <w:p w14:paraId="6038F3F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6.项目人员管理承诺：</w:t>
      </w:r>
    </w:p>
    <w:p w14:paraId="5A80AEB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(1)投标文件中拟派的项目经理、技术负责人及拟投和本项目的其他管理人员全部进驻本项目管理部且所有人员保证依时参加由招标人组织的现场踏勘协调、安全生产等会议。</w:t>
      </w:r>
    </w:p>
    <w:p w14:paraId="0C1A979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(2)我方保证派项目经理及技术负责人</w:t>
      </w:r>
      <w:r>
        <w:rPr>
          <w:rFonts w:hint="eastAsia" w:ascii="宋体" w:hAnsi="宋体" w:eastAsia="宋体" w:cs="宋体"/>
          <w:color w:val="auto"/>
          <w:sz w:val="24"/>
          <w:highlight w:val="none"/>
          <w:lang w:eastAsia="zh-CN"/>
        </w:rPr>
        <w:t>常驻</w:t>
      </w:r>
      <w:r>
        <w:rPr>
          <w:rFonts w:hint="eastAsia" w:ascii="宋体" w:hAnsi="宋体" w:eastAsia="宋体" w:cs="宋体"/>
          <w:color w:val="auto"/>
          <w:sz w:val="24"/>
          <w:highlight w:val="none"/>
        </w:rPr>
        <w:t>施工现场进行施工现场指导并参加监理例会以便配合与解决与工程有关的一切业务问题。</w:t>
      </w:r>
    </w:p>
    <w:p w14:paraId="4E4677D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(3)我方保证：未经招标人批准不得更换投标文件中所到本项目的专业技术人员。</w:t>
      </w:r>
    </w:p>
    <w:p w14:paraId="27B67D7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若我方违反上述任何条款均视为违约，如经过三次整改或警告仍未彻底解决问题，招标人有权解除合同并上报行业</w:t>
      </w:r>
      <w:r>
        <w:rPr>
          <w:rFonts w:hint="eastAsia" w:ascii="宋体" w:hAnsi="宋体" w:eastAsia="宋体" w:cs="宋体"/>
          <w:color w:val="auto"/>
          <w:sz w:val="24"/>
          <w:highlight w:val="none"/>
          <w:lang w:eastAsia="zh-CN"/>
        </w:rPr>
        <w:t>主管部门做</w:t>
      </w:r>
      <w:r>
        <w:rPr>
          <w:rFonts w:hint="eastAsia" w:ascii="宋体" w:hAnsi="宋体" w:eastAsia="宋体" w:cs="宋体"/>
          <w:color w:val="auto"/>
          <w:sz w:val="24"/>
          <w:highlight w:val="none"/>
        </w:rPr>
        <w:t>不良记录处理，我方承担由此造成的所有责任及经济损失。</w:t>
      </w:r>
    </w:p>
    <w:p w14:paraId="5F10666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(4)我方保证所有参与本项目的</w:t>
      </w:r>
      <w:r>
        <w:rPr>
          <w:rFonts w:hint="eastAsia" w:ascii="宋体" w:hAnsi="宋体" w:eastAsia="宋体" w:cs="宋体"/>
          <w:color w:val="auto"/>
          <w:sz w:val="24"/>
          <w:highlight w:val="none"/>
          <w:lang w:eastAsia="zh-CN"/>
        </w:rPr>
        <w:t>专业</w:t>
      </w:r>
      <w:r>
        <w:rPr>
          <w:rFonts w:hint="eastAsia" w:ascii="宋体" w:hAnsi="宋体" w:eastAsia="宋体" w:cs="宋体"/>
          <w:color w:val="auto"/>
          <w:sz w:val="24"/>
          <w:highlight w:val="none"/>
        </w:rPr>
        <w:t>技术人员均为我方员工，绝不转包或临时聘用临时闲散参与其中。若我方违反该条款将视为违约，招标人有权解除合同且可将我方列入企业不良行为记录，并承担所有由此引起的责任及经济损失。</w:t>
      </w:r>
    </w:p>
    <w:p w14:paraId="4FBC87C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7.工人工资支付分账管理内容</w:t>
      </w:r>
    </w:p>
    <w:p w14:paraId="48F4F58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人力资源社会保障部等十部门关于印发《工程建设领域农民工工资专用账户管理暂行办法》的通知（人社部发〔2021〕53号），总包单位应当在工程施工合同签订之日起30日内开立专用账户，并与建设单位、开户银行签订资金管理三方协议。专用账户名称为总包单位名称加工程建设项目名称后加“农民工工资专用账户”。总包单位应当在专用账户开立后的30日内报项目所在地专用账户监管部门备案。若未按该办法执行，将上报省市水行政主管部门将此行为列入不良信用记录。</w:t>
      </w:r>
    </w:p>
    <w:p w14:paraId="5840BEE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若我方未遵守上述承诺，招标人有权取消我方中标资格并上报上级行业主管部门（韶关市水务局）作不良信用记录处理</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将我方列入企业不良行为记录，并承担所有由此引起的责任及经济损失。</w:t>
      </w:r>
    </w:p>
    <w:p w14:paraId="0848404D">
      <w:pPr>
        <w:pStyle w:val="116"/>
        <w:rPr>
          <w:rFonts w:hint="eastAsia" w:ascii="宋体" w:hAnsi="宋体" w:eastAsia="宋体" w:cs="宋体"/>
          <w:color w:val="auto"/>
          <w:sz w:val="24"/>
          <w:szCs w:val="24"/>
          <w:highlight w:val="none"/>
        </w:rPr>
      </w:pPr>
    </w:p>
    <w:p w14:paraId="51004706">
      <w:pPr>
        <w:pStyle w:val="116"/>
        <w:rPr>
          <w:rFonts w:hint="eastAsia" w:ascii="宋体" w:hAnsi="宋体" w:eastAsia="宋体" w:cs="宋体"/>
          <w:color w:val="auto"/>
          <w:sz w:val="24"/>
          <w:szCs w:val="24"/>
          <w:highlight w:val="none"/>
        </w:rPr>
      </w:pPr>
    </w:p>
    <w:p w14:paraId="76310FCE">
      <w:pPr>
        <w:pStyle w:val="116"/>
        <w:rPr>
          <w:rFonts w:hint="eastAsia" w:ascii="宋体" w:hAnsi="宋体" w:eastAsia="宋体" w:cs="宋体"/>
          <w:color w:val="auto"/>
          <w:sz w:val="24"/>
          <w:szCs w:val="24"/>
          <w:highlight w:val="none"/>
        </w:rPr>
      </w:pPr>
    </w:p>
    <w:p w14:paraId="085F36ED">
      <w:pPr>
        <w:widowControl/>
        <w:spacing w:line="48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5882CA2">
      <w:pPr>
        <w:widowControl/>
        <w:spacing w:line="48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14:paraId="7C7FF665">
      <w:pPr>
        <w:widowControl/>
        <w:spacing w:line="480" w:lineRule="auto"/>
        <w:ind w:right="480" w:firstLine="5400" w:firstLineChars="225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3B2BF8B">
      <w:pPr>
        <w:bidi w:val="0"/>
        <w:rPr>
          <w:rFonts w:hint="eastAsia" w:ascii="宋体" w:hAnsi="宋体" w:eastAsia="宋体" w:cs="宋体"/>
          <w:color w:val="auto"/>
        </w:rPr>
      </w:pPr>
    </w:p>
    <w:p w14:paraId="1F2189CA">
      <w:pPr>
        <w:bidi w:val="0"/>
        <w:rPr>
          <w:rFonts w:hint="eastAsia" w:ascii="宋体" w:hAnsi="宋体" w:eastAsia="宋体" w:cs="宋体"/>
          <w:color w:val="auto"/>
        </w:rPr>
      </w:pPr>
    </w:p>
    <w:p w14:paraId="79E2901E">
      <w:pPr>
        <w:spacing w:line="48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78" w:name="_Toc7512"/>
      <w:bookmarkStart w:id="379" w:name="_Toc19667"/>
      <w:bookmarkStart w:id="380" w:name="_Toc28796"/>
      <w:r>
        <w:rPr>
          <w:rFonts w:hint="eastAsia" w:ascii="宋体" w:hAnsi="宋体" w:eastAsia="宋体" w:cs="宋体"/>
          <w:b/>
          <w:color w:val="auto"/>
          <w:sz w:val="32"/>
          <w:szCs w:val="32"/>
          <w:highlight w:val="none"/>
        </w:rPr>
        <w:t>八、其他材料</w:t>
      </w:r>
      <w:bookmarkEnd w:id="378"/>
      <w:bookmarkEnd w:id="379"/>
      <w:bookmarkEnd w:id="380"/>
    </w:p>
    <w:p w14:paraId="06C472A6">
      <w:pPr>
        <w:ind w:firstLine="420" w:firstLineChars="200"/>
        <w:rPr>
          <w:rFonts w:hint="eastAsia" w:ascii="宋体" w:hAnsi="宋体" w:eastAsia="宋体" w:cs="宋体"/>
          <w:color w:val="auto"/>
          <w:szCs w:val="21"/>
          <w:highlight w:val="none"/>
        </w:rPr>
      </w:pPr>
    </w:p>
    <w:p w14:paraId="52C25368">
      <w:pPr>
        <w:autoSpaceDE w:val="0"/>
        <w:autoSpaceDN w:val="0"/>
        <w:adjustRightInd w:val="0"/>
        <w:snapToGrid w:val="0"/>
        <w:spacing w:before="93" w:beforeLines="30" w:after="93" w:afterLines="3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招标文件规定的其他资料及投标人根据招标文件认为需要提交的其他资料。若无其他资料，投标人则填写“无”。</w:t>
      </w:r>
    </w:p>
    <w:p w14:paraId="101FDCD8">
      <w:pPr>
        <w:ind w:firstLine="480" w:firstLineChars="200"/>
        <w:rPr>
          <w:rFonts w:hint="eastAsia" w:ascii="宋体" w:hAnsi="宋体" w:eastAsia="宋体" w:cs="宋体"/>
          <w:color w:val="auto"/>
          <w:sz w:val="24"/>
          <w:highlight w:val="none"/>
        </w:rPr>
      </w:pPr>
    </w:p>
    <w:p w14:paraId="1E59B2AF">
      <w:pPr>
        <w:ind w:firstLine="420" w:firstLineChars="200"/>
        <w:rPr>
          <w:rFonts w:hint="eastAsia" w:ascii="宋体" w:hAnsi="宋体" w:eastAsia="宋体" w:cs="宋体"/>
          <w:color w:val="auto"/>
          <w:highlight w:val="none"/>
        </w:rPr>
      </w:pPr>
    </w:p>
    <w:p w14:paraId="55869684">
      <w:pPr>
        <w:spacing w:line="480" w:lineRule="exact"/>
        <w:rPr>
          <w:rFonts w:hint="eastAsia" w:ascii="宋体" w:hAnsi="宋体" w:eastAsia="宋体" w:cs="宋体"/>
          <w:color w:val="auto"/>
          <w:sz w:val="24"/>
          <w:highlight w:val="none"/>
        </w:rPr>
      </w:pPr>
    </w:p>
    <w:p w14:paraId="058E9898">
      <w:pPr>
        <w:spacing w:line="480" w:lineRule="exact"/>
        <w:rPr>
          <w:rFonts w:hint="eastAsia" w:ascii="宋体" w:hAnsi="宋体" w:eastAsia="宋体" w:cs="宋体"/>
          <w:color w:val="auto"/>
          <w:sz w:val="24"/>
          <w:highlight w:val="none"/>
        </w:rPr>
      </w:pPr>
    </w:p>
    <w:p w14:paraId="70DE980A">
      <w:pPr>
        <w:spacing w:line="480" w:lineRule="exact"/>
        <w:rPr>
          <w:rFonts w:hint="eastAsia" w:ascii="宋体" w:hAnsi="宋体" w:eastAsia="宋体" w:cs="宋体"/>
          <w:color w:val="auto"/>
          <w:sz w:val="24"/>
          <w:highlight w:val="none"/>
        </w:rPr>
      </w:pPr>
    </w:p>
    <w:p w14:paraId="61D79D62">
      <w:pPr>
        <w:spacing w:line="480" w:lineRule="exact"/>
        <w:rPr>
          <w:rFonts w:hint="eastAsia" w:ascii="宋体" w:hAnsi="宋体" w:eastAsia="宋体" w:cs="宋体"/>
          <w:color w:val="auto"/>
          <w:sz w:val="24"/>
          <w:highlight w:val="none"/>
        </w:rPr>
      </w:pPr>
    </w:p>
    <w:p w14:paraId="7BDE1810">
      <w:pPr>
        <w:pStyle w:val="9"/>
        <w:rPr>
          <w:rFonts w:hint="eastAsia" w:ascii="宋体" w:hAnsi="宋体" w:eastAsia="宋体" w:cs="宋体"/>
          <w:color w:val="auto"/>
          <w:highlight w:val="none"/>
        </w:rPr>
      </w:pPr>
    </w:p>
    <w:p w14:paraId="7A4B141F">
      <w:pPr>
        <w:pStyle w:val="9"/>
        <w:rPr>
          <w:rFonts w:hint="eastAsia" w:ascii="宋体" w:hAnsi="宋体" w:eastAsia="宋体" w:cs="宋体"/>
          <w:color w:val="auto"/>
          <w:highlight w:val="none"/>
        </w:rPr>
      </w:pPr>
    </w:p>
    <w:p w14:paraId="5A16E09D">
      <w:pPr>
        <w:pStyle w:val="9"/>
        <w:rPr>
          <w:rFonts w:hint="eastAsia" w:ascii="宋体" w:hAnsi="宋体" w:eastAsia="宋体" w:cs="宋体"/>
          <w:color w:val="auto"/>
          <w:highlight w:val="none"/>
        </w:rPr>
      </w:pPr>
    </w:p>
    <w:p w14:paraId="2DD3674F">
      <w:pPr>
        <w:pStyle w:val="9"/>
        <w:rPr>
          <w:rFonts w:hint="eastAsia" w:ascii="宋体" w:hAnsi="宋体" w:eastAsia="宋体" w:cs="宋体"/>
          <w:color w:val="auto"/>
          <w:highlight w:val="none"/>
        </w:rPr>
      </w:pPr>
    </w:p>
    <w:p w14:paraId="7C640295">
      <w:pPr>
        <w:pStyle w:val="9"/>
        <w:rPr>
          <w:rFonts w:hint="eastAsia" w:ascii="宋体" w:hAnsi="宋体" w:eastAsia="宋体" w:cs="宋体"/>
          <w:color w:val="auto"/>
          <w:highlight w:val="none"/>
        </w:rPr>
      </w:pPr>
    </w:p>
    <w:p w14:paraId="2E8CDC29">
      <w:pPr>
        <w:pStyle w:val="9"/>
        <w:rPr>
          <w:rFonts w:hint="eastAsia" w:ascii="宋体" w:hAnsi="宋体" w:eastAsia="宋体" w:cs="宋体"/>
          <w:color w:val="auto"/>
          <w:highlight w:val="none"/>
        </w:rPr>
      </w:pPr>
    </w:p>
    <w:p w14:paraId="4372D69C">
      <w:pPr>
        <w:pStyle w:val="9"/>
        <w:rPr>
          <w:rFonts w:hint="eastAsia" w:ascii="宋体" w:hAnsi="宋体" w:eastAsia="宋体" w:cs="宋体"/>
          <w:color w:val="auto"/>
          <w:highlight w:val="none"/>
        </w:rPr>
      </w:pPr>
    </w:p>
    <w:p w14:paraId="637751B7">
      <w:pPr>
        <w:pStyle w:val="9"/>
        <w:rPr>
          <w:rFonts w:hint="eastAsia" w:ascii="宋体" w:hAnsi="宋体" w:eastAsia="宋体" w:cs="宋体"/>
          <w:color w:val="auto"/>
          <w:highlight w:val="none"/>
        </w:rPr>
      </w:pPr>
    </w:p>
    <w:p w14:paraId="2666640B">
      <w:pPr>
        <w:pStyle w:val="9"/>
        <w:rPr>
          <w:rFonts w:hint="eastAsia" w:ascii="宋体" w:hAnsi="宋体" w:eastAsia="宋体" w:cs="宋体"/>
          <w:color w:val="auto"/>
          <w:highlight w:val="none"/>
        </w:rPr>
      </w:pPr>
    </w:p>
    <w:p w14:paraId="59FF550C">
      <w:pPr>
        <w:pStyle w:val="9"/>
        <w:rPr>
          <w:rFonts w:hint="eastAsia" w:ascii="宋体" w:hAnsi="宋体" w:eastAsia="宋体" w:cs="宋体"/>
          <w:color w:val="auto"/>
          <w:highlight w:val="none"/>
        </w:rPr>
      </w:pPr>
    </w:p>
    <w:p w14:paraId="5A22F97F">
      <w:pPr>
        <w:pStyle w:val="9"/>
        <w:rPr>
          <w:rFonts w:hint="eastAsia" w:ascii="宋体" w:hAnsi="宋体" w:eastAsia="宋体" w:cs="宋体"/>
          <w:color w:val="auto"/>
          <w:highlight w:val="none"/>
        </w:rPr>
      </w:pPr>
    </w:p>
    <w:p w14:paraId="08E2E7DE">
      <w:pPr>
        <w:pStyle w:val="9"/>
        <w:rPr>
          <w:rFonts w:hint="eastAsia" w:ascii="宋体" w:hAnsi="宋体" w:eastAsia="宋体" w:cs="宋体"/>
          <w:color w:val="auto"/>
          <w:highlight w:val="none"/>
        </w:rPr>
      </w:pPr>
    </w:p>
    <w:p w14:paraId="7DD7746B">
      <w:pPr>
        <w:pStyle w:val="9"/>
        <w:rPr>
          <w:rFonts w:hint="eastAsia" w:ascii="宋体" w:hAnsi="宋体" w:eastAsia="宋体" w:cs="宋体"/>
          <w:color w:val="auto"/>
          <w:highlight w:val="none"/>
        </w:rPr>
      </w:pPr>
    </w:p>
    <w:p w14:paraId="4E7DAA8E">
      <w:pPr>
        <w:pStyle w:val="9"/>
        <w:rPr>
          <w:rFonts w:hint="eastAsia" w:ascii="宋体" w:hAnsi="宋体" w:eastAsia="宋体" w:cs="宋体"/>
          <w:color w:val="auto"/>
          <w:highlight w:val="none"/>
        </w:rPr>
      </w:pPr>
    </w:p>
    <w:p w14:paraId="7485FCB3">
      <w:pPr>
        <w:pStyle w:val="9"/>
        <w:rPr>
          <w:rFonts w:hint="eastAsia" w:ascii="宋体" w:hAnsi="宋体" w:eastAsia="宋体" w:cs="宋体"/>
          <w:color w:val="auto"/>
          <w:highlight w:val="none"/>
        </w:rPr>
      </w:pPr>
    </w:p>
    <w:p w14:paraId="41284F4A">
      <w:pPr>
        <w:pStyle w:val="9"/>
        <w:rPr>
          <w:rFonts w:hint="eastAsia" w:ascii="宋体" w:hAnsi="宋体" w:eastAsia="宋体" w:cs="宋体"/>
          <w:color w:val="auto"/>
          <w:highlight w:val="none"/>
        </w:rPr>
      </w:pPr>
    </w:p>
    <w:p w14:paraId="6013253A">
      <w:pPr>
        <w:pStyle w:val="9"/>
        <w:rPr>
          <w:rFonts w:hint="eastAsia" w:ascii="宋体" w:hAnsi="宋体" w:eastAsia="宋体" w:cs="宋体"/>
          <w:color w:val="auto"/>
          <w:highlight w:val="none"/>
        </w:rPr>
      </w:pPr>
    </w:p>
    <w:p w14:paraId="7588582C">
      <w:pPr>
        <w:pStyle w:val="9"/>
        <w:rPr>
          <w:rFonts w:hint="eastAsia" w:ascii="宋体" w:hAnsi="宋体" w:eastAsia="宋体" w:cs="宋体"/>
          <w:color w:val="auto"/>
          <w:highlight w:val="none"/>
        </w:rPr>
      </w:pPr>
    </w:p>
    <w:p w14:paraId="760CDB40">
      <w:pPr>
        <w:pStyle w:val="9"/>
        <w:rPr>
          <w:rFonts w:hint="eastAsia" w:ascii="宋体" w:hAnsi="宋体" w:eastAsia="宋体" w:cs="宋体"/>
          <w:color w:val="auto"/>
          <w:highlight w:val="none"/>
        </w:rPr>
      </w:pPr>
    </w:p>
    <w:p w14:paraId="21D5783F">
      <w:pPr>
        <w:pStyle w:val="9"/>
        <w:rPr>
          <w:rFonts w:hint="eastAsia" w:ascii="宋体" w:hAnsi="宋体" w:eastAsia="宋体" w:cs="宋体"/>
          <w:color w:val="auto"/>
          <w:highlight w:val="none"/>
        </w:rPr>
      </w:pPr>
    </w:p>
    <w:p w14:paraId="7F732C7C">
      <w:pPr>
        <w:pStyle w:val="9"/>
        <w:rPr>
          <w:rFonts w:hint="eastAsia" w:ascii="宋体" w:hAnsi="宋体" w:eastAsia="宋体" w:cs="宋体"/>
          <w:color w:val="auto"/>
          <w:highlight w:val="none"/>
        </w:rPr>
      </w:pPr>
    </w:p>
    <w:p w14:paraId="47C9B222">
      <w:pPr>
        <w:pStyle w:val="9"/>
        <w:rPr>
          <w:rFonts w:hint="eastAsia" w:ascii="宋体" w:hAnsi="宋体" w:eastAsia="宋体" w:cs="宋体"/>
          <w:color w:val="auto"/>
          <w:highlight w:val="none"/>
        </w:rPr>
      </w:pPr>
    </w:p>
    <w:p w14:paraId="796A0AF5">
      <w:pPr>
        <w:pStyle w:val="9"/>
        <w:rPr>
          <w:rFonts w:hint="eastAsia" w:ascii="宋体" w:hAnsi="宋体" w:eastAsia="宋体" w:cs="宋体"/>
          <w:color w:val="auto"/>
          <w:highlight w:val="none"/>
        </w:rPr>
      </w:pPr>
    </w:p>
    <w:p w14:paraId="61A270ED">
      <w:pPr>
        <w:pStyle w:val="9"/>
        <w:rPr>
          <w:rFonts w:hint="eastAsia" w:ascii="宋体" w:hAnsi="宋体" w:eastAsia="宋体" w:cs="宋体"/>
          <w:color w:val="auto"/>
          <w:highlight w:val="none"/>
        </w:rPr>
      </w:pPr>
    </w:p>
    <w:p w14:paraId="082CAC4C">
      <w:pPr>
        <w:pStyle w:val="9"/>
        <w:rPr>
          <w:rFonts w:hint="eastAsia" w:ascii="宋体" w:hAnsi="宋体" w:eastAsia="宋体" w:cs="宋体"/>
          <w:color w:val="auto"/>
          <w:highlight w:val="none"/>
        </w:rPr>
      </w:pPr>
    </w:p>
    <w:p w14:paraId="1E5A0EAC">
      <w:pPr>
        <w:pStyle w:val="9"/>
        <w:rPr>
          <w:rFonts w:hint="eastAsia" w:ascii="宋体" w:hAnsi="宋体" w:eastAsia="宋体" w:cs="宋体"/>
          <w:color w:val="auto"/>
          <w:highlight w:val="none"/>
        </w:rPr>
      </w:pPr>
    </w:p>
    <w:p w14:paraId="323B822B">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381" w:name="_Toc6416"/>
      <w:bookmarkStart w:id="382" w:name="_Toc28049"/>
      <w:bookmarkStart w:id="383" w:name="_Toc28859"/>
      <w:bookmarkStart w:id="384" w:name="_Toc11174"/>
      <w:bookmarkStart w:id="385" w:name="_Toc21286"/>
      <w:r>
        <w:rPr>
          <w:rFonts w:hint="eastAsia" w:ascii="宋体" w:hAnsi="宋体" w:eastAsia="宋体" w:cs="宋体"/>
          <w:color w:val="auto"/>
          <w:sz w:val="28"/>
          <w:szCs w:val="28"/>
        </w:rPr>
        <w:t>格式3：</w:t>
      </w:r>
      <w:bookmarkEnd w:id="381"/>
      <w:bookmarkEnd w:id="382"/>
    </w:p>
    <w:bookmarkEnd w:id="383"/>
    <w:bookmarkEnd w:id="384"/>
    <w:bookmarkEnd w:id="385"/>
    <w:p w14:paraId="3161F6D5">
      <w:pPr>
        <w:spacing w:line="360" w:lineRule="auto"/>
        <w:jc w:val="right"/>
        <w:rPr>
          <w:rFonts w:hint="eastAsia" w:ascii="宋体" w:hAnsi="宋体" w:eastAsia="宋体" w:cs="宋体"/>
          <w:b/>
          <w:bCs/>
          <w:color w:val="auto"/>
          <w:sz w:val="32"/>
          <w:szCs w:val="32"/>
          <w:highlight w:val="none"/>
          <w:lang w:eastAsia="zh-CN"/>
        </w:rPr>
      </w:pPr>
    </w:p>
    <w:p w14:paraId="51EC6142">
      <w:pPr>
        <w:jc w:val="center"/>
        <w:rPr>
          <w:rFonts w:hint="eastAsia" w:ascii="宋体" w:hAnsi="宋体" w:eastAsia="宋体" w:cs="宋体"/>
          <w:b/>
          <w:bCs/>
          <w:color w:val="auto"/>
          <w:sz w:val="60"/>
          <w:szCs w:val="60"/>
          <w:highlight w:val="none"/>
        </w:rPr>
      </w:pPr>
    </w:p>
    <w:p w14:paraId="693CDF68">
      <w:pPr>
        <w:pStyle w:val="9"/>
        <w:jc w:val="center"/>
        <w:rPr>
          <w:rFonts w:hint="eastAsia" w:ascii="宋体" w:hAnsi="宋体" w:eastAsia="宋体" w:cs="宋体"/>
          <w:color w:val="auto"/>
          <w:szCs w:val="21"/>
          <w:highlight w:val="none"/>
        </w:rPr>
      </w:pPr>
      <w:r>
        <w:rPr>
          <w:rFonts w:hint="eastAsia" w:ascii="宋体" w:hAnsi="宋体" w:eastAsia="宋体" w:cs="宋体"/>
          <w:color w:val="auto"/>
          <w:sz w:val="52"/>
          <w:szCs w:val="52"/>
          <w:u w:val="single"/>
        </w:rPr>
        <w:t>（项目名称）</w:t>
      </w:r>
      <w:r>
        <w:rPr>
          <w:rFonts w:hint="eastAsia" w:ascii="宋体" w:hAnsi="宋体" w:eastAsia="宋体" w:cs="宋体"/>
          <w:color w:val="auto"/>
          <w:sz w:val="52"/>
          <w:szCs w:val="52"/>
        </w:rPr>
        <w:t>招标</w:t>
      </w:r>
    </w:p>
    <w:p w14:paraId="36F60E58">
      <w:pPr>
        <w:pStyle w:val="9"/>
        <w:rPr>
          <w:rFonts w:hint="eastAsia" w:ascii="宋体" w:hAnsi="宋体" w:eastAsia="宋体" w:cs="宋体"/>
          <w:color w:val="auto"/>
          <w:szCs w:val="21"/>
          <w:highlight w:val="none"/>
        </w:rPr>
      </w:pPr>
    </w:p>
    <w:p w14:paraId="0DEFC7C7">
      <w:pPr>
        <w:pStyle w:val="9"/>
        <w:rPr>
          <w:rFonts w:hint="eastAsia" w:ascii="宋体" w:hAnsi="宋体" w:eastAsia="宋体" w:cs="宋体"/>
          <w:color w:val="auto"/>
          <w:szCs w:val="21"/>
          <w:highlight w:val="none"/>
        </w:rPr>
      </w:pPr>
    </w:p>
    <w:p w14:paraId="6AD8A7D3">
      <w:pPr>
        <w:spacing w:line="360" w:lineRule="auto"/>
        <w:jc w:val="center"/>
        <w:rPr>
          <w:rFonts w:hint="eastAsia" w:ascii="宋体" w:hAnsi="宋体" w:eastAsia="宋体" w:cs="宋体"/>
          <w:color w:val="auto"/>
          <w:szCs w:val="21"/>
          <w:highlight w:val="none"/>
        </w:rPr>
      </w:pPr>
    </w:p>
    <w:p w14:paraId="5466D5F0">
      <w:pPr>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投标文件</w:t>
      </w:r>
    </w:p>
    <w:p w14:paraId="2AC7E7C0">
      <w:pPr>
        <w:spacing w:line="360" w:lineRule="auto"/>
        <w:jc w:val="center"/>
        <w:rPr>
          <w:rFonts w:hint="eastAsia" w:ascii="宋体" w:hAnsi="宋体" w:eastAsia="宋体" w:cs="宋体"/>
          <w:color w:val="auto"/>
          <w:sz w:val="52"/>
          <w:szCs w:val="52"/>
          <w:highlight w:val="none"/>
        </w:rPr>
      </w:pPr>
    </w:p>
    <w:p w14:paraId="505E273C">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（第三册：技术标书）</w:t>
      </w:r>
    </w:p>
    <w:p w14:paraId="23839B32">
      <w:pPr>
        <w:spacing w:line="360" w:lineRule="auto"/>
        <w:ind w:firstLine="420" w:firstLineChars="200"/>
        <w:rPr>
          <w:rFonts w:hint="eastAsia" w:ascii="宋体" w:hAnsi="宋体" w:eastAsia="宋体" w:cs="宋体"/>
          <w:color w:val="auto"/>
          <w:szCs w:val="21"/>
          <w:highlight w:val="none"/>
        </w:rPr>
      </w:pPr>
    </w:p>
    <w:p w14:paraId="7979A999">
      <w:pPr>
        <w:bidi w:val="0"/>
        <w:rPr>
          <w:rFonts w:hint="eastAsia" w:ascii="宋体" w:hAnsi="宋体" w:eastAsia="宋体" w:cs="宋体"/>
          <w:color w:val="auto"/>
        </w:rPr>
      </w:pPr>
    </w:p>
    <w:p w14:paraId="6C348F6F">
      <w:pPr>
        <w:bidi w:val="0"/>
        <w:rPr>
          <w:rFonts w:hint="eastAsia" w:ascii="宋体" w:hAnsi="宋体" w:eastAsia="宋体" w:cs="宋体"/>
          <w:color w:val="auto"/>
        </w:rPr>
      </w:pPr>
    </w:p>
    <w:p w14:paraId="3BCEB475">
      <w:pPr>
        <w:bidi w:val="0"/>
        <w:rPr>
          <w:rFonts w:hint="eastAsia" w:ascii="宋体" w:hAnsi="宋体" w:eastAsia="宋体" w:cs="宋体"/>
          <w:color w:val="auto"/>
        </w:rPr>
      </w:pPr>
    </w:p>
    <w:p w14:paraId="2962AB2D">
      <w:pPr>
        <w:bidi w:val="0"/>
        <w:rPr>
          <w:rFonts w:hint="eastAsia" w:ascii="宋体" w:hAnsi="宋体" w:eastAsia="宋体" w:cs="宋体"/>
          <w:color w:val="auto"/>
        </w:rPr>
      </w:pPr>
    </w:p>
    <w:p w14:paraId="2F6CAAC3">
      <w:pPr>
        <w:bidi w:val="0"/>
        <w:rPr>
          <w:rFonts w:hint="eastAsia" w:ascii="宋体" w:hAnsi="宋体" w:eastAsia="宋体" w:cs="宋体"/>
          <w:color w:val="auto"/>
        </w:rPr>
      </w:pPr>
    </w:p>
    <w:p w14:paraId="55AC5184">
      <w:pPr>
        <w:bidi w:val="0"/>
        <w:rPr>
          <w:rFonts w:hint="eastAsia" w:ascii="宋体" w:hAnsi="宋体" w:eastAsia="宋体" w:cs="宋体"/>
          <w:color w:val="auto"/>
        </w:rPr>
      </w:pPr>
    </w:p>
    <w:p w14:paraId="406662D6">
      <w:pPr>
        <w:bidi w:val="0"/>
        <w:rPr>
          <w:rFonts w:hint="eastAsia" w:ascii="宋体" w:hAnsi="宋体" w:eastAsia="宋体" w:cs="宋体"/>
          <w:color w:val="auto"/>
        </w:rPr>
      </w:pPr>
    </w:p>
    <w:p w14:paraId="7CCA59C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（投标人名称）     </w:t>
      </w:r>
      <w:r>
        <w:rPr>
          <w:rFonts w:hint="eastAsia" w:ascii="宋体" w:hAnsi="宋体" w:eastAsia="宋体" w:cs="宋体"/>
          <w:color w:val="auto"/>
          <w:sz w:val="28"/>
          <w:szCs w:val="28"/>
          <w:highlight w:val="none"/>
        </w:rPr>
        <w:t>（盖单位章）</w:t>
      </w:r>
    </w:p>
    <w:p w14:paraId="09222F4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法定代表人或其授权委托人：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52D368EC">
      <w:pPr>
        <w:spacing w:line="360" w:lineRule="auto"/>
        <w:ind w:firstLine="420" w:firstLineChars="200"/>
        <w:jc w:val="center"/>
        <w:rPr>
          <w:rFonts w:hint="eastAsia" w:ascii="宋体" w:hAnsi="宋体" w:eastAsia="宋体" w:cs="宋体"/>
          <w:color w:val="auto"/>
          <w:szCs w:val="21"/>
          <w:highlight w:val="none"/>
          <w:u w:val="single"/>
        </w:rPr>
      </w:pPr>
    </w:p>
    <w:p w14:paraId="20779862">
      <w:pPr>
        <w:spacing w:line="360" w:lineRule="auto"/>
        <w:ind w:firstLine="42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D9DEFBD">
      <w:pPr>
        <w:pStyle w:val="9"/>
        <w:rPr>
          <w:rFonts w:hint="eastAsia" w:ascii="宋体" w:hAnsi="宋体" w:eastAsia="宋体" w:cs="宋体"/>
          <w:color w:val="auto"/>
          <w:sz w:val="28"/>
          <w:szCs w:val="28"/>
          <w:highlight w:val="none"/>
        </w:rPr>
      </w:pPr>
    </w:p>
    <w:p w14:paraId="0E0DC1CE">
      <w:pPr>
        <w:pStyle w:val="9"/>
        <w:rPr>
          <w:rFonts w:hint="eastAsia" w:ascii="宋体" w:hAnsi="宋体" w:eastAsia="宋体" w:cs="宋体"/>
          <w:color w:val="auto"/>
          <w:sz w:val="28"/>
          <w:szCs w:val="28"/>
          <w:highlight w:val="none"/>
        </w:rPr>
      </w:pPr>
    </w:p>
    <w:p w14:paraId="751F6B5A">
      <w:pPr>
        <w:pStyle w:val="9"/>
        <w:rPr>
          <w:rFonts w:hint="eastAsia" w:ascii="宋体" w:hAnsi="宋体" w:eastAsia="宋体" w:cs="宋体"/>
          <w:color w:val="auto"/>
          <w:sz w:val="28"/>
          <w:szCs w:val="28"/>
          <w:highlight w:val="none"/>
        </w:rPr>
      </w:pPr>
    </w:p>
    <w:p w14:paraId="12E4CBD1">
      <w:pPr>
        <w:pStyle w:val="9"/>
        <w:rPr>
          <w:rFonts w:hint="eastAsia" w:ascii="宋体" w:hAnsi="宋体" w:eastAsia="宋体" w:cs="宋体"/>
          <w:color w:val="auto"/>
          <w:sz w:val="28"/>
          <w:szCs w:val="28"/>
          <w:highlight w:val="none"/>
        </w:rPr>
      </w:pPr>
    </w:p>
    <w:p w14:paraId="7B2D30CE">
      <w:pPr>
        <w:bidi w:val="0"/>
        <w:rPr>
          <w:rFonts w:hint="eastAsia" w:ascii="宋体" w:hAnsi="宋体" w:eastAsia="宋体" w:cs="宋体"/>
          <w:color w:val="auto"/>
        </w:rPr>
      </w:pPr>
    </w:p>
    <w:p w14:paraId="4300A889">
      <w:pPr>
        <w:bidi w:val="0"/>
        <w:jc w:val="center"/>
        <w:rPr>
          <w:rFonts w:hint="eastAsia" w:ascii="宋体" w:hAnsi="宋体" w:eastAsia="宋体" w:cs="宋体"/>
          <w:b/>
          <w:bCs/>
          <w:color w:val="auto"/>
          <w:sz w:val="28"/>
          <w:szCs w:val="36"/>
        </w:rPr>
      </w:pPr>
      <w:r>
        <w:rPr>
          <w:rFonts w:hint="eastAsia" w:ascii="宋体" w:hAnsi="宋体" w:eastAsia="宋体" w:cs="宋体"/>
          <w:b/>
          <w:bCs/>
          <w:color w:val="auto"/>
          <w:sz w:val="28"/>
          <w:szCs w:val="36"/>
        </w:rPr>
        <w:t>目录</w:t>
      </w:r>
    </w:p>
    <w:p w14:paraId="0F5867F2">
      <w:pPr>
        <w:bidi w:val="0"/>
        <w:rPr>
          <w:rFonts w:hint="eastAsia" w:ascii="宋体" w:hAnsi="宋体" w:eastAsia="宋体" w:cs="宋体"/>
          <w:color w:val="auto"/>
        </w:rPr>
      </w:pPr>
    </w:p>
    <w:p w14:paraId="27C92C2C">
      <w:pPr>
        <w:spacing w:line="360" w:lineRule="auto"/>
        <w:ind w:left="707" w:leftChars="337"/>
        <w:rPr>
          <w:rFonts w:hint="eastAsia" w:ascii="宋体" w:hAnsi="宋体" w:eastAsia="宋体" w:cs="宋体"/>
          <w:color w:val="auto"/>
          <w:sz w:val="24"/>
          <w:highlight w:val="none"/>
        </w:rPr>
      </w:pPr>
      <w:r>
        <w:rPr>
          <w:rFonts w:hint="eastAsia" w:ascii="宋体" w:hAnsi="宋体" w:eastAsia="宋体" w:cs="宋体"/>
          <w:color w:val="auto"/>
          <w:sz w:val="24"/>
          <w:highlight w:val="none"/>
        </w:rPr>
        <w:t>一、施工组织设计内容完整性和编制水平</w:t>
      </w:r>
    </w:p>
    <w:p w14:paraId="5F8955B7">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二、施工方案与技术措施的合理性、科学性与可行性</w:t>
      </w:r>
    </w:p>
    <w:p w14:paraId="72EE9DE5">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三、质量管理体系与措施</w:t>
      </w:r>
    </w:p>
    <w:p w14:paraId="67D58620">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四、安全管理体系与措施</w:t>
      </w:r>
    </w:p>
    <w:p w14:paraId="512A4367">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五、环境保护管理体系与措施</w:t>
      </w:r>
    </w:p>
    <w:p w14:paraId="126A6A10">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六、工程建设进度计划与措施</w:t>
      </w:r>
    </w:p>
    <w:p w14:paraId="6C70D6E3">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七、资源配备计划</w:t>
      </w:r>
    </w:p>
    <w:p w14:paraId="5B797A80">
      <w:pPr>
        <w:spacing w:line="480" w:lineRule="exact"/>
        <w:rPr>
          <w:rFonts w:hint="eastAsia" w:ascii="宋体" w:hAnsi="宋体" w:eastAsia="宋体" w:cs="宋体"/>
          <w:color w:val="auto"/>
          <w:sz w:val="24"/>
          <w:highlight w:val="none"/>
        </w:rPr>
      </w:pPr>
    </w:p>
    <w:p w14:paraId="15EA4017">
      <w:pPr>
        <w:spacing w:line="48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rPr>
        <w:t>注：本目录不作为格式目录，投标人可相应修改或补充，为便于评标委员会评审，投标人可自行编制目录并编制页码。</w:t>
      </w:r>
    </w:p>
    <w:p w14:paraId="37CA4301">
      <w:pPr>
        <w:spacing w:line="480" w:lineRule="exact"/>
        <w:rPr>
          <w:rFonts w:hint="eastAsia" w:ascii="宋体" w:hAnsi="宋体" w:eastAsia="宋体" w:cs="宋体"/>
          <w:color w:val="auto"/>
          <w:sz w:val="24"/>
          <w:highlight w:val="none"/>
        </w:rPr>
      </w:pPr>
    </w:p>
    <w:p w14:paraId="3852F24F">
      <w:pPr>
        <w:spacing w:line="480" w:lineRule="exact"/>
        <w:rPr>
          <w:rFonts w:hint="eastAsia" w:ascii="宋体" w:hAnsi="宋体" w:eastAsia="宋体" w:cs="宋体"/>
          <w:color w:val="auto"/>
          <w:sz w:val="24"/>
          <w:highlight w:val="none"/>
        </w:rPr>
      </w:pPr>
    </w:p>
    <w:p w14:paraId="27A287D1">
      <w:pPr>
        <w:spacing w:line="480" w:lineRule="exact"/>
        <w:rPr>
          <w:rFonts w:hint="eastAsia" w:ascii="宋体" w:hAnsi="宋体" w:eastAsia="宋体" w:cs="宋体"/>
          <w:color w:val="auto"/>
          <w:sz w:val="24"/>
          <w:highlight w:val="none"/>
        </w:rPr>
      </w:pPr>
    </w:p>
    <w:p w14:paraId="316A9ECD">
      <w:pPr>
        <w:spacing w:line="480" w:lineRule="exact"/>
        <w:rPr>
          <w:rFonts w:hint="eastAsia" w:ascii="宋体" w:hAnsi="宋体" w:eastAsia="宋体" w:cs="宋体"/>
          <w:color w:val="auto"/>
          <w:sz w:val="24"/>
          <w:highlight w:val="none"/>
        </w:rPr>
      </w:pPr>
    </w:p>
    <w:p w14:paraId="7F9972D6">
      <w:pPr>
        <w:spacing w:line="480" w:lineRule="exact"/>
        <w:rPr>
          <w:rFonts w:hint="eastAsia" w:ascii="宋体" w:hAnsi="宋体" w:eastAsia="宋体" w:cs="宋体"/>
          <w:color w:val="auto"/>
          <w:sz w:val="24"/>
          <w:highlight w:val="none"/>
        </w:rPr>
      </w:pPr>
    </w:p>
    <w:p w14:paraId="5F70E746">
      <w:pPr>
        <w:spacing w:line="480" w:lineRule="exact"/>
        <w:rPr>
          <w:rFonts w:hint="eastAsia" w:ascii="宋体" w:hAnsi="宋体" w:eastAsia="宋体" w:cs="宋体"/>
          <w:color w:val="auto"/>
          <w:sz w:val="24"/>
          <w:highlight w:val="none"/>
        </w:rPr>
      </w:pPr>
    </w:p>
    <w:p w14:paraId="2898CCC7">
      <w:pPr>
        <w:spacing w:line="480" w:lineRule="exact"/>
        <w:rPr>
          <w:rFonts w:hint="eastAsia" w:ascii="宋体" w:hAnsi="宋体" w:eastAsia="宋体" w:cs="宋体"/>
          <w:color w:val="auto"/>
          <w:sz w:val="24"/>
          <w:highlight w:val="none"/>
        </w:rPr>
      </w:pPr>
    </w:p>
    <w:p w14:paraId="26EF6B62">
      <w:pPr>
        <w:spacing w:line="480" w:lineRule="exact"/>
        <w:rPr>
          <w:rFonts w:hint="eastAsia" w:ascii="宋体" w:hAnsi="宋体" w:eastAsia="宋体" w:cs="宋体"/>
          <w:color w:val="auto"/>
          <w:sz w:val="24"/>
          <w:highlight w:val="none"/>
        </w:rPr>
      </w:pPr>
    </w:p>
    <w:p w14:paraId="1287D2BA">
      <w:pPr>
        <w:spacing w:line="480" w:lineRule="exact"/>
        <w:rPr>
          <w:rFonts w:hint="eastAsia" w:ascii="宋体" w:hAnsi="宋体" w:eastAsia="宋体" w:cs="宋体"/>
          <w:color w:val="auto"/>
          <w:sz w:val="24"/>
          <w:highlight w:val="none"/>
        </w:rPr>
      </w:pPr>
    </w:p>
    <w:p w14:paraId="04588DEB">
      <w:pPr>
        <w:spacing w:line="480" w:lineRule="exact"/>
        <w:rPr>
          <w:rFonts w:hint="eastAsia" w:ascii="宋体" w:hAnsi="宋体" w:eastAsia="宋体" w:cs="宋体"/>
          <w:color w:val="auto"/>
          <w:sz w:val="24"/>
          <w:highlight w:val="none"/>
        </w:rPr>
      </w:pPr>
    </w:p>
    <w:p w14:paraId="09CB7508">
      <w:pPr>
        <w:spacing w:line="480" w:lineRule="exact"/>
        <w:rPr>
          <w:rFonts w:hint="eastAsia" w:ascii="宋体" w:hAnsi="宋体" w:eastAsia="宋体" w:cs="宋体"/>
          <w:color w:val="auto"/>
          <w:sz w:val="24"/>
          <w:highlight w:val="none"/>
        </w:rPr>
      </w:pPr>
    </w:p>
    <w:p w14:paraId="6425B62D">
      <w:pPr>
        <w:spacing w:line="480" w:lineRule="exact"/>
        <w:rPr>
          <w:rFonts w:hint="eastAsia" w:ascii="宋体" w:hAnsi="宋体" w:eastAsia="宋体" w:cs="宋体"/>
          <w:color w:val="auto"/>
          <w:sz w:val="24"/>
          <w:highlight w:val="none"/>
        </w:rPr>
      </w:pPr>
    </w:p>
    <w:p w14:paraId="11B4A356">
      <w:pPr>
        <w:spacing w:line="480" w:lineRule="exact"/>
        <w:rPr>
          <w:rFonts w:hint="eastAsia" w:ascii="宋体" w:hAnsi="宋体" w:eastAsia="宋体" w:cs="宋体"/>
          <w:b/>
          <w:color w:val="auto"/>
          <w:sz w:val="24"/>
          <w:highlight w:val="none"/>
        </w:rPr>
      </w:pPr>
    </w:p>
    <w:p w14:paraId="536B50E6">
      <w:pPr>
        <w:spacing w:line="480" w:lineRule="exact"/>
        <w:rPr>
          <w:rFonts w:hint="eastAsia" w:ascii="宋体" w:hAnsi="宋体" w:eastAsia="宋体" w:cs="宋体"/>
          <w:b/>
          <w:color w:val="auto"/>
          <w:sz w:val="24"/>
          <w:highlight w:val="none"/>
        </w:rPr>
      </w:pPr>
    </w:p>
    <w:p w14:paraId="750A0314">
      <w:pPr>
        <w:spacing w:line="480" w:lineRule="exact"/>
        <w:rPr>
          <w:rFonts w:hint="eastAsia" w:ascii="宋体" w:hAnsi="宋体" w:eastAsia="宋体" w:cs="宋体"/>
          <w:b/>
          <w:color w:val="auto"/>
          <w:sz w:val="24"/>
          <w:highlight w:val="none"/>
        </w:rPr>
      </w:pPr>
    </w:p>
    <w:p w14:paraId="514C1BE5">
      <w:pPr>
        <w:spacing w:line="480" w:lineRule="exact"/>
        <w:rPr>
          <w:rFonts w:hint="eastAsia" w:ascii="宋体" w:hAnsi="宋体" w:eastAsia="宋体" w:cs="宋体"/>
          <w:b/>
          <w:color w:val="auto"/>
          <w:sz w:val="24"/>
          <w:highlight w:val="none"/>
        </w:rPr>
      </w:pPr>
    </w:p>
    <w:p w14:paraId="4D093AB3">
      <w:pPr>
        <w:spacing w:line="480" w:lineRule="exact"/>
        <w:rPr>
          <w:rFonts w:hint="eastAsia" w:ascii="宋体" w:hAnsi="宋体" w:eastAsia="宋体" w:cs="宋体"/>
          <w:b/>
          <w:color w:val="auto"/>
          <w:sz w:val="24"/>
          <w:highlight w:val="none"/>
        </w:rPr>
      </w:pPr>
    </w:p>
    <w:p w14:paraId="5A5B07D8">
      <w:pPr>
        <w:pStyle w:val="3"/>
        <w:keepNext/>
        <w:keepLines/>
        <w:pageBreakBefore w:val="0"/>
        <w:widowControl w:val="0"/>
        <w:kinsoku/>
        <w:wordWrap/>
        <w:overflowPunct/>
        <w:topLinePunct w:val="0"/>
        <w:autoSpaceDE/>
        <w:autoSpaceDN/>
        <w:bidi w:val="0"/>
        <w:adjustRightInd/>
        <w:snapToGrid/>
        <w:spacing w:before="20" w:after="20" w:line="416" w:lineRule="auto"/>
        <w:jc w:val="left"/>
        <w:textAlignment w:val="auto"/>
        <w:rPr>
          <w:rFonts w:hint="eastAsia" w:ascii="宋体" w:hAnsi="宋体" w:eastAsia="宋体" w:cs="宋体"/>
          <w:color w:val="auto"/>
          <w:sz w:val="28"/>
          <w:szCs w:val="28"/>
        </w:rPr>
      </w:pPr>
      <w:bookmarkStart w:id="386" w:name="_Toc2458"/>
      <w:r>
        <w:rPr>
          <w:rFonts w:hint="eastAsia" w:ascii="宋体" w:hAnsi="宋体" w:eastAsia="宋体" w:cs="宋体"/>
          <w:color w:val="auto"/>
          <w:sz w:val="28"/>
          <w:szCs w:val="28"/>
        </w:rPr>
        <w:t>格式</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bookmarkEnd w:id="386"/>
    </w:p>
    <w:p w14:paraId="14FC0121">
      <w:pPr>
        <w:spacing w:line="360" w:lineRule="auto"/>
        <w:jc w:val="right"/>
        <w:rPr>
          <w:rFonts w:hint="eastAsia" w:ascii="宋体" w:hAnsi="宋体" w:eastAsia="宋体" w:cs="宋体"/>
          <w:b/>
          <w:bCs/>
          <w:color w:val="auto"/>
          <w:sz w:val="32"/>
          <w:szCs w:val="32"/>
          <w:highlight w:val="none"/>
          <w:lang w:eastAsia="zh-CN"/>
        </w:rPr>
      </w:pPr>
    </w:p>
    <w:p w14:paraId="2B464873">
      <w:pPr>
        <w:jc w:val="center"/>
        <w:rPr>
          <w:rFonts w:hint="eastAsia" w:ascii="宋体" w:hAnsi="宋体" w:eastAsia="宋体" w:cs="宋体"/>
          <w:b/>
          <w:bCs/>
          <w:color w:val="auto"/>
          <w:sz w:val="60"/>
          <w:szCs w:val="60"/>
          <w:highlight w:val="none"/>
        </w:rPr>
      </w:pPr>
    </w:p>
    <w:p w14:paraId="025CCC57">
      <w:pPr>
        <w:pStyle w:val="9"/>
        <w:jc w:val="center"/>
        <w:rPr>
          <w:rFonts w:hint="eastAsia" w:ascii="宋体" w:hAnsi="宋体" w:eastAsia="宋体" w:cs="宋体"/>
          <w:color w:val="auto"/>
          <w:szCs w:val="21"/>
          <w:highlight w:val="none"/>
        </w:rPr>
      </w:pPr>
      <w:r>
        <w:rPr>
          <w:rFonts w:hint="eastAsia" w:ascii="宋体" w:hAnsi="宋体" w:eastAsia="宋体" w:cs="宋体"/>
          <w:color w:val="auto"/>
          <w:sz w:val="52"/>
          <w:szCs w:val="52"/>
          <w:u w:val="single"/>
        </w:rPr>
        <w:t>（项目名称）</w:t>
      </w:r>
      <w:r>
        <w:rPr>
          <w:rFonts w:hint="eastAsia" w:ascii="宋体" w:hAnsi="宋体" w:eastAsia="宋体" w:cs="宋体"/>
          <w:color w:val="auto"/>
          <w:sz w:val="52"/>
          <w:szCs w:val="52"/>
        </w:rPr>
        <w:t>招标</w:t>
      </w:r>
    </w:p>
    <w:p w14:paraId="5DFFF64B">
      <w:pPr>
        <w:pStyle w:val="9"/>
        <w:rPr>
          <w:rFonts w:hint="eastAsia" w:ascii="宋体" w:hAnsi="宋体" w:eastAsia="宋体" w:cs="宋体"/>
          <w:color w:val="auto"/>
          <w:szCs w:val="21"/>
          <w:highlight w:val="none"/>
        </w:rPr>
      </w:pPr>
    </w:p>
    <w:p w14:paraId="4240DE13">
      <w:pPr>
        <w:pStyle w:val="9"/>
        <w:rPr>
          <w:rFonts w:hint="eastAsia" w:ascii="宋体" w:hAnsi="宋体" w:eastAsia="宋体" w:cs="宋体"/>
          <w:color w:val="auto"/>
          <w:szCs w:val="21"/>
          <w:highlight w:val="none"/>
        </w:rPr>
      </w:pPr>
    </w:p>
    <w:p w14:paraId="582BD08B">
      <w:pPr>
        <w:spacing w:line="360" w:lineRule="auto"/>
        <w:jc w:val="center"/>
        <w:rPr>
          <w:rFonts w:hint="eastAsia" w:ascii="宋体" w:hAnsi="宋体" w:eastAsia="宋体" w:cs="宋体"/>
          <w:color w:val="auto"/>
          <w:szCs w:val="21"/>
          <w:highlight w:val="none"/>
        </w:rPr>
      </w:pPr>
    </w:p>
    <w:p w14:paraId="600282A6">
      <w:pPr>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投标文件</w:t>
      </w:r>
    </w:p>
    <w:p w14:paraId="0F0644CB">
      <w:pPr>
        <w:spacing w:line="360" w:lineRule="auto"/>
        <w:jc w:val="center"/>
        <w:rPr>
          <w:rFonts w:hint="eastAsia" w:ascii="宋体" w:hAnsi="宋体" w:eastAsia="宋体" w:cs="宋体"/>
          <w:color w:val="auto"/>
          <w:sz w:val="52"/>
          <w:szCs w:val="52"/>
          <w:highlight w:val="none"/>
        </w:rPr>
      </w:pPr>
    </w:p>
    <w:p w14:paraId="717AE60B">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四</w:t>
      </w:r>
      <w:r>
        <w:rPr>
          <w:rFonts w:hint="eastAsia" w:ascii="宋体" w:hAnsi="宋体" w:eastAsia="宋体" w:cs="宋体"/>
          <w:b/>
          <w:bCs/>
          <w:color w:val="auto"/>
          <w:sz w:val="44"/>
          <w:szCs w:val="44"/>
          <w:highlight w:val="none"/>
        </w:rPr>
        <w:t>册：</w:t>
      </w:r>
      <w:r>
        <w:rPr>
          <w:rFonts w:hint="eastAsia" w:ascii="宋体" w:hAnsi="宋体" w:eastAsia="宋体" w:cs="宋体"/>
          <w:b/>
          <w:bCs/>
          <w:color w:val="auto"/>
          <w:sz w:val="44"/>
          <w:szCs w:val="44"/>
          <w:highlight w:val="none"/>
          <w:lang w:val="en-US" w:eastAsia="zh-CN"/>
        </w:rPr>
        <w:t>定标文件</w:t>
      </w:r>
      <w:r>
        <w:rPr>
          <w:rFonts w:hint="eastAsia" w:ascii="宋体" w:hAnsi="宋体" w:eastAsia="宋体" w:cs="宋体"/>
          <w:b/>
          <w:bCs/>
          <w:color w:val="auto"/>
          <w:sz w:val="44"/>
          <w:szCs w:val="44"/>
          <w:highlight w:val="none"/>
        </w:rPr>
        <w:t>）</w:t>
      </w:r>
    </w:p>
    <w:p w14:paraId="343B670C">
      <w:pPr>
        <w:spacing w:line="360" w:lineRule="auto"/>
        <w:ind w:firstLine="420" w:firstLineChars="200"/>
        <w:rPr>
          <w:rFonts w:hint="eastAsia" w:ascii="宋体" w:hAnsi="宋体" w:eastAsia="宋体" w:cs="宋体"/>
          <w:color w:val="auto"/>
          <w:szCs w:val="21"/>
          <w:highlight w:val="none"/>
        </w:rPr>
      </w:pPr>
    </w:p>
    <w:p w14:paraId="4A25CABB">
      <w:pPr>
        <w:bidi w:val="0"/>
        <w:rPr>
          <w:rFonts w:hint="eastAsia" w:ascii="宋体" w:hAnsi="宋体" w:eastAsia="宋体" w:cs="宋体"/>
          <w:color w:val="auto"/>
        </w:rPr>
      </w:pPr>
    </w:p>
    <w:p w14:paraId="387E15A9">
      <w:pPr>
        <w:bidi w:val="0"/>
        <w:rPr>
          <w:rFonts w:hint="eastAsia" w:ascii="宋体" w:hAnsi="宋体" w:eastAsia="宋体" w:cs="宋体"/>
          <w:color w:val="auto"/>
        </w:rPr>
      </w:pPr>
    </w:p>
    <w:p w14:paraId="13DFED35">
      <w:pPr>
        <w:bidi w:val="0"/>
        <w:rPr>
          <w:rFonts w:hint="eastAsia" w:ascii="宋体" w:hAnsi="宋体" w:eastAsia="宋体" w:cs="宋体"/>
          <w:color w:val="auto"/>
        </w:rPr>
      </w:pPr>
    </w:p>
    <w:p w14:paraId="48093105">
      <w:pPr>
        <w:bidi w:val="0"/>
        <w:rPr>
          <w:rFonts w:hint="eastAsia" w:ascii="宋体" w:hAnsi="宋体" w:eastAsia="宋体" w:cs="宋体"/>
          <w:color w:val="auto"/>
        </w:rPr>
      </w:pPr>
    </w:p>
    <w:p w14:paraId="40D7F1F6">
      <w:pPr>
        <w:bidi w:val="0"/>
        <w:rPr>
          <w:rFonts w:hint="eastAsia" w:ascii="宋体" w:hAnsi="宋体" w:eastAsia="宋体" w:cs="宋体"/>
          <w:color w:val="auto"/>
        </w:rPr>
      </w:pPr>
    </w:p>
    <w:p w14:paraId="1653810F">
      <w:pPr>
        <w:bidi w:val="0"/>
        <w:rPr>
          <w:rFonts w:hint="eastAsia" w:ascii="宋体" w:hAnsi="宋体" w:eastAsia="宋体" w:cs="宋体"/>
          <w:color w:val="auto"/>
        </w:rPr>
      </w:pPr>
    </w:p>
    <w:p w14:paraId="7182A1D4">
      <w:pPr>
        <w:bidi w:val="0"/>
        <w:rPr>
          <w:rFonts w:hint="eastAsia" w:ascii="宋体" w:hAnsi="宋体" w:eastAsia="宋体" w:cs="宋体"/>
          <w:color w:val="auto"/>
        </w:rPr>
      </w:pPr>
    </w:p>
    <w:p w14:paraId="263BCF5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（投标人名称）     </w:t>
      </w:r>
      <w:r>
        <w:rPr>
          <w:rFonts w:hint="eastAsia" w:ascii="宋体" w:hAnsi="宋体" w:eastAsia="宋体" w:cs="宋体"/>
          <w:color w:val="auto"/>
          <w:sz w:val="28"/>
          <w:szCs w:val="28"/>
          <w:highlight w:val="none"/>
        </w:rPr>
        <w:t>（盖单位章）</w:t>
      </w:r>
    </w:p>
    <w:p w14:paraId="77EA327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法定代表人或其授权委托人：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3CB6970B">
      <w:pPr>
        <w:spacing w:line="360" w:lineRule="auto"/>
        <w:ind w:firstLine="420" w:firstLineChars="200"/>
        <w:jc w:val="center"/>
        <w:rPr>
          <w:rFonts w:hint="eastAsia" w:ascii="宋体" w:hAnsi="宋体" w:eastAsia="宋体" w:cs="宋体"/>
          <w:color w:val="auto"/>
          <w:szCs w:val="21"/>
          <w:highlight w:val="none"/>
          <w:u w:val="single"/>
        </w:rPr>
      </w:pPr>
    </w:p>
    <w:p w14:paraId="7899E79C">
      <w:pPr>
        <w:spacing w:line="360" w:lineRule="auto"/>
        <w:ind w:firstLine="42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8B793B9">
      <w:pPr>
        <w:pStyle w:val="9"/>
        <w:rPr>
          <w:rFonts w:hint="eastAsia" w:ascii="宋体" w:hAnsi="宋体" w:eastAsia="宋体" w:cs="宋体"/>
          <w:color w:val="auto"/>
          <w:sz w:val="28"/>
          <w:szCs w:val="28"/>
          <w:highlight w:val="none"/>
        </w:rPr>
      </w:pPr>
    </w:p>
    <w:p w14:paraId="5691511A">
      <w:pPr>
        <w:pStyle w:val="9"/>
        <w:rPr>
          <w:rFonts w:hint="eastAsia" w:ascii="宋体" w:hAnsi="宋体" w:eastAsia="宋体" w:cs="宋体"/>
          <w:color w:val="auto"/>
          <w:sz w:val="28"/>
          <w:szCs w:val="28"/>
          <w:highlight w:val="none"/>
        </w:rPr>
      </w:pPr>
    </w:p>
    <w:p w14:paraId="0B02FDB4">
      <w:pPr>
        <w:pStyle w:val="9"/>
        <w:rPr>
          <w:rFonts w:hint="eastAsia" w:ascii="宋体" w:hAnsi="宋体" w:eastAsia="宋体" w:cs="宋体"/>
          <w:color w:val="auto"/>
          <w:sz w:val="28"/>
          <w:szCs w:val="28"/>
          <w:highlight w:val="none"/>
        </w:rPr>
      </w:pPr>
    </w:p>
    <w:p w14:paraId="4A35F5AC">
      <w:pPr>
        <w:pStyle w:val="9"/>
        <w:rPr>
          <w:rFonts w:hint="eastAsia" w:ascii="宋体" w:hAnsi="宋体" w:eastAsia="宋体" w:cs="宋体"/>
          <w:color w:val="auto"/>
          <w:sz w:val="28"/>
          <w:szCs w:val="28"/>
          <w:highlight w:val="none"/>
        </w:rPr>
      </w:pPr>
    </w:p>
    <w:p w14:paraId="28CE30CA">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7CE211C6">
      <w:pPr>
        <w:jc w:val="left"/>
        <w:rPr>
          <w:rFonts w:hint="eastAsia" w:ascii="宋体" w:hAnsi="宋体" w:eastAsia="宋体" w:cs="宋体"/>
          <w:color w:val="auto"/>
          <w:sz w:val="24"/>
          <w:highlight w:val="none"/>
          <w:lang w:eastAsia="zh-CN"/>
        </w:rPr>
      </w:pPr>
    </w:p>
    <w:p w14:paraId="55172B58">
      <w:pPr>
        <w:spacing w:line="480" w:lineRule="exact"/>
        <w:rPr>
          <w:rFonts w:hint="eastAsia" w:ascii="宋体" w:hAnsi="宋体" w:eastAsia="宋体" w:cs="宋体"/>
          <w:b/>
          <w:color w:val="auto"/>
          <w:sz w:val="24"/>
          <w:highlight w:val="none"/>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八、定标办法”载明的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6EBBDFA8">
      <w:pPr>
        <w:spacing w:line="480" w:lineRule="exact"/>
        <w:rPr>
          <w:rFonts w:hint="eastAsia" w:ascii="宋体" w:hAnsi="宋体" w:eastAsia="宋体" w:cs="宋体"/>
          <w:b/>
          <w:bCs/>
          <w:color w:val="auto"/>
          <w:sz w:val="24"/>
          <w:highlight w:val="none"/>
          <w:u w:val="single"/>
        </w:rPr>
      </w:pPr>
    </w:p>
    <w:p w14:paraId="722B7CF3">
      <w:pPr>
        <w:spacing w:line="480" w:lineRule="exact"/>
        <w:ind w:firstLine="240" w:firstLineChars="1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u w:val="single"/>
        </w:rPr>
        <w:t>注：为便于</w:t>
      </w:r>
      <w:r>
        <w:rPr>
          <w:rFonts w:hint="eastAsia" w:ascii="宋体" w:hAnsi="宋体" w:eastAsia="宋体" w:cs="宋体"/>
          <w:b/>
          <w:bCs/>
          <w:color w:val="auto"/>
          <w:sz w:val="24"/>
          <w:highlight w:val="none"/>
          <w:u w:val="single"/>
          <w:lang w:val="en-US" w:eastAsia="zh-CN"/>
        </w:rPr>
        <w:t>定标</w:t>
      </w:r>
      <w:r>
        <w:rPr>
          <w:rFonts w:hint="eastAsia" w:ascii="宋体" w:hAnsi="宋体" w:eastAsia="宋体" w:cs="宋体"/>
          <w:b/>
          <w:bCs/>
          <w:color w:val="auto"/>
          <w:sz w:val="24"/>
          <w:highlight w:val="none"/>
          <w:u w:val="single"/>
        </w:rPr>
        <w:t>委员会评审，投标人可自行编制目录并编制页码。</w:t>
      </w:r>
    </w:p>
    <w:sectPr>
      <w:pgSz w:w="11906" w:h="16838"/>
      <w:pgMar w:top="929" w:right="849" w:bottom="789" w:left="1247"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F4A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810B5">
                          <w:pPr>
                            <w:snapToGrid w:val="0"/>
                            <w:rPr>
                              <w:rFonts w:hint="eastAsia"/>
                              <w:sz w:val="18"/>
                            </w:rPr>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6A4810B5">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45623">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CB4E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rct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yty3gEAAL4DAAAOAAAAAAAA&#10;AAEAIAAAAB4BAABkcnMvZTJvRG9jLnhtbFBLBQYAAAAABgAGAFkBAABuBQAAAAA=&#10;">
              <v:fill on="f" focussize="0,0"/>
              <v:stroke on="f"/>
              <v:imagedata o:title=""/>
              <o:lock v:ext="edit" aspectratio="f"/>
              <v:textbox inset="0mm,0mm,0mm,0mm" style="mso-fit-shape-to-text:t;">
                <w:txbxContent>
                  <w:p w14:paraId="78DCB4E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F8A6FF">
                          <w:pPr>
                            <w:snapToGrid w:val="0"/>
                            <w:rPr>
                              <w:rFonts w:hint="eastAsia"/>
                              <w:sz w:val="18"/>
                            </w:rPr>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14:paraId="39F8A6FF">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F210">
    <w:pPr>
      <w:pStyle w:val="18"/>
    </w:pPr>
    <w:r>
      <mc:AlternateContent>
        <mc:Choice Requires="wps">
          <w:drawing>
            <wp:anchor distT="0" distB="0" distL="114300" distR="114300" simplePos="0" relativeHeight="251659264" behindDoc="0" locked="0" layoutInCell="1" allowOverlap="1">
              <wp:simplePos x="0" y="0"/>
              <wp:positionH relativeFrom="margin">
                <wp:posOffset>3031490</wp:posOffset>
              </wp:positionH>
              <wp:positionV relativeFrom="paragraph">
                <wp:posOffset>0</wp:posOffset>
              </wp:positionV>
              <wp:extent cx="21526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215265" cy="131445"/>
                      </a:xfrm>
                      <a:prstGeom prst="rect">
                        <a:avLst/>
                      </a:prstGeom>
                      <a:noFill/>
                      <a:ln>
                        <a:noFill/>
                      </a:ln>
                    </wps:spPr>
                    <wps:txbx>
                      <w:txbxContent>
                        <w:p w14:paraId="203B903E">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126</w:t>
                          </w:r>
                          <w:r>
                            <w:rPr>
                              <w:rFonts w:hint="eastAsia"/>
                            </w:rPr>
                            <w:fldChar w:fldCharType="end"/>
                          </w:r>
                        </w:p>
                      </w:txbxContent>
                    </wps:txbx>
                    <wps:bodyPr vert="horz" wrap="square" lIns="0" tIns="0" rIns="0" bIns="0" anchor="t" anchorCtr="0" upright="1"/>
                  </wps:wsp>
                </a:graphicData>
              </a:graphic>
            </wp:anchor>
          </w:drawing>
        </mc:Choice>
        <mc:Fallback>
          <w:pict>
            <v:shape id="文本框 3" o:spid="_x0000_s1026" o:spt="202" type="#_x0000_t202" style="position:absolute;left:0pt;margin-left:238.7pt;margin-top:0pt;height:10.35pt;width:16.95pt;mso-position-horizontal-relative:margin;z-index:251659264;mso-width-relative:page;mso-height-relative:page;" filled="f" stroked="f" coordsize="21600,21600" o:gfxdata="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iLeRa1wAAAAcBAAAPAAAAAAAA&#10;AAEAIAAAACIAAABkcnMvZG93bnJldi54bWxQSwECFAAUAAAACACHTuJAwwiejNoBAACkAwAADgAA&#10;AAAAAAABACAAAAAmAQAAZHJzL2Uyb0RvYy54bWxQSwUGAAAAAAYABgBZAQAAcgUAAAAA&#10;">
              <v:fill on="f" focussize="0,0"/>
              <v:stroke on="f"/>
              <v:imagedata o:title=""/>
              <o:lock v:ext="edit" aspectratio="f"/>
              <v:textbox inset="0mm,0mm,0mm,0mm">
                <w:txbxContent>
                  <w:p w14:paraId="203B903E">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7DD0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90B7E"/>
    <w:multiLevelType w:val="singleLevel"/>
    <w:tmpl w:val="ED090B7E"/>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6"/>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40027F9"/>
    <w:multiLevelType w:val="singleLevel"/>
    <w:tmpl w:val="040027F9"/>
    <w:lvl w:ilvl="0" w:tentative="0">
      <w:start w:val="1"/>
      <w:numFmt w:val="decimal"/>
      <w:suff w:val="nothing"/>
      <w:lvlText w:val="%1．"/>
      <w:lvlJc w:val="left"/>
    </w:lvl>
  </w:abstractNum>
  <w:abstractNum w:abstractNumId="3">
    <w:nsid w:val="4AE0FC6E"/>
    <w:multiLevelType w:val="singleLevel"/>
    <w:tmpl w:val="4AE0FC6E"/>
    <w:lvl w:ilvl="0" w:tentative="0">
      <w:start w:val="1"/>
      <w:numFmt w:val="decimal"/>
      <w:lvlText w:val="%1."/>
      <w:lvlJc w:val="left"/>
      <w:pPr>
        <w:tabs>
          <w:tab w:val="left" w:pos="312"/>
        </w:tabs>
      </w:pPr>
    </w:lvl>
  </w:abstractNum>
  <w:abstractNum w:abstractNumId="4">
    <w:nsid w:val="7C3DE01B"/>
    <w:multiLevelType w:val="singleLevel"/>
    <w:tmpl w:val="7C3DE01B"/>
    <w:lvl w:ilvl="0" w:tentative="0">
      <w:start w:val="3"/>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Y2ZkZDNlNzFjYjcxZjkzYmI1NzBmNmI1OTU3YjcifQ=="/>
  </w:docVars>
  <w:rsids>
    <w:rsidRoot w:val="00172A27"/>
    <w:rsid w:val="00001271"/>
    <w:rsid w:val="000015B5"/>
    <w:rsid w:val="000024BF"/>
    <w:rsid w:val="000035A0"/>
    <w:rsid w:val="00003B62"/>
    <w:rsid w:val="00005DEF"/>
    <w:rsid w:val="00005FC6"/>
    <w:rsid w:val="00006808"/>
    <w:rsid w:val="000070DF"/>
    <w:rsid w:val="00007263"/>
    <w:rsid w:val="0000756F"/>
    <w:rsid w:val="00007756"/>
    <w:rsid w:val="000078AE"/>
    <w:rsid w:val="00010ABE"/>
    <w:rsid w:val="0001104E"/>
    <w:rsid w:val="00011509"/>
    <w:rsid w:val="000125C7"/>
    <w:rsid w:val="00012890"/>
    <w:rsid w:val="00012B60"/>
    <w:rsid w:val="00013090"/>
    <w:rsid w:val="00013577"/>
    <w:rsid w:val="00014183"/>
    <w:rsid w:val="00014605"/>
    <w:rsid w:val="00015300"/>
    <w:rsid w:val="00021239"/>
    <w:rsid w:val="000229F2"/>
    <w:rsid w:val="000233A7"/>
    <w:rsid w:val="00023B35"/>
    <w:rsid w:val="00024550"/>
    <w:rsid w:val="0002566C"/>
    <w:rsid w:val="00026912"/>
    <w:rsid w:val="00026967"/>
    <w:rsid w:val="00026CD8"/>
    <w:rsid w:val="000272B0"/>
    <w:rsid w:val="00027604"/>
    <w:rsid w:val="0002779C"/>
    <w:rsid w:val="0002789B"/>
    <w:rsid w:val="00027939"/>
    <w:rsid w:val="00031194"/>
    <w:rsid w:val="00031848"/>
    <w:rsid w:val="00032219"/>
    <w:rsid w:val="00032346"/>
    <w:rsid w:val="00032A5A"/>
    <w:rsid w:val="000331C3"/>
    <w:rsid w:val="000331FD"/>
    <w:rsid w:val="0003488C"/>
    <w:rsid w:val="00036DCB"/>
    <w:rsid w:val="00037AC9"/>
    <w:rsid w:val="00037F4F"/>
    <w:rsid w:val="000415EF"/>
    <w:rsid w:val="00041ECA"/>
    <w:rsid w:val="00045FE1"/>
    <w:rsid w:val="00046346"/>
    <w:rsid w:val="000463F9"/>
    <w:rsid w:val="00051B22"/>
    <w:rsid w:val="00052A24"/>
    <w:rsid w:val="00052C86"/>
    <w:rsid w:val="000541B5"/>
    <w:rsid w:val="00054442"/>
    <w:rsid w:val="00054647"/>
    <w:rsid w:val="0005466C"/>
    <w:rsid w:val="0005631E"/>
    <w:rsid w:val="00057D09"/>
    <w:rsid w:val="00060AA2"/>
    <w:rsid w:val="00060E2F"/>
    <w:rsid w:val="00061B3F"/>
    <w:rsid w:val="00061D8A"/>
    <w:rsid w:val="00062670"/>
    <w:rsid w:val="00062CD6"/>
    <w:rsid w:val="000632B0"/>
    <w:rsid w:val="0006344E"/>
    <w:rsid w:val="00063645"/>
    <w:rsid w:val="000643C7"/>
    <w:rsid w:val="00064F5A"/>
    <w:rsid w:val="000654E0"/>
    <w:rsid w:val="00065B66"/>
    <w:rsid w:val="00067470"/>
    <w:rsid w:val="000678AA"/>
    <w:rsid w:val="00071CE3"/>
    <w:rsid w:val="0007250E"/>
    <w:rsid w:val="000726EA"/>
    <w:rsid w:val="00072FD0"/>
    <w:rsid w:val="00073C2C"/>
    <w:rsid w:val="00073FAE"/>
    <w:rsid w:val="00074CE9"/>
    <w:rsid w:val="00075608"/>
    <w:rsid w:val="000759B3"/>
    <w:rsid w:val="00076573"/>
    <w:rsid w:val="000765D8"/>
    <w:rsid w:val="00076952"/>
    <w:rsid w:val="00077B41"/>
    <w:rsid w:val="000806DD"/>
    <w:rsid w:val="00082D8A"/>
    <w:rsid w:val="00082F3E"/>
    <w:rsid w:val="0008371F"/>
    <w:rsid w:val="00084227"/>
    <w:rsid w:val="00084947"/>
    <w:rsid w:val="00084CB3"/>
    <w:rsid w:val="00085E08"/>
    <w:rsid w:val="00086865"/>
    <w:rsid w:val="00087E15"/>
    <w:rsid w:val="0009131A"/>
    <w:rsid w:val="00091990"/>
    <w:rsid w:val="0009278C"/>
    <w:rsid w:val="000928A5"/>
    <w:rsid w:val="00093837"/>
    <w:rsid w:val="0009491A"/>
    <w:rsid w:val="00095679"/>
    <w:rsid w:val="0009632C"/>
    <w:rsid w:val="00096818"/>
    <w:rsid w:val="000972BD"/>
    <w:rsid w:val="000A0199"/>
    <w:rsid w:val="000A01EE"/>
    <w:rsid w:val="000A0F32"/>
    <w:rsid w:val="000A116D"/>
    <w:rsid w:val="000A41A9"/>
    <w:rsid w:val="000A48D6"/>
    <w:rsid w:val="000A5205"/>
    <w:rsid w:val="000A63C9"/>
    <w:rsid w:val="000A6C91"/>
    <w:rsid w:val="000B1A04"/>
    <w:rsid w:val="000B2679"/>
    <w:rsid w:val="000B3EC8"/>
    <w:rsid w:val="000B5CA2"/>
    <w:rsid w:val="000B799A"/>
    <w:rsid w:val="000C0832"/>
    <w:rsid w:val="000C15FC"/>
    <w:rsid w:val="000C2554"/>
    <w:rsid w:val="000C2702"/>
    <w:rsid w:val="000C2C80"/>
    <w:rsid w:val="000C356C"/>
    <w:rsid w:val="000C43B6"/>
    <w:rsid w:val="000C499F"/>
    <w:rsid w:val="000C6D24"/>
    <w:rsid w:val="000C75C0"/>
    <w:rsid w:val="000D01CE"/>
    <w:rsid w:val="000D0953"/>
    <w:rsid w:val="000D1066"/>
    <w:rsid w:val="000D1805"/>
    <w:rsid w:val="000D24CC"/>
    <w:rsid w:val="000D25F3"/>
    <w:rsid w:val="000D38D2"/>
    <w:rsid w:val="000D3E01"/>
    <w:rsid w:val="000D439E"/>
    <w:rsid w:val="000D5972"/>
    <w:rsid w:val="000D5C3D"/>
    <w:rsid w:val="000D670D"/>
    <w:rsid w:val="000D7449"/>
    <w:rsid w:val="000D7AD5"/>
    <w:rsid w:val="000E0CF7"/>
    <w:rsid w:val="000E0EC7"/>
    <w:rsid w:val="000E237D"/>
    <w:rsid w:val="000E2F7A"/>
    <w:rsid w:val="000E3876"/>
    <w:rsid w:val="000E38B1"/>
    <w:rsid w:val="000E39FA"/>
    <w:rsid w:val="000E411F"/>
    <w:rsid w:val="000E4B56"/>
    <w:rsid w:val="000E4B75"/>
    <w:rsid w:val="000E6042"/>
    <w:rsid w:val="000E6D0C"/>
    <w:rsid w:val="000E75C7"/>
    <w:rsid w:val="000F1551"/>
    <w:rsid w:val="000F1655"/>
    <w:rsid w:val="000F1EF9"/>
    <w:rsid w:val="000F4D72"/>
    <w:rsid w:val="000F6293"/>
    <w:rsid w:val="000F6E98"/>
    <w:rsid w:val="00101AAD"/>
    <w:rsid w:val="0010328D"/>
    <w:rsid w:val="001039BD"/>
    <w:rsid w:val="00104514"/>
    <w:rsid w:val="001052DB"/>
    <w:rsid w:val="001066E8"/>
    <w:rsid w:val="00106766"/>
    <w:rsid w:val="0010748D"/>
    <w:rsid w:val="00110615"/>
    <w:rsid w:val="00110A95"/>
    <w:rsid w:val="00110E82"/>
    <w:rsid w:val="00111CD2"/>
    <w:rsid w:val="00112EBA"/>
    <w:rsid w:val="00113844"/>
    <w:rsid w:val="00114857"/>
    <w:rsid w:val="001148D3"/>
    <w:rsid w:val="001166B5"/>
    <w:rsid w:val="0011723B"/>
    <w:rsid w:val="00117B59"/>
    <w:rsid w:val="00117B98"/>
    <w:rsid w:val="00120E2D"/>
    <w:rsid w:val="00120F46"/>
    <w:rsid w:val="001223AC"/>
    <w:rsid w:val="001226A5"/>
    <w:rsid w:val="0012302A"/>
    <w:rsid w:val="00123796"/>
    <w:rsid w:val="00124B60"/>
    <w:rsid w:val="00125463"/>
    <w:rsid w:val="0012569A"/>
    <w:rsid w:val="00125760"/>
    <w:rsid w:val="00125859"/>
    <w:rsid w:val="00130901"/>
    <w:rsid w:val="001312F6"/>
    <w:rsid w:val="0013179E"/>
    <w:rsid w:val="00132AD0"/>
    <w:rsid w:val="00132D66"/>
    <w:rsid w:val="00133CE2"/>
    <w:rsid w:val="00134E86"/>
    <w:rsid w:val="00135563"/>
    <w:rsid w:val="001400C8"/>
    <w:rsid w:val="00140988"/>
    <w:rsid w:val="00141438"/>
    <w:rsid w:val="00141F53"/>
    <w:rsid w:val="00142233"/>
    <w:rsid w:val="00143843"/>
    <w:rsid w:val="0014389B"/>
    <w:rsid w:val="00143F17"/>
    <w:rsid w:val="001449E5"/>
    <w:rsid w:val="00145BEF"/>
    <w:rsid w:val="00146E91"/>
    <w:rsid w:val="00147039"/>
    <w:rsid w:val="00150C24"/>
    <w:rsid w:val="001516AD"/>
    <w:rsid w:val="00151CE6"/>
    <w:rsid w:val="001538C2"/>
    <w:rsid w:val="00154919"/>
    <w:rsid w:val="00156DB2"/>
    <w:rsid w:val="0016008F"/>
    <w:rsid w:val="0016060E"/>
    <w:rsid w:val="00161375"/>
    <w:rsid w:val="001621A1"/>
    <w:rsid w:val="001623AA"/>
    <w:rsid w:val="00163501"/>
    <w:rsid w:val="001635B7"/>
    <w:rsid w:val="00163D57"/>
    <w:rsid w:val="001645C1"/>
    <w:rsid w:val="0017097A"/>
    <w:rsid w:val="00170BFA"/>
    <w:rsid w:val="001714C4"/>
    <w:rsid w:val="001722F7"/>
    <w:rsid w:val="00173034"/>
    <w:rsid w:val="00173152"/>
    <w:rsid w:val="00173C76"/>
    <w:rsid w:val="00173E8D"/>
    <w:rsid w:val="00176B56"/>
    <w:rsid w:val="0018069A"/>
    <w:rsid w:val="00180D92"/>
    <w:rsid w:val="00180DF2"/>
    <w:rsid w:val="00180F1E"/>
    <w:rsid w:val="0018127F"/>
    <w:rsid w:val="0018178B"/>
    <w:rsid w:val="00182AB6"/>
    <w:rsid w:val="00182B8D"/>
    <w:rsid w:val="001847B4"/>
    <w:rsid w:val="00184995"/>
    <w:rsid w:val="00184F32"/>
    <w:rsid w:val="001902BA"/>
    <w:rsid w:val="00190653"/>
    <w:rsid w:val="00190715"/>
    <w:rsid w:val="00190720"/>
    <w:rsid w:val="00190AED"/>
    <w:rsid w:val="0019223F"/>
    <w:rsid w:val="001929C0"/>
    <w:rsid w:val="00192A52"/>
    <w:rsid w:val="00192F65"/>
    <w:rsid w:val="00193238"/>
    <w:rsid w:val="0019466F"/>
    <w:rsid w:val="001957B9"/>
    <w:rsid w:val="00196366"/>
    <w:rsid w:val="00197656"/>
    <w:rsid w:val="001976E6"/>
    <w:rsid w:val="00197886"/>
    <w:rsid w:val="00197DC8"/>
    <w:rsid w:val="001A0400"/>
    <w:rsid w:val="001A0486"/>
    <w:rsid w:val="001A0EE4"/>
    <w:rsid w:val="001A17A5"/>
    <w:rsid w:val="001A17B9"/>
    <w:rsid w:val="001A2184"/>
    <w:rsid w:val="001A23F7"/>
    <w:rsid w:val="001A3EDA"/>
    <w:rsid w:val="001A4255"/>
    <w:rsid w:val="001A49F5"/>
    <w:rsid w:val="001A545E"/>
    <w:rsid w:val="001A6671"/>
    <w:rsid w:val="001A67EC"/>
    <w:rsid w:val="001B057D"/>
    <w:rsid w:val="001B1710"/>
    <w:rsid w:val="001B1D27"/>
    <w:rsid w:val="001B1ECC"/>
    <w:rsid w:val="001B1FE2"/>
    <w:rsid w:val="001B2024"/>
    <w:rsid w:val="001B2C09"/>
    <w:rsid w:val="001B679A"/>
    <w:rsid w:val="001C0204"/>
    <w:rsid w:val="001C0EE2"/>
    <w:rsid w:val="001C0FFB"/>
    <w:rsid w:val="001C2176"/>
    <w:rsid w:val="001C2CD7"/>
    <w:rsid w:val="001C2D3A"/>
    <w:rsid w:val="001C3DA9"/>
    <w:rsid w:val="001C450A"/>
    <w:rsid w:val="001C479F"/>
    <w:rsid w:val="001C488B"/>
    <w:rsid w:val="001C4D7B"/>
    <w:rsid w:val="001C4FB5"/>
    <w:rsid w:val="001C5AEF"/>
    <w:rsid w:val="001C6F2C"/>
    <w:rsid w:val="001C7884"/>
    <w:rsid w:val="001D00FD"/>
    <w:rsid w:val="001D0AC1"/>
    <w:rsid w:val="001D1851"/>
    <w:rsid w:val="001D280B"/>
    <w:rsid w:val="001D375A"/>
    <w:rsid w:val="001D68BF"/>
    <w:rsid w:val="001D76D4"/>
    <w:rsid w:val="001E0EEA"/>
    <w:rsid w:val="001E0FDE"/>
    <w:rsid w:val="001E12E3"/>
    <w:rsid w:val="001E2A59"/>
    <w:rsid w:val="001E31BE"/>
    <w:rsid w:val="001E3343"/>
    <w:rsid w:val="001E47B4"/>
    <w:rsid w:val="001E47C8"/>
    <w:rsid w:val="001E4B04"/>
    <w:rsid w:val="001E580F"/>
    <w:rsid w:val="001E78FB"/>
    <w:rsid w:val="001F09AB"/>
    <w:rsid w:val="001F0EB4"/>
    <w:rsid w:val="001F12AA"/>
    <w:rsid w:val="001F1797"/>
    <w:rsid w:val="001F3378"/>
    <w:rsid w:val="001F4310"/>
    <w:rsid w:val="001F4D0B"/>
    <w:rsid w:val="001F4D1D"/>
    <w:rsid w:val="001F7DD0"/>
    <w:rsid w:val="001F7F57"/>
    <w:rsid w:val="00200CDD"/>
    <w:rsid w:val="00200D32"/>
    <w:rsid w:val="002010DB"/>
    <w:rsid w:val="0020308D"/>
    <w:rsid w:val="00205C98"/>
    <w:rsid w:val="00207AAC"/>
    <w:rsid w:val="00210558"/>
    <w:rsid w:val="00211317"/>
    <w:rsid w:val="00212A13"/>
    <w:rsid w:val="00212B28"/>
    <w:rsid w:val="00212C42"/>
    <w:rsid w:val="00212CFD"/>
    <w:rsid w:val="00212E3F"/>
    <w:rsid w:val="0021477E"/>
    <w:rsid w:val="0021597D"/>
    <w:rsid w:val="002164C5"/>
    <w:rsid w:val="00216BA5"/>
    <w:rsid w:val="002175FC"/>
    <w:rsid w:val="002215D1"/>
    <w:rsid w:val="00221C6A"/>
    <w:rsid w:val="00221E7D"/>
    <w:rsid w:val="0022226D"/>
    <w:rsid w:val="0022253E"/>
    <w:rsid w:val="002234DF"/>
    <w:rsid w:val="002235F3"/>
    <w:rsid w:val="002244B7"/>
    <w:rsid w:val="00224A86"/>
    <w:rsid w:val="00225FE4"/>
    <w:rsid w:val="00226584"/>
    <w:rsid w:val="0022690A"/>
    <w:rsid w:val="00226969"/>
    <w:rsid w:val="00226A34"/>
    <w:rsid w:val="00226D0D"/>
    <w:rsid w:val="00226E4A"/>
    <w:rsid w:val="00227427"/>
    <w:rsid w:val="00230409"/>
    <w:rsid w:val="0023087B"/>
    <w:rsid w:val="00230CA2"/>
    <w:rsid w:val="002321AD"/>
    <w:rsid w:val="002322BF"/>
    <w:rsid w:val="00234174"/>
    <w:rsid w:val="00235A01"/>
    <w:rsid w:val="002374F0"/>
    <w:rsid w:val="00240B82"/>
    <w:rsid w:val="00240F5E"/>
    <w:rsid w:val="00244D05"/>
    <w:rsid w:val="00244E8A"/>
    <w:rsid w:val="00245A46"/>
    <w:rsid w:val="00245BB2"/>
    <w:rsid w:val="002468C9"/>
    <w:rsid w:val="00246B3C"/>
    <w:rsid w:val="00246EDF"/>
    <w:rsid w:val="00247005"/>
    <w:rsid w:val="00247AE1"/>
    <w:rsid w:val="002505D9"/>
    <w:rsid w:val="002523F4"/>
    <w:rsid w:val="002524F7"/>
    <w:rsid w:val="00252C2B"/>
    <w:rsid w:val="002532F2"/>
    <w:rsid w:val="00253535"/>
    <w:rsid w:val="002543BB"/>
    <w:rsid w:val="00254C2F"/>
    <w:rsid w:val="00254F05"/>
    <w:rsid w:val="0025547B"/>
    <w:rsid w:val="00257AA9"/>
    <w:rsid w:val="00257FA9"/>
    <w:rsid w:val="002608D7"/>
    <w:rsid w:val="0026095A"/>
    <w:rsid w:val="00260B61"/>
    <w:rsid w:val="00261824"/>
    <w:rsid w:val="002619B5"/>
    <w:rsid w:val="00262539"/>
    <w:rsid w:val="002632FE"/>
    <w:rsid w:val="00264437"/>
    <w:rsid w:val="00264A3B"/>
    <w:rsid w:val="00265DC5"/>
    <w:rsid w:val="0026777F"/>
    <w:rsid w:val="00270481"/>
    <w:rsid w:val="00270FD4"/>
    <w:rsid w:val="002713D0"/>
    <w:rsid w:val="00272294"/>
    <w:rsid w:val="00272542"/>
    <w:rsid w:val="00272E0A"/>
    <w:rsid w:val="002733D7"/>
    <w:rsid w:val="00273B5D"/>
    <w:rsid w:val="00273E2F"/>
    <w:rsid w:val="0027439A"/>
    <w:rsid w:val="00274FA0"/>
    <w:rsid w:val="002757CB"/>
    <w:rsid w:val="00275DA1"/>
    <w:rsid w:val="00276602"/>
    <w:rsid w:val="002773F5"/>
    <w:rsid w:val="002774AA"/>
    <w:rsid w:val="00277B7C"/>
    <w:rsid w:val="00277F8E"/>
    <w:rsid w:val="0028071C"/>
    <w:rsid w:val="00280800"/>
    <w:rsid w:val="00282AD7"/>
    <w:rsid w:val="00283031"/>
    <w:rsid w:val="0028324E"/>
    <w:rsid w:val="002832A3"/>
    <w:rsid w:val="00283484"/>
    <w:rsid w:val="00283ACE"/>
    <w:rsid w:val="00283B09"/>
    <w:rsid w:val="00284703"/>
    <w:rsid w:val="00285B31"/>
    <w:rsid w:val="00285E5D"/>
    <w:rsid w:val="00287735"/>
    <w:rsid w:val="0028794D"/>
    <w:rsid w:val="0029001C"/>
    <w:rsid w:val="002900C0"/>
    <w:rsid w:val="00290C3D"/>
    <w:rsid w:val="002934AA"/>
    <w:rsid w:val="0029370A"/>
    <w:rsid w:val="00296600"/>
    <w:rsid w:val="00296ABF"/>
    <w:rsid w:val="00297499"/>
    <w:rsid w:val="0029767B"/>
    <w:rsid w:val="002976CD"/>
    <w:rsid w:val="00297B17"/>
    <w:rsid w:val="002A032A"/>
    <w:rsid w:val="002A2B0C"/>
    <w:rsid w:val="002A2C00"/>
    <w:rsid w:val="002A36EF"/>
    <w:rsid w:val="002A44D1"/>
    <w:rsid w:val="002A4C24"/>
    <w:rsid w:val="002A4D6A"/>
    <w:rsid w:val="002A5817"/>
    <w:rsid w:val="002A7D01"/>
    <w:rsid w:val="002B0011"/>
    <w:rsid w:val="002B0CB4"/>
    <w:rsid w:val="002B16B0"/>
    <w:rsid w:val="002B2E96"/>
    <w:rsid w:val="002B602F"/>
    <w:rsid w:val="002C013B"/>
    <w:rsid w:val="002C01F5"/>
    <w:rsid w:val="002C0C26"/>
    <w:rsid w:val="002C0D93"/>
    <w:rsid w:val="002C1CB6"/>
    <w:rsid w:val="002C3A95"/>
    <w:rsid w:val="002C480B"/>
    <w:rsid w:val="002C4889"/>
    <w:rsid w:val="002C4A18"/>
    <w:rsid w:val="002C5678"/>
    <w:rsid w:val="002D090E"/>
    <w:rsid w:val="002D09AD"/>
    <w:rsid w:val="002D1252"/>
    <w:rsid w:val="002D1AB6"/>
    <w:rsid w:val="002D3F43"/>
    <w:rsid w:val="002D4467"/>
    <w:rsid w:val="002D449C"/>
    <w:rsid w:val="002D49B1"/>
    <w:rsid w:val="002D4E54"/>
    <w:rsid w:val="002D5637"/>
    <w:rsid w:val="002D5AAD"/>
    <w:rsid w:val="002D6059"/>
    <w:rsid w:val="002D6685"/>
    <w:rsid w:val="002D75C2"/>
    <w:rsid w:val="002D7EC2"/>
    <w:rsid w:val="002E0397"/>
    <w:rsid w:val="002E2A37"/>
    <w:rsid w:val="002E3B7B"/>
    <w:rsid w:val="002E5825"/>
    <w:rsid w:val="002E592F"/>
    <w:rsid w:val="002E5B8E"/>
    <w:rsid w:val="002E6203"/>
    <w:rsid w:val="002E658A"/>
    <w:rsid w:val="002E761E"/>
    <w:rsid w:val="002E783D"/>
    <w:rsid w:val="002F0434"/>
    <w:rsid w:val="002F0AAF"/>
    <w:rsid w:val="002F113B"/>
    <w:rsid w:val="002F253E"/>
    <w:rsid w:val="002F3A2B"/>
    <w:rsid w:val="002F3E3B"/>
    <w:rsid w:val="002F4024"/>
    <w:rsid w:val="002F558C"/>
    <w:rsid w:val="002F6D86"/>
    <w:rsid w:val="002F6F71"/>
    <w:rsid w:val="002F767F"/>
    <w:rsid w:val="0030159B"/>
    <w:rsid w:val="00302D49"/>
    <w:rsid w:val="003038B3"/>
    <w:rsid w:val="0030416C"/>
    <w:rsid w:val="00304CF5"/>
    <w:rsid w:val="00304E79"/>
    <w:rsid w:val="0030544B"/>
    <w:rsid w:val="00306BC8"/>
    <w:rsid w:val="003118A3"/>
    <w:rsid w:val="00311C9A"/>
    <w:rsid w:val="00311CBF"/>
    <w:rsid w:val="00314AAE"/>
    <w:rsid w:val="00314FCE"/>
    <w:rsid w:val="0031677C"/>
    <w:rsid w:val="003175F0"/>
    <w:rsid w:val="00321026"/>
    <w:rsid w:val="00321661"/>
    <w:rsid w:val="003216F2"/>
    <w:rsid w:val="003225FE"/>
    <w:rsid w:val="00322715"/>
    <w:rsid w:val="003232A5"/>
    <w:rsid w:val="00323DDB"/>
    <w:rsid w:val="0032533B"/>
    <w:rsid w:val="00326D0C"/>
    <w:rsid w:val="0033054D"/>
    <w:rsid w:val="00330AB1"/>
    <w:rsid w:val="00330DA8"/>
    <w:rsid w:val="003312F1"/>
    <w:rsid w:val="00331FEB"/>
    <w:rsid w:val="00332656"/>
    <w:rsid w:val="003331ED"/>
    <w:rsid w:val="00333F93"/>
    <w:rsid w:val="003346C1"/>
    <w:rsid w:val="003348EE"/>
    <w:rsid w:val="00334F39"/>
    <w:rsid w:val="00335649"/>
    <w:rsid w:val="00336493"/>
    <w:rsid w:val="00336F3F"/>
    <w:rsid w:val="00337F41"/>
    <w:rsid w:val="003422F4"/>
    <w:rsid w:val="00342D9D"/>
    <w:rsid w:val="003438F9"/>
    <w:rsid w:val="003449BD"/>
    <w:rsid w:val="00346EFD"/>
    <w:rsid w:val="003475AE"/>
    <w:rsid w:val="003479BD"/>
    <w:rsid w:val="0035029A"/>
    <w:rsid w:val="00350859"/>
    <w:rsid w:val="00350C07"/>
    <w:rsid w:val="003512A0"/>
    <w:rsid w:val="00351F8A"/>
    <w:rsid w:val="0035376D"/>
    <w:rsid w:val="0035416B"/>
    <w:rsid w:val="00354559"/>
    <w:rsid w:val="0035533F"/>
    <w:rsid w:val="00355E91"/>
    <w:rsid w:val="00356275"/>
    <w:rsid w:val="003566A2"/>
    <w:rsid w:val="003569FE"/>
    <w:rsid w:val="003576C4"/>
    <w:rsid w:val="00360DC4"/>
    <w:rsid w:val="00361690"/>
    <w:rsid w:val="00361892"/>
    <w:rsid w:val="00362106"/>
    <w:rsid w:val="00362A63"/>
    <w:rsid w:val="00364CEA"/>
    <w:rsid w:val="003650B9"/>
    <w:rsid w:val="00365F8A"/>
    <w:rsid w:val="0036627B"/>
    <w:rsid w:val="00367246"/>
    <w:rsid w:val="003705D6"/>
    <w:rsid w:val="00370C58"/>
    <w:rsid w:val="00371471"/>
    <w:rsid w:val="003723DF"/>
    <w:rsid w:val="00372AE8"/>
    <w:rsid w:val="003730B5"/>
    <w:rsid w:val="00373709"/>
    <w:rsid w:val="003742DC"/>
    <w:rsid w:val="00375A47"/>
    <w:rsid w:val="003772E8"/>
    <w:rsid w:val="003773EE"/>
    <w:rsid w:val="00377594"/>
    <w:rsid w:val="00377AAA"/>
    <w:rsid w:val="00380145"/>
    <w:rsid w:val="00380A17"/>
    <w:rsid w:val="00380A5D"/>
    <w:rsid w:val="00380BB5"/>
    <w:rsid w:val="0038154A"/>
    <w:rsid w:val="0038177A"/>
    <w:rsid w:val="00383121"/>
    <w:rsid w:val="003831B9"/>
    <w:rsid w:val="00383674"/>
    <w:rsid w:val="00383CF9"/>
    <w:rsid w:val="00384CE2"/>
    <w:rsid w:val="0038566C"/>
    <w:rsid w:val="003866A1"/>
    <w:rsid w:val="00387AFA"/>
    <w:rsid w:val="00390510"/>
    <w:rsid w:val="00390708"/>
    <w:rsid w:val="003908A7"/>
    <w:rsid w:val="003914C9"/>
    <w:rsid w:val="00393EA5"/>
    <w:rsid w:val="00394C04"/>
    <w:rsid w:val="00395015"/>
    <w:rsid w:val="003953B5"/>
    <w:rsid w:val="003957FA"/>
    <w:rsid w:val="00395C35"/>
    <w:rsid w:val="00396A4E"/>
    <w:rsid w:val="003972E0"/>
    <w:rsid w:val="00397D98"/>
    <w:rsid w:val="003A0957"/>
    <w:rsid w:val="003A0F00"/>
    <w:rsid w:val="003A0F25"/>
    <w:rsid w:val="003A1125"/>
    <w:rsid w:val="003A1F38"/>
    <w:rsid w:val="003A1F90"/>
    <w:rsid w:val="003A4D82"/>
    <w:rsid w:val="003A6F94"/>
    <w:rsid w:val="003A78ED"/>
    <w:rsid w:val="003B1043"/>
    <w:rsid w:val="003B10B5"/>
    <w:rsid w:val="003B11EE"/>
    <w:rsid w:val="003B129E"/>
    <w:rsid w:val="003B1943"/>
    <w:rsid w:val="003B1C62"/>
    <w:rsid w:val="003B265B"/>
    <w:rsid w:val="003B2A7C"/>
    <w:rsid w:val="003B2DAF"/>
    <w:rsid w:val="003B30F6"/>
    <w:rsid w:val="003B409A"/>
    <w:rsid w:val="003B4F5C"/>
    <w:rsid w:val="003B5674"/>
    <w:rsid w:val="003B5CA1"/>
    <w:rsid w:val="003B5F34"/>
    <w:rsid w:val="003B6683"/>
    <w:rsid w:val="003B696E"/>
    <w:rsid w:val="003C106A"/>
    <w:rsid w:val="003C1580"/>
    <w:rsid w:val="003C295A"/>
    <w:rsid w:val="003C3417"/>
    <w:rsid w:val="003C6B32"/>
    <w:rsid w:val="003D0215"/>
    <w:rsid w:val="003D0788"/>
    <w:rsid w:val="003D08FA"/>
    <w:rsid w:val="003D0902"/>
    <w:rsid w:val="003D1615"/>
    <w:rsid w:val="003D1757"/>
    <w:rsid w:val="003D5436"/>
    <w:rsid w:val="003D7C08"/>
    <w:rsid w:val="003D7DBC"/>
    <w:rsid w:val="003E01E6"/>
    <w:rsid w:val="003E030B"/>
    <w:rsid w:val="003E09FA"/>
    <w:rsid w:val="003E0DDF"/>
    <w:rsid w:val="003E10DD"/>
    <w:rsid w:val="003E2177"/>
    <w:rsid w:val="003E228A"/>
    <w:rsid w:val="003E2398"/>
    <w:rsid w:val="003E2BEC"/>
    <w:rsid w:val="003E34E3"/>
    <w:rsid w:val="003E51C0"/>
    <w:rsid w:val="003E540C"/>
    <w:rsid w:val="003E5AEB"/>
    <w:rsid w:val="003E64F2"/>
    <w:rsid w:val="003E68CE"/>
    <w:rsid w:val="003E764D"/>
    <w:rsid w:val="003E7855"/>
    <w:rsid w:val="003F0053"/>
    <w:rsid w:val="003F0EF7"/>
    <w:rsid w:val="003F1258"/>
    <w:rsid w:val="003F17D9"/>
    <w:rsid w:val="003F31F1"/>
    <w:rsid w:val="003F37D2"/>
    <w:rsid w:val="003F5E58"/>
    <w:rsid w:val="003F5E73"/>
    <w:rsid w:val="003F6F9D"/>
    <w:rsid w:val="004001F4"/>
    <w:rsid w:val="00400DD7"/>
    <w:rsid w:val="0040180C"/>
    <w:rsid w:val="00401BB0"/>
    <w:rsid w:val="0040412E"/>
    <w:rsid w:val="00404518"/>
    <w:rsid w:val="00405A8C"/>
    <w:rsid w:val="00405B16"/>
    <w:rsid w:val="00406BC1"/>
    <w:rsid w:val="004103BE"/>
    <w:rsid w:val="004103FC"/>
    <w:rsid w:val="0041066A"/>
    <w:rsid w:val="00410933"/>
    <w:rsid w:val="004113B9"/>
    <w:rsid w:val="004114DF"/>
    <w:rsid w:val="00411547"/>
    <w:rsid w:val="00411748"/>
    <w:rsid w:val="00413D50"/>
    <w:rsid w:val="0041428B"/>
    <w:rsid w:val="00416E05"/>
    <w:rsid w:val="00417E80"/>
    <w:rsid w:val="00423DD5"/>
    <w:rsid w:val="00424E2D"/>
    <w:rsid w:val="00425A6B"/>
    <w:rsid w:val="00426976"/>
    <w:rsid w:val="00427404"/>
    <w:rsid w:val="00427733"/>
    <w:rsid w:val="0043092F"/>
    <w:rsid w:val="004311B7"/>
    <w:rsid w:val="00431D5E"/>
    <w:rsid w:val="00432C77"/>
    <w:rsid w:val="0043363E"/>
    <w:rsid w:val="0043433B"/>
    <w:rsid w:val="00434D83"/>
    <w:rsid w:val="00435600"/>
    <w:rsid w:val="00437985"/>
    <w:rsid w:val="00437A4F"/>
    <w:rsid w:val="00440A9A"/>
    <w:rsid w:val="004425F1"/>
    <w:rsid w:val="00443051"/>
    <w:rsid w:val="004433DB"/>
    <w:rsid w:val="00443687"/>
    <w:rsid w:val="00443DAC"/>
    <w:rsid w:val="0044455B"/>
    <w:rsid w:val="00444726"/>
    <w:rsid w:val="00447CD4"/>
    <w:rsid w:val="004521FF"/>
    <w:rsid w:val="00454179"/>
    <w:rsid w:val="004542D4"/>
    <w:rsid w:val="004548D9"/>
    <w:rsid w:val="00454904"/>
    <w:rsid w:val="0045490D"/>
    <w:rsid w:val="00456358"/>
    <w:rsid w:val="004563BA"/>
    <w:rsid w:val="00456F79"/>
    <w:rsid w:val="00457BE2"/>
    <w:rsid w:val="0046310E"/>
    <w:rsid w:val="004634EE"/>
    <w:rsid w:val="00463DB1"/>
    <w:rsid w:val="00464E14"/>
    <w:rsid w:val="00465828"/>
    <w:rsid w:val="00466041"/>
    <w:rsid w:val="0046749B"/>
    <w:rsid w:val="004674D1"/>
    <w:rsid w:val="00470835"/>
    <w:rsid w:val="0047083F"/>
    <w:rsid w:val="00471034"/>
    <w:rsid w:val="0047165F"/>
    <w:rsid w:val="00471C83"/>
    <w:rsid w:val="00471E2F"/>
    <w:rsid w:val="004721F4"/>
    <w:rsid w:val="00472B35"/>
    <w:rsid w:val="00472F68"/>
    <w:rsid w:val="00474C1A"/>
    <w:rsid w:val="00475240"/>
    <w:rsid w:val="004752EC"/>
    <w:rsid w:val="00475D0E"/>
    <w:rsid w:val="00476040"/>
    <w:rsid w:val="00481523"/>
    <w:rsid w:val="00481550"/>
    <w:rsid w:val="00481C10"/>
    <w:rsid w:val="004824E2"/>
    <w:rsid w:val="00483102"/>
    <w:rsid w:val="00483F8C"/>
    <w:rsid w:val="00484174"/>
    <w:rsid w:val="004851A4"/>
    <w:rsid w:val="004853B3"/>
    <w:rsid w:val="00485DF6"/>
    <w:rsid w:val="004878BE"/>
    <w:rsid w:val="0048799C"/>
    <w:rsid w:val="00492734"/>
    <w:rsid w:val="0049321C"/>
    <w:rsid w:val="00494749"/>
    <w:rsid w:val="004952D7"/>
    <w:rsid w:val="00496695"/>
    <w:rsid w:val="004A06A3"/>
    <w:rsid w:val="004A0D88"/>
    <w:rsid w:val="004A111F"/>
    <w:rsid w:val="004A1BAE"/>
    <w:rsid w:val="004A2BC5"/>
    <w:rsid w:val="004A359E"/>
    <w:rsid w:val="004A3883"/>
    <w:rsid w:val="004A3C79"/>
    <w:rsid w:val="004A3D68"/>
    <w:rsid w:val="004A70B3"/>
    <w:rsid w:val="004A74F9"/>
    <w:rsid w:val="004A7BEE"/>
    <w:rsid w:val="004B1C5B"/>
    <w:rsid w:val="004B1E42"/>
    <w:rsid w:val="004B31F7"/>
    <w:rsid w:val="004B4301"/>
    <w:rsid w:val="004B4D36"/>
    <w:rsid w:val="004B509F"/>
    <w:rsid w:val="004B7C14"/>
    <w:rsid w:val="004C106C"/>
    <w:rsid w:val="004C130C"/>
    <w:rsid w:val="004C1D84"/>
    <w:rsid w:val="004C29BB"/>
    <w:rsid w:val="004C3181"/>
    <w:rsid w:val="004C4396"/>
    <w:rsid w:val="004C466B"/>
    <w:rsid w:val="004C49A3"/>
    <w:rsid w:val="004C6EA5"/>
    <w:rsid w:val="004D0775"/>
    <w:rsid w:val="004D09F4"/>
    <w:rsid w:val="004D1707"/>
    <w:rsid w:val="004D1D41"/>
    <w:rsid w:val="004D2903"/>
    <w:rsid w:val="004D292F"/>
    <w:rsid w:val="004D2FE3"/>
    <w:rsid w:val="004D349B"/>
    <w:rsid w:val="004D4A0B"/>
    <w:rsid w:val="004D52E1"/>
    <w:rsid w:val="004D5B08"/>
    <w:rsid w:val="004D66F6"/>
    <w:rsid w:val="004D6CE4"/>
    <w:rsid w:val="004D6DB4"/>
    <w:rsid w:val="004E1865"/>
    <w:rsid w:val="004E1C51"/>
    <w:rsid w:val="004E1CC4"/>
    <w:rsid w:val="004E29B7"/>
    <w:rsid w:val="004E42D5"/>
    <w:rsid w:val="004E69D0"/>
    <w:rsid w:val="004E7310"/>
    <w:rsid w:val="004E77B6"/>
    <w:rsid w:val="004F00FA"/>
    <w:rsid w:val="004F0913"/>
    <w:rsid w:val="004F0DEE"/>
    <w:rsid w:val="004F10E8"/>
    <w:rsid w:val="004F14F9"/>
    <w:rsid w:val="004F24EE"/>
    <w:rsid w:val="004F2D76"/>
    <w:rsid w:val="004F3124"/>
    <w:rsid w:val="004F3250"/>
    <w:rsid w:val="004F3502"/>
    <w:rsid w:val="004F4306"/>
    <w:rsid w:val="004F4C62"/>
    <w:rsid w:val="004F51F2"/>
    <w:rsid w:val="004F6B87"/>
    <w:rsid w:val="004F71A6"/>
    <w:rsid w:val="00500238"/>
    <w:rsid w:val="0050134D"/>
    <w:rsid w:val="00502BB1"/>
    <w:rsid w:val="00502E2B"/>
    <w:rsid w:val="00502FFD"/>
    <w:rsid w:val="005030BF"/>
    <w:rsid w:val="0050333F"/>
    <w:rsid w:val="00503832"/>
    <w:rsid w:val="00503AF4"/>
    <w:rsid w:val="00503F62"/>
    <w:rsid w:val="0050617C"/>
    <w:rsid w:val="00506189"/>
    <w:rsid w:val="005061BC"/>
    <w:rsid w:val="00506294"/>
    <w:rsid w:val="00507103"/>
    <w:rsid w:val="00507E20"/>
    <w:rsid w:val="005101A6"/>
    <w:rsid w:val="00510AFC"/>
    <w:rsid w:val="005123FF"/>
    <w:rsid w:val="005138A9"/>
    <w:rsid w:val="00514D31"/>
    <w:rsid w:val="00515B7F"/>
    <w:rsid w:val="0051666E"/>
    <w:rsid w:val="00516A7F"/>
    <w:rsid w:val="0052092C"/>
    <w:rsid w:val="00521561"/>
    <w:rsid w:val="005218DA"/>
    <w:rsid w:val="00521D4A"/>
    <w:rsid w:val="00522150"/>
    <w:rsid w:val="005253AC"/>
    <w:rsid w:val="00526119"/>
    <w:rsid w:val="005307CA"/>
    <w:rsid w:val="005309E0"/>
    <w:rsid w:val="005309FD"/>
    <w:rsid w:val="00533ED5"/>
    <w:rsid w:val="00534637"/>
    <w:rsid w:val="005352CF"/>
    <w:rsid w:val="00535924"/>
    <w:rsid w:val="00536AA2"/>
    <w:rsid w:val="0053707B"/>
    <w:rsid w:val="005372E2"/>
    <w:rsid w:val="005379D2"/>
    <w:rsid w:val="00540E41"/>
    <w:rsid w:val="0054128C"/>
    <w:rsid w:val="00541DBB"/>
    <w:rsid w:val="0054229A"/>
    <w:rsid w:val="00544F41"/>
    <w:rsid w:val="00545075"/>
    <w:rsid w:val="00545961"/>
    <w:rsid w:val="00546B82"/>
    <w:rsid w:val="00546F12"/>
    <w:rsid w:val="005474AD"/>
    <w:rsid w:val="00547F73"/>
    <w:rsid w:val="00547FE3"/>
    <w:rsid w:val="00551473"/>
    <w:rsid w:val="00551695"/>
    <w:rsid w:val="00551713"/>
    <w:rsid w:val="00552789"/>
    <w:rsid w:val="00553121"/>
    <w:rsid w:val="00555BF2"/>
    <w:rsid w:val="00556218"/>
    <w:rsid w:val="005566B9"/>
    <w:rsid w:val="005573B7"/>
    <w:rsid w:val="005576F5"/>
    <w:rsid w:val="00557C3F"/>
    <w:rsid w:val="00557FB6"/>
    <w:rsid w:val="0056097C"/>
    <w:rsid w:val="00562EF6"/>
    <w:rsid w:val="00562FC5"/>
    <w:rsid w:val="005636B4"/>
    <w:rsid w:val="0056373F"/>
    <w:rsid w:val="00565371"/>
    <w:rsid w:val="00566347"/>
    <w:rsid w:val="00566713"/>
    <w:rsid w:val="0056743D"/>
    <w:rsid w:val="00567960"/>
    <w:rsid w:val="00570EE8"/>
    <w:rsid w:val="005739DB"/>
    <w:rsid w:val="00575959"/>
    <w:rsid w:val="0057604E"/>
    <w:rsid w:val="00576CD6"/>
    <w:rsid w:val="00577395"/>
    <w:rsid w:val="00577EAF"/>
    <w:rsid w:val="0058000D"/>
    <w:rsid w:val="00580842"/>
    <w:rsid w:val="00582189"/>
    <w:rsid w:val="00582706"/>
    <w:rsid w:val="0058291F"/>
    <w:rsid w:val="005830C0"/>
    <w:rsid w:val="00583F6C"/>
    <w:rsid w:val="005854A0"/>
    <w:rsid w:val="00585541"/>
    <w:rsid w:val="00585E05"/>
    <w:rsid w:val="00586EC0"/>
    <w:rsid w:val="005937E4"/>
    <w:rsid w:val="00594E59"/>
    <w:rsid w:val="00594EE7"/>
    <w:rsid w:val="00595A68"/>
    <w:rsid w:val="005964D5"/>
    <w:rsid w:val="00596D62"/>
    <w:rsid w:val="00596DFC"/>
    <w:rsid w:val="005A01EF"/>
    <w:rsid w:val="005A0595"/>
    <w:rsid w:val="005A1961"/>
    <w:rsid w:val="005A1DC6"/>
    <w:rsid w:val="005A2674"/>
    <w:rsid w:val="005A2C5B"/>
    <w:rsid w:val="005A35F0"/>
    <w:rsid w:val="005A4A5F"/>
    <w:rsid w:val="005A57D6"/>
    <w:rsid w:val="005A6077"/>
    <w:rsid w:val="005A6481"/>
    <w:rsid w:val="005A6E25"/>
    <w:rsid w:val="005B3451"/>
    <w:rsid w:val="005B356D"/>
    <w:rsid w:val="005B384A"/>
    <w:rsid w:val="005B4CF3"/>
    <w:rsid w:val="005B76F9"/>
    <w:rsid w:val="005B78DF"/>
    <w:rsid w:val="005C0738"/>
    <w:rsid w:val="005C13E6"/>
    <w:rsid w:val="005C15D6"/>
    <w:rsid w:val="005C42E0"/>
    <w:rsid w:val="005C5138"/>
    <w:rsid w:val="005C5830"/>
    <w:rsid w:val="005C641B"/>
    <w:rsid w:val="005C66B8"/>
    <w:rsid w:val="005D1294"/>
    <w:rsid w:val="005D4043"/>
    <w:rsid w:val="005D458F"/>
    <w:rsid w:val="005D4729"/>
    <w:rsid w:val="005D5307"/>
    <w:rsid w:val="005D5831"/>
    <w:rsid w:val="005D5966"/>
    <w:rsid w:val="005D5987"/>
    <w:rsid w:val="005D6703"/>
    <w:rsid w:val="005D6B39"/>
    <w:rsid w:val="005D6F6C"/>
    <w:rsid w:val="005E01E4"/>
    <w:rsid w:val="005E2573"/>
    <w:rsid w:val="005E3DB0"/>
    <w:rsid w:val="005E5FA4"/>
    <w:rsid w:val="005E78F1"/>
    <w:rsid w:val="005F0E08"/>
    <w:rsid w:val="005F101C"/>
    <w:rsid w:val="005F13DC"/>
    <w:rsid w:val="005F17F9"/>
    <w:rsid w:val="005F1920"/>
    <w:rsid w:val="005F1AA9"/>
    <w:rsid w:val="005F2DDA"/>
    <w:rsid w:val="005F31B1"/>
    <w:rsid w:val="005F5964"/>
    <w:rsid w:val="005F665D"/>
    <w:rsid w:val="005F6F85"/>
    <w:rsid w:val="005F70D7"/>
    <w:rsid w:val="00600038"/>
    <w:rsid w:val="0060071D"/>
    <w:rsid w:val="00601ECF"/>
    <w:rsid w:val="00603853"/>
    <w:rsid w:val="00604D5C"/>
    <w:rsid w:val="00606838"/>
    <w:rsid w:val="0060776E"/>
    <w:rsid w:val="00607903"/>
    <w:rsid w:val="00611026"/>
    <w:rsid w:val="00611AA3"/>
    <w:rsid w:val="00611FCD"/>
    <w:rsid w:val="0061230D"/>
    <w:rsid w:val="00612328"/>
    <w:rsid w:val="006126BB"/>
    <w:rsid w:val="00613170"/>
    <w:rsid w:val="00613770"/>
    <w:rsid w:val="006146FA"/>
    <w:rsid w:val="00614746"/>
    <w:rsid w:val="006149AC"/>
    <w:rsid w:val="006157BD"/>
    <w:rsid w:val="00615EA1"/>
    <w:rsid w:val="00616F87"/>
    <w:rsid w:val="00620316"/>
    <w:rsid w:val="006219F8"/>
    <w:rsid w:val="006235EC"/>
    <w:rsid w:val="00623BC1"/>
    <w:rsid w:val="00624B50"/>
    <w:rsid w:val="006268F5"/>
    <w:rsid w:val="00626965"/>
    <w:rsid w:val="006278CC"/>
    <w:rsid w:val="00627A48"/>
    <w:rsid w:val="00630DA2"/>
    <w:rsid w:val="00631B30"/>
    <w:rsid w:val="00631C68"/>
    <w:rsid w:val="006325B3"/>
    <w:rsid w:val="00633484"/>
    <w:rsid w:val="00633F12"/>
    <w:rsid w:val="006378C0"/>
    <w:rsid w:val="00640210"/>
    <w:rsid w:val="00640B95"/>
    <w:rsid w:val="00640C6D"/>
    <w:rsid w:val="006425F6"/>
    <w:rsid w:val="006462A4"/>
    <w:rsid w:val="006468C8"/>
    <w:rsid w:val="0065247B"/>
    <w:rsid w:val="00652E2F"/>
    <w:rsid w:val="0065500D"/>
    <w:rsid w:val="006562F5"/>
    <w:rsid w:val="00657A82"/>
    <w:rsid w:val="00657D7B"/>
    <w:rsid w:val="006604AF"/>
    <w:rsid w:val="00661056"/>
    <w:rsid w:val="00662622"/>
    <w:rsid w:val="00662C3F"/>
    <w:rsid w:val="00663384"/>
    <w:rsid w:val="006638B7"/>
    <w:rsid w:val="0066477D"/>
    <w:rsid w:val="00664D8C"/>
    <w:rsid w:val="00665AAB"/>
    <w:rsid w:val="006665AA"/>
    <w:rsid w:val="0067074B"/>
    <w:rsid w:val="00671EA3"/>
    <w:rsid w:val="00671EE6"/>
    <w:rsid w:val="00671F4F"/>
    <w:rsid w:val="00672903"/>
    <w:rsid w:val="0067317B"/>
    <w:rsid w:val="006738E6"/>
    <w:rsid w:val="00674808"/>
    <w:rsid w:val="0067571E"/>
    <w:rsid w:val="00675A46"/>
    <w:rsid w:val="006768F1"/>
    <w:rsid w:val="006809F2"/>
    <w:rsid w:val="006810A9"/>
    <w:rsid w:val="0068117E"/>
    <w:rsid w:val="00681386"/>
    <w:rsid w:val="00682152"/>
    <w:rsid w:val="00683C39"/>
    <w:rsid w:val="00683E5F"/>
    <w:rsid w:val="00684010"/>
    <w:rsid w:val="006877D1"/>
    <w:rsid w:val="006904DB"/>
    <w:rsid w:val="00690650"/>
    <w:rsid w:val="00691777"/>
    <w:rsid w:val="00691785"/>
    <w:rsid w:val="006919E5"/>
    <w:rsid w:val="00691D17"/>
    <w:rsid w:val="006923ED"/>
    <w:rsid w:val="00693203"/>
    <w:rsid w:val="00694087"/>
    <w:rsid w:val="00696739"/>
    <w:rsid w:val="00696755"/>
    <w:rsid w:val="006A0471"/>
    <w:rsid w:val="006A064A"/>
    <w:rsid w:val="006A151A"/>
    <w:rsid w:val="006A1A9A"/>
    <w:rsid w:val="006A1F19"/>
    <w:rsid w:val="006A219A"/>
    <w:rsid w:val="006A274A"/>
    <w:rsid w:val="006A291F"/>
    <w:rsid w:val="006A29E0"/>
    <w:rsid w:val="006A304E"/>
    <w:rsid w:val="006A3F2D"/>
    <w:rsid w:val="006A4C85"/>
    <w:rsid w:val="006A5ECE"/>
    <w:rsid w:val="006A60C1"/>
    <w:rsid w:val="006A6560"/>
    <w:rsid w:val="006A6708"/>
    <w:rsid w:val="006A6A88"/>
    <w:rsid w:val="006A6E19"/>
    <w:rsid w:val="006A71E4"/>
    <w:rsid w:val="006A754C"/>
    <w:rsid w:val="006B0800"/>
    <w:rsid w:val="006B21EB"/>
    <w:rsid w:val="006B2B19"/>
    <w:rsid w:val="006B3058"/>
    <w:rsid w:val="006B34A8"/>
    <w:rsid w:val="006B3D69"/>
    <w:rsid w:val="006B5AE4"/>
    <w:rsid w:val="006B617E"/>
    <w:rsid w:val="006B61B1"/>
    <w:rsid w:val="006B63C4"/>
    <w:rsid w:val="006B6575"/>
    <w:rsid w:val="006B6897"/>
    <w:rsid w:val="006B788C"/>
    <w:rsid w:val="006B7B55"/>
    <w:rsid w:val="006C073D"/>
    <w:rsid w:val="006C07E0"/>
    <w:rsid w:val="006C58D3"/>
    <w:rsid w:val="006C656E"/>
    <w:rsid w:val="006C7513"/>
    <w:rsid w:val="006D0407"/>
    <w:rsid w:val="006D07D3"/>
    <w:rsid w:val="006D08DE"/>
    <w:rsid w:val="006D2126"/>
    <w:rsid w:val="006D2770"/>
    <w:rsid w:val="006D2DF8"/>
    <w:rsid w:val="006D3B34"/>
    <w:rsid w:val="006D4074"/>
    <w:rsid w:val="006D7A19"/>
    <w:rsid w:val="006E03C1"/>
    <w:rsid w:val="006E1DC4"/>
    <w:rsid w:val="006E236B"/>
    <w:rsid w:val="006E440C"/>
    <w:rsid w:val="006E6026"/>
    <w:rsid w:val="006E62C2"/>
    <w:rsid w:val="006E659F"/>
    <w:rsid w:val="006E727E"/>
    <w:rsid w:val="006E736D"/>
    <w:rsid w:val="006F016E"/>
    <w:rsid w:val="006F0C08"/>
    <w:rsid w:val="006F1961"/>
    <w:rsid w:val="006F22AD"/>
    <w:rsid w:val="006F2FBF"/>
    <w:rsid w:val="006F40A4"/>
    <w:rsid w:val="006F46EB"/>
    <w:rsid w:val="006F46F6"/>
    <w:rsid w:val="006F480A"/>
    <w:rsid w:val="006F5756"/>
    <w:rsid w:val="006F625F"/>
    <w:rsid w:val="006F66B9"/>
    <w:rsid w:val="006F7685"/>
    <w:rsid w:val="00704091"/>
    <w:rsid w:val="007053B0"/>
    <w:rsid w:val="00705666"/>
    <w:rsid w:val="00706635"/>
    <w:rsid w:val="00706E14"/>
    <w:rsid w:val="007111BE"/>
    <w:rsid w:val="0071205C"/>
    <w:rsid w:val="007121D9"/>
    <w:rsid w:val="0071237F"/>
    <w:rsid w:val="00713BE2"/>
    <w:rsid w:val="0071512B"/>
    <w:rsid w:val="007159B2"/>
    <w:rsid w:val="00716162"/>
    <w:rsid w:val="007208F1"/>
    <w:rsid w:val="007210F4"/>
    <w:rsid w:val="00721908"/>
    <w:rsid w:val="0072267B"/>
    <w:rsid w:val="00722A52"/>
    <w:rsid w:val="00722C98"/>
    <w:rsid w:val="00723666"/>
    <w:rsid w:val="007244BC"/>
    <w:rsid w:val="00725623"/>
    <w:rsid w:val="007257C4"/>
    <w:rsid w:val="00725F7C"/>
    <w:rsid w:val="0072635B"/>
    <w:rsid w:val="00726A0A"/>
    <w:rsid w:val="00727FCB"/>
    <w:rsid w:val="007305E6"/>
    <w:rsid w:val="00730FB1"/>
    <w:rsid w:val="00731ECF"/>
    <w:rsid w:val="0073325B"/>
    <w:rsid w:val="00733661"/>
    <w:rsid w:val="00736D20"/>
    <w:rsid w:val="00737EAC"/>
    <w:rsid w:val="0074129B"/>
    <w:rsid w:val="00741419"/>
    <w:rsid w:val="0074295C"/>
    <w:rsid w:val="00742D7E"/>
    <w:rsid w:val="0074314F"/>
    <w:rsid w:val="0074408D"/>
    <w:rsid w:val="0074584C"/>
    <w:rsid w:val="00746070"/>
    <w:rsid w:val="00746527"/>
    <w:rsid w:val="007501EB"/>
    <w:rsid w:val="007502E2"/>
    <w:rsid w:val="00750F7B"/>
    <w:rsid w:val="00752432"/>
    <w:rsid w:val="00753BE6"/>
    <w:rsid w:val="00753FE6"/>
    <w:rsid w:val="00754026"/>
    <w:rsid w:val="00754EF0"/>
    <w:rsid w:val="00755460"/>
    <w:rsid w:val="00756685"/>
    <w:rsid w:val="0075670E"/>
    <w:rsid w:val="00756E41"/>
    <w:rsid w:val="00756EC4"/>
    <w:rsid w:val="00757046"/>
    <w:rsid w:val="00757EB2"/>
    <w:rsid w:val="0076187D"/>
    <w:rsid w:val="00763E28"/>
    <w:rsid w:val="0076444E"/>
    <w:rsid w:val="00765877"/>
    <w:rsid w:val="007668AF"/>
    <w:rsid w:val="00766BA1"/>
    <w:rsid w:val="00766BE6"/>
    <w:rsid w:val="00767724"/>
    <w:rsid w:val="0077049F"/>
    <w:rsid w:val="00770C92"/>
    <w:rsid w:val="00770F61"/>
    <w:rsid w:val="007712D2"/>
    <w:rsid w:val="00772053"/>
    <w:rsid w:val="00772C81"/>
    <w:rsid w:val="00773F72"/>
    <w:rsid w:val="0077400A"/>
    <w:rsid w:val="0077413F"/>
    <w:rsid w:val="00774A25"/>
    <w:rsid w:val="00775169"/>
    <w:rsid w:val="00775BA1"/>
    <w:rsid w:val="00776B74"/>
    <w:rsid w:val="00780FA0"/>
    <w:rsid w:val="007819BD"/>
    <w:rsid w:val="007842B6"/>
    <w:rsid w:val="007846D3"/>
    <w:rsid w:val="00786719"/>
    <w:rsid w:val="0078712E"/>
    <w:rsid w:val="00787357"/>
    <w:rsid w:val="007874C7"/>
    <w:rsid w:val="00787593"/>
    <w:rsid w:val="007906ED"/>
    <w:rsid w:val="00791A74"/>
    <w:rsid w:val="007927E1"/>
    <w:rsid w:val="00792F42"/>
    <w:rsid w:val="007937EE"/>
    <w:rsid w:val="00794365"/>
    <w:rsid w:val="0079460C"/>
    <w:rsid w:val="00794FDB"/>
    <w:rsid w:val="007A18E1"/>
    <w:rsid w:val="007A1F60"/>
    <w:rsid w:val="007A2034"/>
    <w:rsid w:val="007A2C00"/>
    <w:rsid w:val="007A2E05"/>
    <w:rsid w:val="007A4215"/>
    <w:rsid w:val="007A46E0"/>
    <w:rsid w:val="007A4D4F"/>
    <w:rsid w:val="007A4DD6"/>
    <w:rsid w:val="007A50E0"/>
    <w:rsid w:val="007B045F"/>
    <w:rsid w:val="007B0C91"/>
    <w:rsid w:val="007B1C01"/>
    <w:rsid w:val="007B2C11"/>
    <w:rsid w:val="007B3D4D"/>
    <w:rsid w:val="007B6806"/>
    <w:rsid w:val="007B778E"/>
    <w:rsid w:val="007B792E"/>
    <w:rsid w:val="007C022A"/>
    <w:rsid w:val="007C0279"/>
    <w:rsid w:val="007C103D"/>
    <w:rsid w:val="007C1D6E"/>
    <w:rsid w:val="007C2353"/>
    <w:rsid w:val="007C2747"/>
    <w:rsid w:val="007C3873"/>
    <w:rsid w:val="007C704D"/>
    <w:rsid w:val="007C73AA"/>
    <w:rsid w:val="007C7D71"/>
    <w:rsid w:val="007C7F0D"/>
    <w:rsid w:val="007D069C"/>
    <w:rsid w:val="007D0D48"/>
    <w:rsid w:val="007D22C7"/>
    <w:rsid w:val="007D326C"/>
    <w:rsid w:val="007D60A4"/>
    <w:rsid w:val="007D61BF"/>
    <w:rsid w:val="007D7646"/>
    <w:rsid w:val="007E069F"/>
    <w:rsid w:val="007E06A6"/>
    <w:rsid w:val="007E11C7"/>
    <w:rsid w:val="007E14BD"/>
    <w:rsid w:val="007E167C"/>
    <w:rsid w:val="007E16F8"/>
    <w:rsid w:val="007E1708"/>
    <w:rsid w:val="007E2A73"/>
    <w:rsid w:val="007E2B51"/>
    <w:rsid w:val="007E32D3"/>
    <w:rsid w:val="007E3342"/>
    <w:rsid w:val="007E402E"/>
    <w:rsid w:val="007E4726"/>
    <w:rsid w:val="007E4C2A"/>
    <w:rsid w:val="007E6B54"/>
    <w:rsid w:val="007E727F"/>
    <w:rsid w:val="007E7CBF"/>
    <w:rsid w:val="007E7EDB"/>
    <w:rsid w:val="007F05FE"/>
    <w:rsid w:val="007F0BCF"/>
    <w:rsid w:val="007F4622"/>
    <w:rsid w:val="007F6875"/>
    <w:rsid w:val="007F6FC1"/>
    <w:rsid w:val="0080027C"/>
    <w:rsid w:val="008005FE"/>
    <w:rsid w:val="00801E96"/>
    <w:rsid w:val="00802843"/>
    <w:rsid w:val="008035D4"/>
    <w:rsid w:val="0080392C"/>
    <w:rsid w:val="00804780"/>
    <w:rsid w:val="0080580B"/>
    <w:rsid w:val="00805CDD"/>
    <w:rsid w:val="008067AA"/>
    <w:rsid w:val="008068A3"/>
    <w:rsid w:val="00806937"/>
    <w:rsid w:val="00807286"/>
    <w:rsid w:val="00807B07"/>
    <w:rsid w:val="0081382C"/>
    <w:rsid w:val="00813D06"/>
    <w:rsid w:val="0081511B"/>
    <w:rsid w:val="0081530F"/>
    <w:rsid w:val="00816838"/>
    <w:rsid w:val="0081780F"/>
    <w:rsid w:val="00817A4F"/>
    <w:rsid w:val="00817E60"/>
    <w:rsid w:val="008207F8"/>
    <w:rsid w:val="00822170"/>
    <w:rsid w:val="008229C5"/>
    <w:rsid w:val="008229CF"/>
    <w:rsid w:val="00823813"/>
    <w:rsid w:val="00823900"/>
    <w:rsid w:val="00823D37"/>
    <w:rsid w:val="00826854"/>
    <w:rsid w:val="008308C1"/>
    <w:rsid w:val="008309B4"/>
    <w:rsid w:val="00831C1B"/>
    <w:rsid w:val="00831EF6"/>
    <w:rsid w:val="008322C4"/>
    <w:rsid w:val="008333DB"/>
    <w:rsid w:val="00835355"/>
    <w:rsid w:val="00835640"/>
    <w:rsid w:val="00835645"/>
    <w:rsid w:val="00837DDC"/>
    <w:rsid w:val="0084167B"/>
    <w:rsid w:val="00843C11"/>
    <w:rsid w:val="00843F16"/>
    <w:rsid w:val="00844C71"/>
    <w:rsid w:val="00846F8F"/>
    <w:rsid w:val="008510DA"/>
    <w:rsid w:val="008534F7"/>
    <w:rsid w:val="0085412C"/>
    <w:rsid w:val="00854E91"/>
    <w:rsid w:val="0085534D"/>
    <w:rsid w:val="00855C02"/>
    <w:rsid w:val="008561E4"/>
    <w:rsid w:val="0086199F"/>
    <w:rsid w:val="00861EFF"/>
    <w:rsid w:val="00863082"/>
    <w:rsid w:val="008635D3"/>
    <w:rsid w:val="00863861"/>
    <w:rsid w:val="00863CA2"/>
    <w:rsid w:val="00864EC9"/>
    <w:rsid w:val="00865816"/>
    <w:rsid w:val="00865AFE"/>
    <w:rsid w:val="008663FE"/>
    <w:rsid w:val="0086729F"/>
    <w:rsid w:val="00867780"/>
    <w:rsid w:val="00867FE1"/>
    <w:rsid w:val="00870316"/>
    <w:rsid w:val="0087097A"/>
    <w:rsid w:val="008713C0"/>
    <w:rsid w:val="00872417"/>
    <w:rsid w:val="00872BB9"/>
    <w:rsid w:val="008732BB"/>
    <w:rsid w:val="00874B76"/>
    <w:rsid w:val="00875972"/>
    <w:rsid w:val="00876938"/>
    <w:rsid w:val="008770A1"/>
    <w:rsid w:val="00880412"/>
    <w:rsid w:val="0088094F"/>
    <w:rsid w:val="00880CC7"/>
    <w:rsid w:val="0088117F"/>
    <w:rsid w:val="00881311"/>
    <w:rsid w:val="00881ACB"/>
    <w:rsid w:val="00882C1C"/>
    <w:rsid w:val="00882C8E"/>
    <w:rsid w:val="00883604"/>
    <w:rsid w:val="008843E5"/>
    <w:rsid w:val="00884D5D"/>
    <w:rsid w:val="00886CF4"/>
    <w:rsid w:val="0088722C"/>
    <w:rsid w:val="008911DC"/>
    <w:rsid w:val="00891920"/>
    <w:rsid w:val="00892837"/>
    <w:rsid w:val="00893069"/>
    <w:rsid w:val="008948D7"/>
    <w:rsid w:val="00894BDE"/>
    <w:rsid w:val="00897DA2"/>
    <w:rsid w:val="008A16D8"/>
    <w:rsid w:val="008A1708"/>
    <w:rsid w:val="008A19E9"/>
    <w:rsid w:val="008A1A9A"/>
    <w:rsid w:val="008A2260"/>
    <w:rsid w:val="008A3689"/>
    <w:rsid w:val="008A45BD"/>
    <w:rsid w:val="008A5F70"/>
    <w:rsid w:val="008A63CC"/>
    <w:rsid w:val="008B13FE"/>
    <w:rsid w:val="008B1401"/>
    <w:rsid w:val="008B2E19"/>
    <w:rsid w:val="008B3920"/>
    <w:rsid w:val="008B5033"/>
    <w:rsid w:val="008B52AF"/>
    <w:rsid w:val="008B5AA0"/>
    <w:rsid w:val="008B6671"/>
    <w:rsid w:val="008B6841"/>
    <w:rsid w:val="008B6A50"/>
    <w:rsid w:val="008B737F"/>
    <w:rsid w:val="008B7947"/>
    <w:rsid w:val="008B7E37"/>
    <w:rsid w:val="008B7E3D"/>
    <w:rsid w:val="008C0175"/>
    <w:rsid w:val="008C07B9"/>
    <w:rsid w:val="008C0E8C"/>
    <w:rsid w:val="008C2388"/>
    <w:rsid w:val="008C23E7"/>
    <w:rsid w:val="008C2950"/>
    <w:rsid w:val="008C4CC7"/>
    <w:rsid w:val="008D02F7"/>
    <w:rsid w:val="008D176F"/>
    <w:rsid w:val="008D1B86"/>
    <w:rsid w:val="008D4EE7"/>
    <w:rsid w:val="008D5FC5"/>
    <w:rsid w:val="008D65D8"/>
    <w:rsid w:val="008D6B2B"/>
    <w:rsid w:val="008E0A51"/>
    <w:rsid w:val="008E117B"/>
    <w:rsid w:val="008E29EC"/>
    <w:rsid w:val="008E3329"/>
    <w:rsid w:val="008E64BA"/>
    <w:rsid w:val="008E6DD0"/>
    <w:rsid w:val="008E7611"/>
    <w:rsid w:val="008E7AA4"/>
    <w:rsid w:val="008F39F9"/>
    <w:rsid w:val="008F580C"/>
    <w:rsid w:val="008F59C6"/>
    <w:rsid w:val="008F6C18"/>
    <w:rsid w:val="008F75DE"/>
    <w:rsid w:val="008F7D66"/>
    <w:rsid w:val="0090026E"/>
    <w:rsid w:val="0090303F"/>
    <w:rsid w:val="00903B28"/>
    <w:rsid w:val="00904241"/>
    <w:rsid w:val="0090453D"/>
    <w:rsid w:val="00904832"/>
    <w:rsid w:val="00904EF3"/>
    <w:rsid w:val="009058AB"/>
    <w:rsid w:val="0090656B"/>
    <w:rsid w:val="009078A9"/>
    <w:rsid w:val="009107BD"/>
    <w:rsid w:val="00910BA4"/>
    <w:rsid w:val="00910C87"/>
    <w:rsid w:val="0091213E"/>
    <w:rsid w:val="00913491"/>
    <w:rsid w:val="00913C11"/>
    <w:rsid w:val="00914C5B"/>
    <w:rsid w:val="0091588E"/>
    <w:rsid w:val="0091736C"/>
    <w:rsid w:val="009179DA"/>
    <w:rsid w:val="0092077A"/>
    <w:rsid w:val="00920A51"/>
    <w:rsid w:val="00920B05"/>
    <w:rsid w:val="00921057"/>
    <w:rsid w:val="00921EAD"/>
    <w:rsid w:val="00922C19"/>
    <w:rsid w:val="00923185"/>
    <w:rsid w:val="00923499"/>
    <w:rsid w:val="00924B55"/>
    <w:rsid w:val="00925039"/>
    <w:rsid w:val="0092572D"/>
    <w:rsid w:val="0092636E"/>
    <w:rsid w:val="00926F4F"/>
    <w:rsid w:val="00926FED"/>
    <w:rsid w:val="0093013E"/>
    <w:rsid w:val="00930177"/>
    <w:rsid w:val="0093282A"/>
    <w:rsid w:val="00933170"/>
    <w:rsid w:val="00933774"/>
    <w:rsid w:val="00935AD9"/>
    <w:rsid w:val="009360C2"/>
    <w:rsid w:val="009401C5"/>
    <w:rsid w:val="00942219"/>
    <w:rsid w:val="00943FCE"/>
    <w:rsid w:val="00944132"/>
    <w:rsid w:val="009441D9"/>
    <w:rsid w:val="009445F6"/>
    <w:rsid w:val="00944DD4"/>
    <w:rsid w:val="009456EE"/>
    <w:rsid w:val="00946193"/>
    <w:rsid w:val="00946B4B"/>
    <w:rsid w:val="00947662"/>
    <w:rsid w:val="00951F21"/>
    <w:rsid w:val="00951FE9"/>
    <w:rsid w:val="00953837"/>
    <w:rsid w:val="00955E7F"/>
    <w:rsid w:val="00956971"/>
    <w:rsid w:val="00960503"/>
    <w:rsid w:val="00960902"/>
    <w:rsid w:val="00961FAB"/>
    <w:rsid w:val="0096205D"/>
    <w:rsid w:val="00962B71"/>
    <w:rsid w:val="00962CAB"/>
    <w:rsid w:val="00962E98"/>
    <w:rsid w:val="00964008"/>
    <w:rsid w:val="00964956"/>
    <w:rsid w:val="00964AA5"/>
    <w:rsid w:val="00964EAE"/>
    <w:rsid w:val="0097110A"/>
    <w:rsid w:val="0097141B"/>
    <w:rsid w:val="0097332F"/>
    <w:rsid w:val="00973EEC"/>
    <w:rsid w:val="009740CE"/>
    <w:rsid w:val="00974C8D"/>
    <w:rsid w:val="00975199"/>
    <w:rsid w:val="009752E7"/>
    <w:rsid w:val="00975EDE"/>
    <w:rsid w:val="00976D8C"/>
    <w:rsid w:val="00977350"/>
    <w:rsid w:val="00977F09"/>
    <w:rsid w:val="0098052C"/>
    <w:rsid w:val="00980646"/>
    <w:rsid w:val="00982397"/>
    <w:rsid w:val="0098330E"/>
    <w:rsid w:val="0098357F"/>
    <w:rsid w:val="0098384E"/>
    <w:rsid w:val="00984678"/>
    <w:rsid w:val="00984C3E"/>
    <w:rsid w:val="00986210"/>
    <w:rsid w:val="00986C6E"/>
    <w:rsid w:val="00991B2F"/>
    <w:rsid w:val="00992B20"/>
    <w:rsid w:val="009932C4"/>
    <w:rsid w:val="00993E71"/>
    <w:rsid w:val="009944DC"/>
    <w:rsid w:val="00994906"/>
    <w:rsid w:val="00995089"/>
    <w:rsid w:val="0099512D"/>
    <w:rsid w:val="00995307"/>
    <w:rsid w:val="009967EA"/>
    <w:rsid w:val="00996BDB"/>
    <w:rsid w:val="009A0809"/>
    <w:rsid w:val="009A1174"/>
    <w:rsid w:val="009A231B"/>
    <w:rsid w:val="009A2DA0"/>
    <w:rsid w:val="009A318E"/>
    <w:rsid w:val="009A45F6"/>
    <w:rsid w:val="009A522F"/>
    <w:rsid w:val="009A535E"/>
    <w:rsid w:val="009A61C4"/>
    <w:rsid w:val="009B1552"/>
    <w:rsid w:val="009B1711"/>
    <w:rsid w:val="009B298A"/>
    <w:rsid w:val="009B7E15"/>
    <w:rsid w:val="009C0B84"/>
    <w:rsid w:val="009C0D3D"/>
    <w:rsid w:val="009C0FE9"/>
    <w:rsid w:val="009C1779"/>
    <w:rsid w:val="009C235F"/>
    <w:rsid w:val="009C2445"/>
    <w:rsid w:val="009C3368"/>
    <w:rsid w:val="009C3590"/>
    <w:rsid w:val="009C43DF"/>
    <w:rsid w:val="009C5B22"/>
    <w:rsid w:val="009C5EAF"/>
    <w:rsid w:val="009C6367"/>
    <w:rsid w:val="009C7053"/>
    <w:rsid w:val="009C7520"/>
    <w:rsid w:val="009D2439"/>
    <w:rsid w:val="009D2B50"/>
    <w:rsid w:val="009D370D"/>
    <w:rsid w:val="009D5ADA"/>
    <w:rsid w:val="009D75C5"/>
    <w:rsid w:val="009E1765"/>
    <w:rsid w:val="009E1F2C"/>
    <w:rsid w:val="009E4495"/>
    <w:rsid w:val="009E4D60"/>
    <w:rsid w:val="009E5237"/>
    <w:rsid w:val="009E54A0"/>
    <w:rsid w:val="009F1215"/>
    <w:rsid w:val="009F1D8C"/>
    <w:rsid w:val="009F31BE"/>
    <w:rsid w:val="009F3AE0"/>
    <w:rsid w:val="009F46E5"/>
    <w:rsid w:val="00A00533"/>
    <w:rsid w:val="00A00688"/>
    <w:rsid w:val="00A011FA"/>
    <w:rsid w:val="00A01F36"/>
    <w:rsid w:val="00A0295E"/>
    <w:rsid w:val="00A030CF"/>
    <w:rsid w:val="00A03333"/>
    <w:rsid w:val="00A05949"/>
    <w:rsid w:val="00A066F1"/>
    <w:rsid w:val="00A07B30"/>
    <w:rsid w:val="00A07B68"/>
    <w:rsid w:val="00A103CC"/>
    <w:rsid w:val="00A10F7D"/>
    <w:rsid w:val="00A1369C"/>
    <w:rsid w:val="00A1377C"/>
    <w:rsid w:val="00A13E6C"/>
    <w:rsid w:val="00A14DA3"/>
    <w:rsid w:val="00A154A4"/>
    <w:rsid w:val="00A15E55"/>
    <w:rsid w:val="00A15E94"/>
    <w:rsid w:val="00A1675E"/>
    <w:rsid w:val="00A173DD"/>
    <w:rsid w:val="00A20ECC"/>
    <w:rsid w:val="00A23EE9"/>
    <w:rsid w:val="00A23FEC"/>
    <w:rsid w:val="00A2541C"/>
    <w:rsid w:val="00A2554D"/>
    <w:rsid w:val="00A26476"/>
    <w:rsid w:val="00A27A87"/>
    <w:rsid w:val="00A308E1"/>
    <w:rsid w:val="00A322D1"/>
    <w:rsid w:val="00A326B3"/>
    <w:rsid w:val="00A32DF2"/>
    <w:rsid w:val="00A33C4B"/>
    <w:rsid w:val="00A351F0"/>
    <w:rsid w:val="00A35CE7"/>
    <w:rsid w:val="00A36A1F"/>
    <w:rsid w:val="00A36E94"/>
    <w:rsid w:val="00A40345"/>
    <w:rsid w:val="00A40FFB"/>
    <w:rsid w:val="00A410CF"/>
    <w:rsid w:val="00A43579"/>
    <w:rsid w:val="00A43635"/>
    <w:rsid w:val="00A44460"/>
    <w:rsid w:val="00A446A3"/>
    <w:rsid w:val="00A45A05"/>
    <w:rsid w:val="00A45AC1"/>
    <w:rsid w:val="00A45E3D"/>
    <w:rsid w:val="00A46032"/>
    <w:rsid w:val="00A46418"/>
    <w:rsid w:val="00A4644A"/>
    <w:rsid w:val="00A474AB"/>
    <w:rsid w:val="00A476CF"/>
    <w:rsid w:val="00A47843"/>
    <w:rsid w:val="00A47BA1"/>
    <w:rsid w:val="00A47D3D"/>
    <w:rsid w:val="00A51E6E"/>
    <w:rsid w:val="00A522C9"/>
    <w:rsid w:val="00A5232B"/>
    <w:rsid w:val="00A5242E"/>
    <w:rsid w:val="00A537AD"/>
    <w:rsid w:val="00A541EC"/>
    <w:rsid w:val="00A54667"/>
    <w:rsid w:val="00A54B49"/>
    <w:rsid w:val="00A55C46"/>
    <w:rsid w:val="00A5633E"/>
    <w:rsid w:val="00A57977"/>
    <w:rsid w:val="00A60291"/>
    <w:rsid w:val="00A6381E"/>
    <w:rsid w:val="00A6620F"/>
    <w:rsid w:val="00A66E87"/>
    <w:rsid w:val="00A67717"/>
    <w:rsid w:val="00A67A9C"/>
    <w:rsid w:val="00A705E0"/>
    <w:rsid w:val="00A70956"/>
    <w:rsid w:val="00A71017"/>
    <w:rsid w:val="00A712BD"/>
    <w:rsid w:val="00A715F1"/>
    <w:rsid w:val="00A71772"/>
    <w:rsid w:val="00A72C07"/>
    <w:rsid w:val="00A72C93"/>
    <w:rsid w:val="00A73C8C"/>
    <w:rsid w:val="00A7625C"/>
    <w:rsid w:val="00A7682F"/>
    <w:rsid w:val="00A76EE3"/>
    <w:rsid w:val="00A81332"/>
    <w:rsid w:val="00A813CC"/>
    <w:rsid w:val="00A817F8"/>
    <w:rsid w:val="00A81C71"/>
    <w:rsid w:val="00A821F0"/>
    <w:rsid w:val="00A8259A"/>
    <w:rsid w:val="00A83682"/>
    <w:rsid w:val="00A83D9F"/>
    <w:rsid w:val="00A84051"/>
    <w:rsid w:val="00A84975"/>
    <w:rsid w:val="00A85B90"/>
    <w:rsid w:val="00A85F23"/>
    <w:rsid w:val="00A876D9"/>
    <w:rsid w:val="00A8790F"/>
    <w:rsid w:val="00A90A12"/>
    <w:rsid w:val="00A90B4D"/>
    <w:rsid w:val="00A90B79"/>
    <w:rsid w:val="00A90FD1"/>
    <w:rsid w:val="00A92B14"/>
    <w:rsid w:val="00A93267"/>
    <w:rsid w:val="00A95A53"/>
    <w:rsid w:val="00A965AE"/>
    <w:rsid w:val="00A968DD"/>
    <w:rsid w:val="00A96CF5"/>
    <w:rsid w:val="00A96EF9"/>
    <w:rsid w:val="00AA0F80"/>
    <w:rsid w:val="00AA15AD"/>
    <w:rsid w:val="00AA18A1"/>
    <w:rsid w:val="00AA2A8A"/>
    <w:rsid w:val="00AA32C9"/>
    <w:rsid w:val="00AA349B"/>
    <w:rsid w:val="00AA4136"/>
    <w:rsid w:val="00AA5722"/>
    <w:rsid w:val="00AA6EE0"/>
    <w:rsid w:val="00AA7835"/>
    <w:rsid w:val="00AB0E31"/>
    <w:rsid w:val="00AB14F0"/>
    <w:rsid w:val="00AB25C2"/>
    <w:rsid w:val="00AB2632"/>
    <w:rsid w:val="00AB5CC3"/>
    <w:rsid w:val="00AB631A"/>
    <w:rsid w:val="00AB67C5"/>
    <w:rsid w:val="00AB6953"/>
    <w:rsid w:val="00AB6BA9"/>
    <w:rsid w:val="00AB70B0"/>
    <w:rsid w:val="00AB734C"/>
    <w:rsid w:val="00AC11A7"/>
    <w:rsid w:val="00AC15C7"/>
    <w:rsid w:val="00AC489E"/>
    <w:rsid w:val="00AC4933"/>
    <w:rsid w:val="00AC4B4D"/>
    <w:rsid w:val="00AC7777"/>
    <w:rsid w:val="00AC7B23"/>
    <w:rsid w:val="00AC7B3D"/>
    <w:rsid w:val="00AC7D4D"/>
    <w:rsid w:val="00AC7D6D"/>
    <w:rsid w:val="00AD1315"/>
    <w:rsid w:val="00AD17F1"/>
    <w:rsid w:val="00AD2535"/>
    <w:rsid w:val="00AD2CBD"/>
    <w:rsid w:val="00AD43E8"/>
    <w:rsid w:val="00AD6637"/>
    <w:rsid w:val="00AD6FD7"/>
    <w:rsid w:val="00AD73C5"/>
    <w:rsid w:val="00AD7416"/>
    <w:rsid w:val="00AD79D4"/>
    <w:rsid w:val="00AD7CD1"/>
    <w:rsid w:val="00AE00FA"/>
    <w:rsid w:val="00AE0EC0"/>
    <w:rsid w:val="00AE1431"/>
    <w:rsid w:val="00AE39CA"/>
    <w:rsid w:val="00AE50F6"/>
    <w:rsid w:val="00AE543E"/>
    <w:rsid w:val="00AE7474"/>
    <w:rsid w:val="00AF0DA8"/>
    <w:rsid w:val="00AF38A5"/>
    <w:rsid w:val="00AF3AAE"/>
    <w:rsid w:val="00AF3B58"/>
    <w:rsid w:val="00AF4909"/>
    <w:rsid w:val="00AF52A8"/>
    <w:rsid w:val="00AF5636"/>
    <w:rsid w:val="00AF5BC5"/>
    <w:rsid w:val="00AF6A38"/>
    <w:rsid w:val="00AF6FBF"/>
    <w:rsid w:val="00AF73CA"/>
    <w:rsid w:val="00B012B8"/>
    <w:rsid w:val="00B01A69"/>
    <w:rsid w:val="00B01FB2"/>
    <w:rsid w:val="00B02551"/>
    <w:rsid w:val="00B028DD"/>
    <w:rsid w:val="00B03674"/>
    <w:rsid w:val="00B03EE4"/>
    <w:rsid w:val="00B0544A"/>
    <w:rsid w:val="00B07FA9"/>
    <w:rsid w:val="00B10B77"/>
    <w:rsid w:val="00B1168F"/>
    <w:rsid w:val="00B12869"/>
    <w:rsid w:val="00B13E1A"/>
    <w:rsid w:val="00B15262"/>
    <w:rsid w:val="00B16FE2"/>
    <w:rsid w:val="00B170E1"/>
    <w:rsid w:val="00B2088B"/>
    <w:rsid w:val="00B217B3"/>
    <w:rsid w:val="00B219D3"/>
    <w:rsid w:val="00B236B4"/>
    <w:rsid w:val="00B23B04"/>
    <w:rsid w:val="00B2537D"/>
    <w:rsid w:val="00B25A24"/>
    <w:rsid w:val="00B25B19"/>
    <w:rsid w:val="00B25CB1"/>
    <w:rsid w:val="00B26257"/>
    <w:rsid w:val="00B268A0"/>
    <w:rsid w:val="00B26B4C"/>
    <w:rsid w:val="00B272C4"/>
    <w:rsid w:val="00B27CDD"/>
    <w:rsid w:val="00B27EA9"/>
    <w:rsid w:val="00B30FDB"/>
    <w:rsid w:val="00B312AF"/>
    <w:rsid w:val="00B32F27"/>
    <w:rsid w:val="00B33323"/>
    <w:rsid w:val="00B33FF6"/>
    <w:rsid w:val="00B3464D"/>
    <w:rsid w:val="00B358A8"/>
    <w:rsid w:val="00B36273"/>
    <w:rsid w:val="00B371A0"/>
    <w:rsid w:val="00B40DF0"/>
    <w:rsid w:val="00B41055"/>
    <w:rsid w:val="00B43F1D"/>
    <w:rsid w:val="00B44E01"/>
    <w:rsid w:val="00B45B58"/>
    <w:rsid w:val="00B4642A"/>
    <w:rsid w:val="00B46DE9"/>
    <w:rsid w:val="00B47A9D"/>
    <w:rsid w:val="00B50793"/>
    <w:rsid w:val="00B52B15"/>
    <w:rsid w:val="00B538D3"/>
    <w:rsid w:val="00B54090"/>
    <w:rsid w:val="00B54667"/>
    <w:rsid w:val="00B55973"/>
    <w:rsid w:val="00B5636C"/>
    <w:rsid w:val="00B57915"/>
    <w:rsid w:val="00B60ED1"/>
    <w:rsid w:val="00B61912"/>
    <w:rsid w:val="00B61A91"/>
    <w:rsid w:val="00B63077"/>
    <w:rsid w:val="00B632D5"/>
    <w:rsid w:val="00B632F1"/>
    <w:rsid w:val="00B6342F"/>
    <w:rsid w:val="00B63804"/>
    <w:rsid w:val="00B66983"/>
    <w:rsid w:val="00B66A44"/>
    <w:rsid w:val="00B66AB8"/>
    <w:rsid w:val="00B67D1E"/>
    <w:rsid w:val="00B7008B"/>
    <w:rsid w:val="00B711A1"/>
    <w:rsid w:val="00B73051"/>
    <w:rsid w:val="00B754AD"/>
    <w:rsid w:val="00B7595C"/>
    <w:rsid w:val="00B76007"/>
    <w:rsid w:val="00B764F9"/>
    <w:rsid w:val="00B77A69"/>
    <w:rsid w:val="00B81C96"/>
    <w:rsid w:val="00B83DA0"/>
    <w:rsid w:val="00B8428B"/>
    <w:rsid w:val="00B845B6"/>
    <w:rsid w:val="00B846E3"/>
    <w:rsid w:val="00B84D2E"/>
    <w:rsid w:val="00B854BE"/>
    <w:rsid w:val="00B86806"/>
    <w:rsid w:val="00B87640"/>
    <w:rsid w:val="00B901F6"/>
    <w:rsid w:val="00B90AC6"/>
    <w:rsid w:val="00B924EB"/>
    <w:rsid w:val="00B92637"/>
    <w:rsid w:val="00B947A6"/>
    <w:rsid w:val="00B94D91"/>
    <w:rsid w:val="00B97C8D"/>
    <w:rsid w:val="00BA07A0"/>
    <w:rsid w:val="00BA0A91"/>
    <w:rsid w:val="00BA1E41"/>
    <w:rsid w:val="00BA2094"/>
    <w:rsid w:val="00BA2409"/>
    <w:rsid w:val="00BA3E8E"/>
    <w:rsid w:val="00BA4837"/>
    <w:rsid w:val="00BA4D98"/>
    <w:rsid w:val="00BA5A58"/>
    <w:rsid w:val="00BA5CEB"/>
    <w:rsid w:val="00BA5E7C"/>
    <w:rsid w:val="00BA7C65"/>
    <w:rsid w:val="00BB1A4A"/>
    <w:rsid w:val="00BB26C6"/>
    <w:rsid w:val="00BB2A45"/>
    <w:rsid w:val="00BB3F9D"/>
    <w:rsid w:val="00BB79FE"/>
    <w:rsid w:val="00BC0F35"/>
    <w:rsid w:val="00BC27E5"/>
    <w:rsid w:val="00BC3617"/>
    <w:rsid w:val="00BC4583"/>
    <w:rsid w:val="00BC49A2"/>
    <w:rsid w:val="00BC4B5C"/>
    <w:rsid w:val="00BC4EC1"/>
    <w:rsid w:val="00BC6229"/>
    <w:rsid w:val="00BC6414"/>
    <w:rsid w:val="00BC6A69"/>
    <w:rsid w:val="00BC6B87"/>
    <w:rsid w:val="00BC78DA"/>
    <w:rsid w:val="00BD0015"/>
    <w:rsid w:val="00BD06AA"/>
    <w:rsid w:val="00BD155A"/>
    <w:rsid w:val="00BD2CF1"/>
    <w:rsid w:val="00BD6B43"/>
    <w:rsid w:val="00BD7AB5"/>
    <w:rsid w:val="00BE0C4E"/>
    <w:rsid w:val="00BE0F4F"/>
    <w:rsid w:val="00BE361E"/>
    <w:rsid w:val="00BE3B81"/>
    <w:rsid w:val="00BE3E9C"/>
    <w:rsid w:val="00BE3FDD"/>
    <w:rsid w:val="00BE4183"/>
    <w:rsid w:val="00BE45E8"/>
    <w:rsid w:val="00BE4DE5"/>
    <w:rsid w:val="00BE5A88"/>
    <w:rsid w:val="00BE7660"/>
    <w:rsid w:val="00BF01FF"/>
    <w:rsid w:val="00BF083A"/>
    <w:rsid w:val="00BF1A7C"/>
    <w:rsid w:val="00BF34BD"/>
    <w:rsid w:val="00BF3728"/>
    <w:rsid w:val="00BF5CC8"/>
    <w:rsid w:val="00BF65A1"/>
    <w:rsid w:val="00BF68CA"/>
    <w:rsid w:val="00C00F6C"/>
    <w:rsid w:val="00C025E3"/>
    <w:rsid w:val="00C028FE"/>
    <w:rsid w:val="00C03921"/>
    <w:rsid w:val="00C05425"/>
    <w:rsid w:val="00C05D2F"/>
    <w:rsid w:val="00C07884"/>
    <w:rsid w:val="00C07EAB"/>
    <w:rsid w:val="00C10219"/>
    <w:rsid w:val="00C1293D"/>
    <w:rsid w:val="00C12B2B"/>
    <w:rsid w:val="00C14DB4"/>
    <w:rsid w:val="00C157BB"/>
    <w:rsid w:val="00C16B5D"/>
    <w:rsid w:val="00C20165"/>
    <w:rsid w:val="00C20C31"/>
    <w:rsid w:val="00C20FF9"/>
    <w:rsid w:val="00C2196B"/>
    <w:rsid w:val="00C22054"/>
    <w:rsid w:val="00C233E9"/>
    <w:rsid w:val="00C251C4"/>
    <w:rsid w:val="00C26440"/>
    <w:rsid w:val="00C267E3"/>
    <w:rsid w:val="00C26D10"/>
    <w:rsid w:val="00C2793A"/>
    <w:rsid w:val="00C27A4B"/>
    <w:rsid w:val="00C30B9D"/>
    <w:rsid w:val="00C32EFB"/>
    <w:rsid w:val="00C33B66"/>
    <w:rsid w:val="00C3413A"/>
    <w:rsid w:val="00C34524"/>
    <w:rsid w:val="00C35989"/>
    <w:rsid w:val="00C35BEF"/>
    <w:rsid w:val="00C367C3"/>
    <w:rsid w:val="00C36845"/>
    <w:rsid w:val="00C403BF"/>
    <w:rsid w:val="00C4177E"/>
    <w:rsid w:val="00C424DB"/>
    <w:rsid w:val="00C43227"/>
    <w:rsid w:val="00C43974"/>
    <w:rsid w:val="00C45BB0"/>
    <w:rsid w:val="00C46C40"/>
    <w:rsid w:val="00C470C5"/>
    <w:rsid w:val="00C47D52"/>
    <w:rsid w:val="00C51AA2"/>
    <w:rsid w:val="00C52FD4"/>
    <w:rsid w:val="00C5334F"/>
    <w:rsid w:val="00C54E35"/>
    <w:rsid w:val="00C56471"/>
    <w:rsid w:val="00C57B23"/>
    <w:rsid w:val="00C60B2C"/>
    <w:rsid w:val="00C60BC9"/>
    <w:rsid w:val="00C61EA0"/>
    <w:rsid w:val="00C623B9"/>
    <w:rsid w:val="00C63181"/>
    <w:rsid w:val="00C6374D"/>
    <w:rsid w:val="00C642FA"/>
    <w:rsid w:val="00C646FB"/>
    <w:rsid w:val="00C66859"/>
    <w:rsid w:val="00C66D33"/>
    <w:rsid w:val="00C675AE"/>
    <w:rsid w:val="00C677FA"/>
    <w:rsid w:val="00C70720"/>
    <w:rsid w:val="00C70B64"/>
    <w:rsid w:val="00C70DE7"/>
    <w:rsid w:val="00C7188D"/>
    <w:rsid w:val="00C72712"/>
    <w:rsid w:val="00C72A81"/>
    <w:rsid w:val="00C73802"/>
    <w:rsid w:val="00C745F1"/>
    <w:rsid w:val="00C7461B"/>
    <w:rsid w:val="00C775F4"/>
    <w:rsid w:val="00C778F2"/>
    <w:rsid w:val="00C80C1E"/>
    <w:rsid w:val="00C811FC"/>
    <w:rsid w:val="00C830EA"/>
    <w:rsid w:val="00C834A1"/>
    <w:rsid w:val="00C83EBE"/>
    <w:rsid w:val="00C849AB"/>
    <w:rsid w:val="00C86BD3"/>
    <w:rsid w:val="00C87417"/>
    <w:rsid w:val="00C8784B"/>
    <w:rsid w:val="00C9076F"/>
    <w:rsid w:val="00C915B9"/>
    <w:rsid w:val="00C91C75"/>
    <w:rsid w:val="00C91FFA"/>
    <w:rsid w:val="00C9243C"/>
    <w:rsid w:val="00C92673"/>
    <w:rsid w:val="00C93152"/>
    <w:rsid w:val="00C93BED"/>
    <w:rsid w:val="00C940E3"/>
    <w:rsid w:val="00C950A4"/>
    <w:rsid w:val="00C95FFB"/>
    <w:rsid w:val="00C96501"/>
    <w:rsid w:val="00C97BDF"/>
    <w:rsid w:val="00CA031A"/>
    <w:rsid w:val="00CA08E8"/>
    <w:rsid w:val="00CA14E0"/>
    <w:rsid w:val="00CA25B9"/>
    <w:rsid w:val="00CA36D7"/>
    <w:rsid w:val="00CA3F35"/>
    <w:rsid w:val="00CA5EFA"/>
    <w:rsid w:val="00CA6686"/>
    <w:rsid w:val="00CB1E80"/>
    <w:rsid w:val="00CB2459"/>
    <w:rsid w:val="00CB2AD5"/>
    <w:rsid w:val="00CB3C62"/>
    <w:rsid w:val="00CB3CB2"/>
    <w:rsid w:val="00CB5E8F"/>
    <w:rsid w:val="00CB6247"/>
    <w:rsid w:val="00CC07C3"/>
    <w:rsid w:val="00CC19E8"/>
    <w:rsid w:val="00CC4018"/>
    <w:rsid w:val="00CC44A1"/>
    <w:rsid w:val="00CC4B98"/>
    <w:rsid w:val="00CC5526"/>
    <w:rsid w:val="00CC6465"/>
    <w:rsid w:val="00CC66C0"/>
    <w:rsid w:val="00CC69E9"/>
    <w:rsid w:val="00CC7218"/>
    <w:rsid w:val="00CD01F4"/>
    <w:rsid w:val="00CD0ABF"/>
    <w:rsid w:val="00CD17C2"/>
    <w:rsid w:val="00CD5523"/>
    <w:rsid w:val="00CD71B1"/>
    <w:rsid w:val="00CE04D7"/>
    <w:rsid w:val="00CE29B0"/>
    <w:rsid w:val="00CE2D7E"/>
    <w:rsid w:val="00CE34DC"/>
    <w:rsid w:val="00CE3D4E"/>
    <w:rsid w:val="00CE49D8"/>
    <w:rsid w:val="00CE5627"/>
    <w:rsid w:val="00CE624D"/>
    <w:rsid w:val="00CE69A2"/>
    <w:rsid w:val="00CE77A0"/>
    <w:rsid w:val="00CF00D4"/>
    <w:rsid w:val="00CF0198"/>
    <w:rsid w:val="00CF2114"/>
    <w:rsid w:val="00CF2813"/>
    <w:rsid w:val="00CF346E"/>
    <w:rsid w:val="00CF47D0"/>
    <w:rsid w:val="00CF4CAC"/>
    <w:rsid w:val="00CF4CF1"/>
    <w:rsid w:val="00CF5C56"/>
    <w:rsid w:val="00CF615A"/>
    <w:rsid w:val="00CF7162"/>
    <w:rsid w:val="00CF7591"/>
    <w:rsid w:val="00D00CE8"/>
    <w:rsid w:val="00D01525"/>
    <w:rsid w:val="00D02FCF"/>
    <w:rsid w:val="00D03BAC"/>
    <w:rsid w:val="00D03D8D"/>
    <w:rsid w:val="00D04E5F"/>
    <w:rsid w:val="00D06EE9"/>
    <w:rsid w:val="00D07A3A"/>
    <w:rsid w:val="00D07D00"/>
    <w:rsid w:val="00D115AC"/>
    <w:rsid w:val="00D12446"/>
    <w:rsid w:val="00D15092"/>
    <w:rsid w:val="00D15CA2"/>
    <w:rsid w:val="00D174C7"/>
    <w:rsid w:val="00D206B2"/>
    <w:rsid w:val="00D2106F"/>
    <w:rsid w:val="00D22B21"/>
    <w:rsid w:val="00D230C8"/>
    <w:rsid w:val="00D234E9"/>
    <w:rsid w:val="00D23ACD"/>
    <w:rsid w:val="00D248DF"/>
    <w:rsid w:val="00D24B74"/>
    <w:rsid w:val="00D24BDC"/>
    <w:rsid w:val="00D24F1F"/>
    <w:rsid w:val="00D25020"/>
    <w:rsid w:val="00D25B61"/>
    <w:rsid w:val="00D30DE3"/>
    <w:rsid w:val="00D310E4"/>
    <w:rsid w:val="00D31952"/>
    <w:rsid w:val="00D319C3"/>
    <w:rsid w:val="00D326EB"/>
    <w:rsid w:val="00D335B8"/>
    <w:rsid w:val="00D35006"/>
    <w:rsid w:val="00D356AB"/>
    <w:rsid w:val="00D3574C"/>
    <w:rsid w:val="00D35871"/>
    <w:rsid w:val="00D36955"/>
    <w:rsid w:val="00D37D2E"/>
    <w:rsid w:val="00D40BEE"/>
    <w:rsid w:val="00D41390"/>
    <w:rsid w:val="00D414FF"/>
    <w:rsid w:val="00D45BE1"/>
    <w:rsid w:val="00D45E4D"/>
    <w:rsid w:val="00D46EF2"/>
    <w:rsid w:val="00D50424"/>
    <w:rsid w:val="00D52276"/>
    <w:rsid w:val="00D5396A"/>
    <w:rsid w:val="00D54E44"/>
    <w:rsid w:val="00D54F2F"/>
    <w:rsid w:val="00D56DE4"/>
    <w:rsid w:val="00D5763C"/>
    <w:rsid w:val="00D57706"/>
    <w:rsid w:val="00D579CF"/>
    <w:rsid w:val="00D57BB2"/>
    <w:rsid w:val="00D63118"/>
    <w:rsid w:val="00D6314B"/>
    <w:rsid w:val="00D6340C"/>
    <w:rsid w:val="00D6402C"/>
    <w:rsid w:val="00D66857"/>
    <w:rsid w:val="00D675C8"/>
    <w:rsid w:val="00D70690"/>
    <w:rsid w:val="00D70BE3"/>
    <w:rsid w:val="00D713D2"/>
    <w:rsid w:val="00D7170D"/>
    <w:rsid w:val="00D72846"/>
    <w:rsid w:val="00D732AF"/>
    <w:rsid w:val="00D75823"/>
    <w:rsid w:val="00D766D0"/>
    <w:rsid w:val="00D768B5"/>
    <w:rsid w:val="00D76EA1"/>
    <w:rsid w:val="00D77C5B"/>
    <w:rsid w:val="00D83093"/>
    <w:rsid w:val="00D83A5B"/>
    <w:rsid w:val="00D83C99"/>
    <w:rsid w:val="00D84A58"/>
    <w:rsid w:val="00D865AB"/>
    <w:rsid w:val="00D9255A"/>
    <w:rsid w:val="00D926A0"/>
    <w:rsid w:val="00D92BD0"/>
    <w:rsid w:val="00D92F34"/>
    <w:rsid w:val="00D93B0C"/>
    <w:rsid w:val="00D95550"/>
    <w:rsid w:val="00D969C1"/>
    <w:rsid w:val="00D9773B"/>
    <w:rsid w:val="00D97971"/>
    <w:rsid w:val="00DA0783"/>
    <w:rsid w:val="00DA151D"/>
    <w:rsid w:val="00DA1D77"/>
    <w:rsid w:val="00DA24F3"/>
    <w:rsid w:val="00DA287E"/>
    <w:rsid w:val="00DA4692"/>
    <w:rsid w:val="00DA490E"/>
    <w:rsid w:val="00DA4B7F"/>
    <w:rsid w:val="00DA4E05"/>
    <w:rsid w:val="00DA5455"/>
    <w:rsid w:val="00DA75CD"/>
    <w:rsid w:val="00DB014F"/>
    <w:rsid w:val="00DB033C"/>
    <w:rsid w:val="00DB10C3"/>
    <w:rsid w:val="00DB1F19"/>
    <w:rsid w:val="00DB284F"/>
    <w:rsid w:val="00DB2F7C"/>
    <w:rsid w:val="00DB339B"/>
    <w:rsid w:val="00DB5365"/>
    <w:rsid w:val="00DB6845"/>
    <w:rsid w:val="00DB74EF"/>
    <w:rsid w:val="00DC11EB"/>
    <w:rsid w:val="00DC195C"/>
    <w:rsid w:val="00DC3509"/>
    <w:rsid w:val="00DC3C20"/>
    <w:rsid w:val="00DC43E0"/>
    <w:rsid w:val="00DC632F"/>
    <w:rsid w:val="00DC73E3"/>
    <w:rsid w:val="00DC7CDD"/>
    <w:rsid w:val="00DC7D41"/>
    <w:rsid w:val="00DD2C07"/>
    <w:rsid w:val="00DD2ED6"/>
    <w:rsid w:val="00DD3E6A"/>
    <w:rsid w:val="00DD4161"/>
    <w:rsid w:val="00DD5997"/>
    <w:rsid w:val="00DD71D4"/>
    <w:rsid w:val="00DD79EA"/>
    <w:rsid w:val="00DE1A02"/>
    <w:rsid w:val="00DE249E"/>
    <w:rsid w:val="00DE2632"/>
    <w:rsid w:val="00DE272E"/>
    <w:rsid w:val="00DE2DCA"/>
    <w:rsid w:val="00DE3C78"/>
    <w:rsid w:val="00DE55E3"/>
    <w:rsid w:val="00DE6965"/>
    <w:rsid w:val="00DE7B46"/>
    <w:rsid w:val="00DF350A"/>
    <w:rsid w:val="00DF572A"/>
    <w:rsid w:val="00DF5EFE"/>
    <w:rsid w:val="00DF6500"/>
    <w:rsid w:val="00DF6BB4"/>
    <w:rsid w:val="00DF7D61"/>
    <w:rsid w:val="00DF7D82"/>
    <w:rsid w:val="00E00713"/>
    <w:rsid w:val="00E00ED9"/>
    <w:rsid w:val="00E048E1"/>
    <w:rsid w:val="00E049B2"/>
    <w:rsid w:val="00E062EE"/>
    <w:rsid w:val="00E06958"/>
    <w:rsid w:val="00E07364"/>
    <w:rsid w:val="00E10CAB"/>
    <w:rsid w:val="00E12478"/>
    <w:rsid w:val="00E12D21"/>
    <w:rsid w:val="00E1305F"/>
    <w:rsid w:val="00E13EE1"/>
    <w:rsid w:val="00E1470B"/>
    <w:rsid w:val="00E15CC1"/>
    <w:rsid w:val="00E16078"/>
    <w:rsid w:val="00E17B74"/>
    <w:rsid w:val="00E2274C"/>
    <w:rsid w:val="00E22AB5"/>
    <w:rsid w:val="00E24317"/>
    <w:rsid w:val="00E2575A"/>
    <w:rsid w:val="00E25BEF"/>
    <w:rsid w:val="00E26536"/>
    <w:rsid w:val="00E269A2"/>
    <w:rsid w:val="00E26B6F"/>
    <w:rsid w:val="00E26CBD"/>
    <w:rsid w:val="00E26E87"/>
    <w:rsid w:val="00E27458"/>
    <w:rsid w:val="00E2752D"/>
    <w:rsid w:val="00E30BC6"/>
    <w:rsid w:val="00E31065"/>
    <w:rsid w:val="00E314E2"/>
    <w:rsid w:val="00E315AE"/>
    <w:rsid w:val="00E315D7"/>
    <w:rsid w:val="00E31813"/>
    <w:rsid w:val="00E31BDD"/>
    <w:rsid w:val="00E3299D"/>
    <w:rsid w:val="00E342E4"/>
    <w:rsid w:val="00E344D8"/>
    <w:rsid w:val="00E366B9"/>
    <w:rsid w:val="00E36FA5"/>
    <w:rsid w:val="00E407A5"/>
    <w:rsid w:val="00E413A0"/>
    <w:rsid w:val="00E42AB0"/>
    <w:rsid w:val="00E42F36"/>
    <w:rsid w:val="00E50645"/>
    <w:rsid w:val="00E51028"/>
    <w:rsid w:val="00E52351"/>
    <w:rsid w:val="00E529FC"/>
    <w:rsid w:val="00E53899"/>
    <w:rsid w:val="00E538ED"/>
    <w:rsid w:val="00E5397E"/>
    <w:rsid w:val="00E54A09"/>
    <w:rsid w:val="00E55120"/>
    <w:rsid w:val="00E56816"/>
    <w:rsid w:val="00E571B0"/>
    <w:rsid w:val="00E60BBC"/>
    <w:rsid w:val="00E61436"/>
    <w:rsid w:val="00E62609"/>
    <w:rsid w:val="00E62A9A"/>
    <w:rsid w:val="00E63E26"/>
    <w:rsid w:val="00E65370"/>
    <w:rsid w:val="00E65B04"/>
    <w:rsid w:val="00E664EE"/>
    <w:rsid w:val="00E67B5C"/>
    <w:rsid w:val="00E7032C"/>
    <w:rsid w:val="00E71AF6"/>
    <w:rsid w:val="00E72230"/>
    <w:rsid w:val="00E7235A"/>
    <w:rsid w:val="00E72D49"/>
    <w:rsid w:val="00E742EB"/>
    <w:rsid w:val="00E743F7"/>
    <w:rsid w:val="00E769F2"/>
    <w:rsid w:val="00E775EF"/>
    <w:rsid w:val="00E779C3"/>
    <w:rsid w:val="00E81061"/>
    <w:rsid w:val="00E81433"/>
    <w:rsid w:val="00E81D1F"/>
    <w:rsid w:val="00E83312"/>
    <w:rsid w:val="00E868BD"/>
    <w:rsid w:val="00E914AC"/>
    <w:rsid w:val="00E91745"/>
    <w:rsid w:val="00E91A10"/>
    <w:rsid w:val="00E92063"/>
    <w:rsid w:val="00E92A58"/>
    <w:rsid w:val="00E93797"/>
    <w:rsid w:val="00E94EE3"/>
    <w:rsid w:val="00E94FCB"/>
    <w:rsid w:val="00E950F9"/>
    <w:rsid w:val="00E95BAB"/>
    <w:rsid w:val="00E95F5D"/>
    <w:rsid w:val="00E9620E"/>
    <w:rsid w:val="00E96259"/>
    <w:rsid w:val="00E96356"/>
    <w:rsid w:val="00E97120"/>
    <w:rsid w:val="00E974D2"/>
    <w:rsid w:val="00EA0CC1"/>
    <w:rsid w:val="00EA125E"/>
    <w:rsid w:val="00EA1E4E"/>
    <w:rsid w:val="00EA1E6F"/>
    <w:rsid w:val="00EA1F78"/>
    <w:rsid w:val="00EA3225"/>
    <w:rsid w:val="00EA38BA"/>
    <w:rsid w:val="00EA5C3D"/>
    <w:rsid w:val="00EA6A77"/>
    <w:rsid w:val="00EA7034"/>
    <w:rsid w:val="00EB0A32"/>
    <w:rsid w:val="00EB1E88"/>
    <w:rsid w:val="00EB23E7"/>
    <w:rsid w:val="00EB2A85"/>
    <w:rsid w:val="00EB2FB4"/>
    <w:rsid w:val="00EB460F"/>
    <w:rsid w:val="00EB47FE"/>
    <w:rsid w:val="00EB4FA7"/>
    <w:rsid w:val="00EB524C"/>
    <w:rsid w:val="00EB5597"/>
    <w:rsid w:val="00EB6653"/>
    <w:rsid w:val="00EB71CD"/>
    <w:rsid w:val="00EC06F3"/>
    <w:rsid w:val="00EC076C"/>
    <w:rsid w:val="00EC0E06"/>
    <w:rsid w:val="00EC1815"/>
    <w:rsid w:val="00EC2F31"/>
    <w:rsid w:val="00EC3444"/>
    <w:rsid w:val="00EC391B"/>
    <w:rsid w:val="00EC3D65"/>
    <w:rsid w:val="00EC431F"/>
    <w:rsid w:val="00EC523D"/>
    <w:rsid w:val="00EC6B96"/>
    <w:rsid w:val="00EC7FB7"/>
    <w:rsid w:val="00ED0093"/>
    <w:rsid w:val="00ED1B97"/>
    <w:rsid w:val="00ED325B"/>
    <w:rsid w:val="00ED3BDA"/>
    <w:rsid w:val="00ED4689"/>
    <w:rsid w:val="00ED4B5A"/>
    <w:rsid w:val="00ED52D3"/>
    <w:rsid w:val="00EE0036"/>
    <w:rsid w:val="00EE1162"/>
    <w:rsid w:val="00EE155A"/>
    <w:rsid w:val="00EE2971"/>
    <w:rsid w:val="00EE2B36"/>
    <w:rsid w:val="00EE2BB8"/>
    <w:rsid w:val="00EE3308"/>
    <w:rsid w:val="00EE400A"/>
    <w:rsid w:val="00EE450D"/>
    <w:rsid w:val="00EE55F7"/>
    <w:rsid w:val="00EE56DC"/>
    <w:rsid w:val="00EE57EC"/>
    <w:rsid w:val="00EE6151"/>
    <w:rsid w:val="00EE6C9A"/>
    <w:rsid w:val="00EE71C8"/>
    <w:rsid w:val="00EE7642"/>
    <w:rsid w:val="00EF021B"/>
    <w:rsid w:val="00EF0957"/>
    <w:rsid w:val="00EF1D37"/>
    <w:rsid w:val="00EF22B8"/>
    <w:rsid w:val="00EF247F"/>
    <w:rsid w:val="00EF2DB7"/>
    <w:rsid w:val="00EF3934"/>
    <w:rsid w:val="00EF3DF3"/>
    <w:rsid w:val="00EF4CF2"/>
    <w:rsid w:val="00EF559F"/>
    <w:rsid w:val="00EF5994"/>
    <w:rsid w:val="00EF69C4"/>
    <w:rsid w:val="00EF6C6E"/>
    <w:rsid w:val="00EF6F8F"/>
    <w:rsid w:val="00EF7ADC"/>
    <w:rsid w:val="00F012DA"/>
    <w:rsid w:val="00F016B4"/>
    <w:rsid w:val="00F01DF5"/>
    <w:rsid w:val="00F03114"/>
    <w:rsid w:val="00F03AC7"/>
    <w:rsid w:val="00F03F20"/>
    <w:rsid w:val="00F04442"/>
    <w:rsid w:val="00F0522F"/>
    <w:rsid w:val="00F05C71"/>
    <w:rsid w:val="00F065A4"/>
    <w:rsid w:val="00F06CA3"/>
    <w:rsid w:val="00F06DF8"/>
    <w:rsid w:val="00F07B91"/>
    <w:rsid w:val="00F07E3A"/>
    <w:rsid w:val="00F10E30"/>
    <w:rsid w:val="00F13A0C"/>
    <w:rsid w:val="00F142BB"/>
    <w:rsid w:val="00F1430A"/>
    <w:rsid w:val="00F1479D"/>
    <w:rsid w:val="00F149D0"/>
    <w:rsid w:val="00F159B7"/>
    <w:rsid w:val="00F15F3E"/>
    <w:rsid w:val="00F16042"/>
    <w:rsid w:val="00F160E2"/>
    <w:rsid w:val="00F207CC"/>
    <w:rsid w:val="00F20B40"/>
    <w:rsid w:val="00F20F50"/>
    <w:rsid w:val="00F214CE"/>
    <w:rsid w:val="00F2210C"/>
    <w:rsid w:val="00F22753"/>
    <w:rsid w:val="00F22957"/>
    <w:rsid w:val="00F22C86"/>
    <w:rsid w:val="00F2474F"/>
    <w:rsid w:val="00F2541D"/>
    <w:rsid w:val="00F25DE2"/>
    <w:rsid w:val="00F25F91"/>
    <w:rsid w:val="00F26936"/>
    <w:rsid w:val="00F279C6"/>
    <w:rsid w:val="00F27BFD"/>
    <w:rsid w:val="00F30FE8"/>
    <w:rsid w:val="00F335F7"/>
    <w:rsid w:val="00F33807"/>
    <w:rsid w:val="00F36716"/>
    <w:rsid w:val="00F37216"/>
    <w:rsid w:val="00F3748B"/>
    <w:rsid w:val="00F374CE"/>
    <w:rsid w:val="00F37D24"/>
    <w:rsid w:val="00F4080E"/>
    <w:rsid w:val="00F4164F"/>
    <w:rsid w:val="00F42587"/>
    <w:rsid w:val="00F43186"/>
    <w:rsid w:val="00F43D4F"/>
    <w:rsid w:val="00F43EAB"/>
    <w:rsid w:val="00F44256"/>
    <w:rsid w:val="00F44858"/>
    <w:rsid w:val="00F4487E"/>
    <w:rsid w:val="00F44C38"/>
    <w:rsid w:val="00F476A1"/>
    <w:rsid w:val="00F47768"/>
    <w:rsid w:val="00F510C0"/>
    <w:rsid w:val="00F513AE"/>
    <w:rsid w:val="00F517AB"/>
    <w:rsid w:val="00F52CEC"/>
    <w:rsid w:val="00F52F07"/>
    <w:rsid w:val="00F53049"/>
    <w:rsid w:val="00F547A2"/>
    <w:rsid w:val="00F567FE"/>
    <w:rsid w:val="00F57DA9"/>
    <w:rsid w:val="00F600C4"/>
    <w:rsid w:val="00F61445"/>
    <w:rsid w:val="00F626F7"/>
    <w:rsid w:val="00F63691"/>
    <w:rsid w:val="00F64143"/>
    <w:rsid w:val="00F6425C"/>
    <w:rsid w:val="00F64E62"/>
    <w:rsid w:val="00F655D5"/>
    <w:rsid w:val="00F66408"/>
    <w:rsid w:val="00F66979"/>
    <w:rsid w:val="00F67AA8"/>
    <w:rsid w:val="00F67F7C"/>
    <w:rsid w:val="00F70970"/>
    <w:rsid w:val="00F7097C"/>
    <w:rsid w:val="00F726B1"/>
    <w:rsid w:val="00F736D9"/>
    <w:rsid w:val="00F73B70"/>
    <w:rsid w:val="00F7421C"/>
    <w:rsid w:val="00F74E90"/>
    <w:rsid w:val="00F75388"/>
    <w:rsid w:val="00F771C3"/>
    <w:rsid w:val="00F7743E"/>
    <w:rsid w:val="00F7751C"/>
    <w:rsid w:val="00F77EC8"/>
    <w:rsid w:val="00F77F4E"/>
    <w:rsid w:val="00F800C4"/>
    <w:rsid w:val="00F8010E"/>
    <w:rsid w:val="00F8029C"/>
    <w:rsid w:val="00F805C7"/>
    <w:rsid w:val="00F808E2"/>
    <w:rsid w:val="00F80E37"/>
    <w:rsid w:val="00F81175"/>
    <w:rsid w:val="00F8266A"/>
    <w:rsid w:val="00F82F54"/>
    <w:rsid w:val="00F846C8"/>
    <w:rsid w:val="00F850FD"/>
    <w:rsid w:val="00F8520B"/>
    <w:rsid w:val="00F86739"/>
    <w:rsid w:val="00F86888"/>
    <w:rsid w:val="00F90666"/>
    <w:rsid w:val="00F93EB3"/>
    <w:rsid w:val="00F95D3A"/>
    <w:rsid w:val="00F970DC"/>
    <w:rsid w:val="00FA0A35"/>
    <w:rsid w:val="00FA0DE9"/>
    <w:rsid w:val="00FA0FEC"/>
    <w:rsid w:val="00FA1047"/>
    <w:rsid w:val="00FA12F3"/>
    <w:rsid w:val="00FA4682"/>
    <w:rsid w:val="00FA4BCC"/>
    <w:rsid w:val="00FA5AE5"/>
    <w:rsid w:val="00FA60F6"/>
    <w:rsid w:val="00FB01B7"/>
    <w:rsid w:val="00FB0E4F"/>
    <w:rsid w:val="00FB1466"/>
    <w:rsid w:val="00FB16FE"/>
    <w:rsid w:val="00FB1D02"/>
    <w:rsid w:val="00FB1EF7"/>
    <w:rsid w:val="00FB2877"/>
    <w:rsid w:val="00FB2B3C"/>
    <w:rsid w:val="00FB2F85"/>
    <w:rsid w:val="00FB3C8E"/>
    <w:rsid w:val="00FB63AE"/>
    <w:rsid w:val="00FB6956"/>
    <w:rsid w:val="00FB69A9"/>
    <w:rsid w:val="00FB6AE1"/>
    <w:rsid w:val="00FB7C03"/>
    <w:rsid w:val="00FC0F27"/>
    <w:rsid w:val="00FC133B"/>
    <w:rsid w:val="00FC180F"/>
    <w:rsid w:val="00FC1A19"/>
    <w:rsid w:val="00FC1B6B"/>
    <w:rsid w:val="00FC1B71"/>
    <w:rsid w:val="00FC27D9"/>
    <w:rsid w:val="00FC31FC"/>
    <w:rsid w:val="00FC3338"/>
    <w:rsid w:val="00FC3939"/>
    <w:rsid w:val="00FC524B"/>
    <w:rsid w:val="00FC6A7E"/>
    <w:rsid w:val="00FC756C"/>
    <w:rsid w:val="00FC76C1"/>
    <w:rsid w:val="00FC7AFF"/>
    <w:rsid w:val="00FD013F"/>
    <w:rsid w:val="00FD0287"/>
    <w:rsid w:val="00FD04FB"/>
    <w:rsid w:val="00FD0C29"/>
    <w:rsid w:val="00FD129E"/>
    <w:rsid w:val="00FD2639"/>
    <w:rsid w:val="00FD26F4"/>
    <w:rsid w:val="00FD485D"/>
    <w:rsid w:val="00FD4D43"/>
    <w:rsid w:val="00FD58A0"/>
    <w:rsid w:val="00FD6567"/>
    <w:rsid w:val="00FE17F9"/>
    <w:rsid w:val="00FE3E4E"/>
    <w:rsid w:val="00FE5199"/>
    <w:rsid w:val="00FE54BE"/>
    <w:rsid w:val="00FE5C6D"/>
    <w:rsid w:val="00FE5F74"/>
    <w:rsid w:val="00FE6994"/>
    <w:rsid w:val="00FE762B"/>
    <w:rsid w:val="00FF01B3"/>
    <w:rsid w:val="00FF09D8"/>
    <w:rsid w:val="00FF1A06"/>
    <w:rsid w:val="00FF2BCE"/>
    <w:rsid w:val="00FF3283"/>
    <w:rsid w:val="00FF3670"/>
    <w:rsid w:val="00FF3761"/>
    <w:rsid w:val="00FF502D"/>
    <w:rsid w:val="00FF5B57"/>
    <w:rsid w:val="00FF6049"/>
    <w:rsid w:val="00FF64CA"/>
    <w:rsid w:val="00FF7AE2"/>
    <w:rsid w:val="01021968"/>
    <w:rsid w:val="010351AA"/>
    <w:rsid w:val="011A52DC"/>
    <w:rsid w:val="01503898"/>
    <w:rsid w:val="015A786C"/>
    <w:rsid w:val="015C2B0C"/>
    <w:rsid w:val="0182066F"/>
    <w:rsid w:val="01944ADF"/>
    <w:rsid w:val="01A8796E"/>
    <w:rsid w:val="01E53A47"/>
    <w:rsid w:val="020804DD"/>
    <w:rsid w:val="022E66B7"/>
    <w:rsid w:val="02460FAD"/>
    <w:rsid w:val="02587328"/>
    <w:rsid w:val="027459D5"/>
    <w:rsid w:val="02965141"/>
    <w:rsid w:val="02C44F8C"/>
    <w:rsid w:val="02CF755D"/>
    <w:rsid w:val="02FA438B"/>
    <w:rsid w:val="030E522F"/>
    <w:rsid w:val="0315555F"/>
    <w:rsid w:val="031D7F23"/>
    <w:rsid w:val="032A2ABD"/>
    <w:rsid w:val="032C1915"/>
    <w:rsid w:val="033C6680"/>
    <w:rsid w:val="03433AEC"/>
    <w:rsid w:val="03822CFE"/>
    <w:rsid w:val="03836F41"/>
    <w:rsid w:val="03861402"/>
    <w:rsid w:val="03A40984"/>
    <w:rsid w:val="03AE1C85"/>
    <w:rsid w:val="03B4005D"/>
    <w:rsid w:val="03C1040D"/>
    <w:rsid w:val="03D745EC"/>
    <w:rsid w:val="03E22DFB"/>
    <w:rsid w:val="03F5267A"/>
    <w:rsid w:val="03F84410"/>
    <w:rsid w:val="042810FF"/>
    <w:rsid w:val="04286B28"/>
    <w:rsid w:val="042C791F"/>
    <w:rsid w:val="04346029"/>
    <w:rsid w:val="044955CA"/>
    <w:rsid w:val="044C5EF0"/>
    <w:rsid w:val="04633668"/>
    <w:rsid w:val="04710B23"/>
    <w:rsid w:val="047B1026"/>
    <w:rsid w:val="04842265"/>
    <w:rsid w:val="04A24CDA"/>
    <w:rsid w:val="04A331D8"/>
    <w:rsid w:val="04AB1DE0"/>
    <w:rsid w:val="04BE049C"/>
    <w:rsid w:val="04CF2D27"/>
    <w:rsid w:val="04D87BD5"/>
    <w:rsid w:val="04DC072C"/>
    <w:rsid w:val="04EE7F1F"/>
    <w:rsid w:val="05024D2C"/>
    <w:rsid w:val="05244A32"/>
    <w:rsid w:val="05260CE0"/>
    <w:rsid w:val="052F12D8"/>
    <w:rsid w:val="05420F2F"/>
    <w:rsid w:val="054F7886"/>
    <w:rsid w:val="05503AC8"/>
    <w:rsid w:val="055204AE"/>
    <w:rsid w:val="057359B7"/>
    <w:rsid w:val="0581679B"/>
    <w:rsid w:val="05827450"/>
    <w:rsid w:val="05957A1C"/>
    <w:rsid w:val="059F6E3E"/>
    <w:rsid w:val="05EE2510"/>
    <w:rsid w:val="060A7B5C"/>
    <w:rsid w:val="060E38DB"/>
    <w:rsid w:val="069C0872"/>
    <w:rsid w:val="06D234DD"/>
    <w:rsid w:val="06DE4A4E"/>
    <w:rsid w:val="07037A4C"/>
    <w:rsid w:val="07041BE4"/>
    <w:rsid w:val="071635B7"/>
    <w:rsid w:val="073F6E28"/>
    <w:rsid w:val="07405F9F"/>
    <w:rsid w:val="074C007F"/>
    <w:rsid w:val="078233E8"/>
    <w:rsid w:val="079D2FAB"/>
    <w:rsid w:val="07A82750"/>
    <w:rsid w:val="07BD01CD"/>
    <w:rsid w:val="07DE427B"/>
    <w:rsid w:val="07FF7DC8"/>
    <w:rsid w:val="081927FC"/>
    <w:rsid w:val="081B727D"/>
    <w:rsid w:val="081E4FBF"/>
    <w:rsid w:val="083D0C6D"/>
    <w:rsid w:val="085034FC"/>
    <w:rsid w:val="085A5FF7"/>
    <w:rsid w:val="08601134"/>
    <w:rsid w:val="08870AF6"/>
    <w:rsid w:val="0888578C"/>
    <w:rsid w:val="08B44EE5"/>
    <w:rsid w:val="08D26035"/>
    <w:rsid w:val="08F050F2"/>
    <w:rsid w:val="091F21C1"/>
    <w:rsid w:val="092443B2"/>
    <w:rsid w:val="092C7268"/>
    <w:rsid w:val="092F54F0"/>
    <w:rsid w:val="094B6764"/>
    <w:rsid w:val="095E1B17"/>
    <w:rsid w:val="096B5FE2"/>
    <w:rsid w:val="09717ADB"/>
    <w:rsid w:val="097C14D6"/>
    <w:rsid w:val="097D7F49"/>
    <w:rsid w:val="09846BCF"/>
    <w:rsid w:val="098F7250"/>
    <w:rsid w:val="09931465"/>
    <w:rsid w:val="09992A9D"/>
    <w:rsid w:val="09B96AC7"/>
    <w:rsid w:val="09ED5F7B"/>
    <w:rsid w:val="09F621E7"/>
    <w:rsid w:val="0A1C108A"/>
    <w:rsid w:val="0A3D607D"/>
    <w:rsid w:val="0A4372A4"/>
    <w:rsid w:val="0A53524F"/>
    <w:rsid w:val="0A545241"/>
    <w:rsid w:val="0A586A6A"/>
    <w:rsid w:val="0A781EF7"/>
    <w:rsid w:val="0A843B5B"/>
    <w:rsid w:val="0A8D310D"/>
    <w:rsid w:val="0A93707C"/>
    <w:rsid w:val="0ACB42C8"/>
    <w:rsid w:val="0AFC15E8"/>
    <w:rsid w:val="0B001DDC"/>
    <w:rsid w:val="0B0D3F2D"/>
    <w:rsid w:val="0B16368A"/>
    <w:rsid w:val="0B4C4B2B"/>
    <w:rsid w:val="0B5774D8"/>
    <w:rsid w:val="0B60728D"/>
    <w:rsid w:val="0B624860"/>
    <w:rsid w:val="0B6E3B68"/>
    <w:rsid w:val="0B712E0F"/>
    <w:rsid w:val="0B8A7CA0"/>
    <w:rsid w:val="0BA80E28"/>
    <w:rsid w:val="0BB934DB"/>
    <w:rsid w:val="0BC508A7"/>
    <w:rsid w:val="0C036C74"/>
    <w:rsid w:val="0C0C5A74"/>
    <w:rsid w:val="0C1E733C"/>
    <w:rsid w:val="0C2427FC"/>
    <w:rsid w:val="0C685BAD"/>
    <w:rsid w:val="0C75526E"/>
    <w:rsid w:val="0C8033B0"/>
    <w:rsid w:val="0C890EC4"/>
    <w:rsid w:val="0C9D37B2"/>
    <w:rsid w:val="0CAA0D4B"/>
    <w:rsid w:val="0CBE467B"/>
    <w:rsid w:val="0CC02449"/>
    <w:rsid w:val="0CE642FD"/>
    <w:rsid w:val="0D0227BA"/>
    <w:rsid w:val="0D3D5EE8"/>
    <w:rsid w:val="0D4508F8"/>
    <w:rsid w:val="0D58672E"/>
    <w:rsid w:val="0D5D45EC"/>
    <w:rsid w:val="0D5E3708"/>
    <w:rsid w:val="0D683F59"/>
    <w:rsid w:val="0D6D75CC"/>
    <w:rsid w:val="0D7C4FAB"/>
    <w:rsid w:val="0D885229"/>
    <w:rsid w:val="0D905F9A"/>
    <w:rsid w:val="0DB00467"/>
    <w:rsid w:val="0DB20681"/>
    <w:rsid w:val="0DC940D5"/>
    <w:rsid w:val="0DE040EF"/>
    <w:rsid w:val="0DF04CAE"/>
    <w:rsid w:val="0DF35832"/>
    <w:rsid w:val="0E023C9B"/>
    <w:rsid w:val="0E0A3A74"/>
    <w:rsid w:val="0E0B2D81"/>
    <w:rsid w:val="0E2B08BA"/>
    <w:rsid w:val="0E3F606D"/>
    <w:rsid w:val="0E554081"/>
    <w:rsid w:val="0E5E0E21"/>
    <w:rsid w:val="0E6E41CA"/>
    <w:rsid w:val="0E8004E8"/>
    <w:rsid w:val="0E8C2C83"/>
    <w:rsid w:val="0E901A4D"/>
    <w:rsid w:val="0EA65B10"/>
    <w:rsid w:val="0EB66A3B"/>
    <w:rsid w:val="0EDB6C41"/>
    <w:rsid w:val="0EF6428A"/>
    <w:rsid w:val="0F0776E9"/>
    <w:rsid w:val="0F144389"/>
    <w:rsid w:val="0F16254C"/>
    <w:rsid w:val="0F4C3C61"/>
    <w:rsid w:val="0F4D4A00"/>
    <w:rsid w:val="0F5623FB"/>
    <w:rsid w:val="0F864220"/>
    <w:rsid w:val="0FA0798C"/>
    <w:rsid w:val="0FA84BF8"/>
    <w:rsid w:val="0FB3217F"/>
    <w:rsid w:val="0FB640A3"/>
    <w:rsid w:val="0FD1578B"/>
    <w:rsid w:val="0FF13326"/>
    <w:rsid w:val="0FF42D46"/>
    <w:rsid w:val="10245182"/>
    <w:rsid w:val="1025763E"/>
    <w:rsid w:val="103E1D5B"/>
    <w:rsid w:val="104960CE"/>
    <w:rsid w:val="10555B4A"/>
    <w:rsid w:val="105626B5"/>
    <w:rsid w:val="1066305F"/>
    <w:rsid w:val="109371A3"/>
    <w:rsid w:val="10A50969"/>
    <w:rsid w:val="10A87B1C"/>
    <w:rsid w:val="10C03B2E"/>
    <w:rsid w:val="10FE773C"/>
    <w:rsid w:val="11020FDA"/>
    <w:rsid w:val="113E2552"/>
    <w:rsid w:val="114F4457"/>
    <w:rsid w:val="116F3D11"/>
    <w:rsid w:val="118447F4"/>
    <w:rsid w:val="11905DE4"/>
    <w:rsid w:val="11A77DD3"/>
    <w:rsid w:val="11AC121C"/>
    <w:rsid w:val="11C82E93"/>
    <w:rsid w:val="11CB1D14"/>
    <w:rsid w:val="11CC5193"/>
    <w:rsid w:val="11D32B74"/>
    <w:rsid w:val="11DC388E"/>
    <w:rsid w:val="12076554"/>
    <w:rsid w:val="121739AB"/>
    <w:rsid w:val="121842DA"/>
    <w:rsid w:val="122375E8"/>
    <w:rsid w:val="122B2142"/>
    <w:rsid w:val="122C1F9E"/>
    <w:rsid w:val="12334B05"/>
    <w:rsid w:val="123B4863"/>
    <w:rsid w:val="127E0B34"/>
    <w:rsid w:val="127F50E9"/>
    <w:rsid w:val="128F4AEF"/>
    <w:rsid w:val="12910066"/>
    <w:rsid w:val="12C46AD7"/>
    <w:rsid w:val="12C85E5E"/>
    <w:rsid w:val="12CC5073"/>
    <w:rsid w:val="12E66AC7"/>
    <w:rsid w:val="130A6EA1"/>
    <w:rsid w:val="13182B0F"/>
    <w:rsid w:val="13196AED"/>
    <w:rsid w:val="13270DA2"/>
    <w:rsid w:val="132A2149"/>
    <w:rsid w:val="132F45B7"/>
    <w:rsid w:val="13442E8B"/>
    <w:rsid w:val="13630EE7"/>
    <w:rsid w:val="13726200"/>
    <w:rsid w:val="13777E3A"/>
    <w:rsid w:val="137B2478"/>
    <w:rsid w:val="139079EA"/>
    <w:rsid w:val="139705F0"/>
    <w:rsid w:val="139A4ED6"/>
    <w:rsid w:val="13C158A6"/>
    <w:rsid w:val="13C45CEB"/>
    <w:rsid w:val="13CC6924"/>
    <w:rsid w:val="13D660DB"/>
    <w:rsid w:val="13F84906"/>
    <w:rsid w:val="14235725"/>
    <w:rsid w:val="142C329C"/>
    <w:rsid w:val="14354D8F"/>
    <w:rsid w:val="143C7E77"/>
    <w:rsid w:val="147B320A"/>
    <w:rsid w:val="149C4EB6"/>
    <w:rsid w:val="14A00CB3"/>
    <w:rsid w:val="14AD605A"/>
    <w:rsid w:val="14B26AA0"/>
    <w:rsid w:val="14B74A3C"/>
    <w:rsid w:val="14DA5ADE"/>
    <w:rsid w:val="14DE58BA"/>
    <w:rsid w:val="14EB73EC"/>
    <w:rsid w:val="14F0511B"/>
    <w:rsid w:val="14F264E8"/>
    <w:rsid w:val="15003E83"/>
    <w:rsid w:val="150C4445"/>
    <w:rsid w:val="150F5734"/>
    <w:rsid w:val="151D2886"/>
    <w:rsid w:val="15350408"/>
    <w:rsid w:val="154D2A40"/>
    <w:rsid w:val="15570655"/>
    <w:rsid w:val="155F009E"/>
    <w:rsid w:val="1561002E"/>
    <w:rsid w:val="156F2E16"/>
    <w:rsid w:val="157224A6"/>
    <w:rsid w:val="15866F7A"/>
    <w:rsid w:val="15872DB1"/>
    <w:rsid w:val="159863B1"/>
    <w:rsid w:val="159E4C64"/>
    <w:rsid w:val="15A32F97"/>
    <w:rsid w:val="15B30AF5"/>
    <w:rsid w:val="15B7232D"/>
    <w:rsid w:val="16176136"/>
    <w:rsid w:val="16263E6A"/>
    <w:rsid w:val="16294BEA"/>
    <w:rsid w:val="162A6AD2"/>
    <w:rsid w:val="162D0DA8"/>
    <w:rsid w:val="16653546"/>
    <w:rsid w:val="1676667C"/>
    <w:rsid w:val="16767FB0"/>
    <w:rsid w:val="167A36F0"/>
    <w:rsid w:val="16A022F3"/>
    <w:rsid w:val="16A578BC"/>
    <w:rsid w:val="16AB2F99"/>
    <w:rsid w:val="16C301CE"/>
    <w:rsid w:val="16DC5842"/>
    <w:rsid w:val="17061754"/>
    <w:rsid w:val="170A76C1"/>
    <w:rsid w:val="17233A58"/>
    <w:rsid w:val="172E4C82"/>
    <w:rsid w:val="17361246"/>
    <w:rsid w:val="17A4719C"/>
    <w:rsid w:val="17A73C00"/>
    <w:rsid w:val="17B04794"/>
    <w:rsid w:val="17D313E3"/>
    <w:rsid w:val="17D90C45"/>
    <w:rsid w:val="17DD6C07"/>
    <w:rsid w:val="17E05364"/>
    <w:rsid w:val="17F712E8"/>
    <w:rsid w:val="17F9666A"/>
    <w:rsid w:val="1803013C"/>
    <w:rsid w:val="18211AA1"/>
    <w:rsid w:val="18251A52"/>
    <w:rsid w:val="1829516F"/>
    <w:rsid w:val="182954FC"/>
    <w:rsid w:val="182A7068"/>
    <w:rsid w:val="185365BF"/>
    <w:rsid w:val="188439F3"/>
    <w:rsid w:val="18871981"/>
    <w:rsid w:val="18B075C7"/>
    <w:rsid w:val="18E54BB3"/>
    <w:rsid w:val="191B5C11"/>
    <w:rsid w:val="19237DCB"/>
    <w:rsid w:val="192E559D"/>
    <w:rsid w:val="193A152D"/>
    <w:rsid w:val="197821ED"/>
    <w:rsid w:val="198033E4"/>
    <w:rsid w:val="199D20D7"/>
    <w:rsid w:val="19AE2A84"/>
    <w:rsid w:val="19B408DC"/>
    <w:rsid w:val="19CB1FC3"/>
    <w:rsid w:val="19CC27E2"/>
    <w:rsid w:val="1A076571"/>
    <w:rsid w:val="1A33031C"/>
    <w:rsid w:val="1A357BFA"/>
    <w:rsid w:val="1A373815"/>
    <w:rsid w:val="1A413807"/>
    <w:rsid w:val="1A903AFB"/>
    <w:rsid w:val="1A930EF5"/>
    <w:rsid w:val="1AA26FA2"/>
    <w:rsid w:val="1ACD2659"/>
    <w:rsid w:val="1ADD5EA3"/>
    <w:rsid w:val="1AE910D3"/>
    <w:rsid w:val="1B1C72BC"/>
    <w:rsid w:val="1B2A217A"/>
    <w:rsid w:val="1B3C120F"/>
    <w:rsid w:val="1B4B3C08"/>
    <w:rsid w:val="1B7436A3"/>
    <w:rsid w:val="1B7D6D7B"/>
    <w:rsid w:val="1B965D9B"/>
    <w:rsid w:val="1BC97CA5"/>
    <w:rsid w:val="1BD47A17"/>
    <w:rsid w:val="1C246C75"/>
    <w:rsid w:val="1C2D694D"/>
    <w:rsid w:val="1C7C0B2B"/>
    <w:rsid w:val="1C8255A7"/>
    <w:rsid w:val="1C9B17C7"/>
    <w:rsid w:val="1CAD2A85"/>
    <w:rsid w:val="1CBE6693"/>
    <w:rsid w:val="1CC7799C"/>
    <w:rsid w:val="1CCF70A6"/>
    <w:rsid w:val="1CD41622"/>
    <w:rsid w:val="1CD617D4"/>
    <w:rsid w:val="1CD759A8"/>
    <w:rsid w:val="1CE2090B"/>
    <w:rsid w:val="1CE4476C"/>
    <w:rsid w:val="1CEC0D90"/>
    <w:rsid w:val="1D1075D0"/>
    <w:rsid w:val="1D1B0519"/>
    <w:rsid w:val="1D444728"/>
    <w:rsid w:val="1D622E82"/>
    <w:rsid w:val="1D6C5FEB"/>
    <w:rsid w:val="1D7544E9"/>
    <w:rsid w:val="1D8348E7"/>
    <w:rsid w:val="1D8701E5"/>
    <w:rsid w:val="1D8F1E47"/>
    <w:rsid w:val="1D9C6B0B"/>
    <w:rsid w:val="1D9E42D7"/>
    <w:rsid w:val="1DCF145A"/>
    <w:rsid w:val="1DD47FC3"/>
    <w:rsid w:val="1DDE5104"/>
    <w:rsid w:val="1DF23173"/>
    <w:rsid w:val="1DF431D5"/>
    <w:rsid w:val="1DFF1E06"/>
    <w:rsid w:val="1E014666"/>
    <w:rsid w:val="1E1660C5"/>
    <w:rsid w:val="1E34615D"/>
    <w:rsid w:val="1E396C13"/>
    <w:rsid w:val="1E3D3FE9"/>
    <w:rsid w:val="1E445737"/>
    <w:rsid w:val="1E4470D6"/>
    <w:rsid w:val="1E500752"/>
    <w:rsid w:val="1E645993"/>
    <w:rsid w:val="1E6C0359"/>
    <w:rsid w:val="1E7A2AF8"/>
    <w:rsid w:val="1E885624"/>
    <w:rsid w:val="1E8F6F99"/>
    <w:rsid w:val="1EC037BD"/>
    <w:rsid w:val="1ED85A70"/>
    <w:rsid w:val="1EDA5344"/>
    <w:rsid w:val="1EE617B0"/>
    <w:rsid w:val="1F0D2A55"/>
    <w:rsid w:val="1F105982"/>
    <w:rsid w:val="1F195519"/>
    <w:rsid w:val="1F2C247E"/>
    <w:rsid w:val="1F7D4176"/>
    <w:rsid w:val="1F8439E5"/>
    <w:rsid w:val="1F8C3B5F"/>
    <w:rsid w:val="1F932656"/>
    <w:rsid w:val="1F9E52A5"/>
    <w:rsid w:val="1FA407F3"/>
    <w:rsid w:val="1FC11EBA"/>
    <w:rsid w:val="1FDD4E17"/>
    <w:rsid w:val="1FE017B8"/>
    <w:rsid w:val="20020715"/>
    <w:rsid w:val="201413DE"/>
    <w:rsid w:val="20207222"/>
    <w:rsid w:val="20425964"/>
    <w:rsid w:val="20583E52"/>
    <w:rsid w:val="20836886"/>
    <w:rsid w:val="20886FEB"/>
    <w:rsid w:val="208F5E09"/>
    <w:rsid w:val="20B15B36"/>
    <w:rsid w:val="20BE27CB"/>
    <w:rsid w:val="20C41E20"/>
    <w:rsid w:val="20C43B30"/>
    <w:rsid w:val="20CE70DA"/>
    <w:rsid w:val="20EF49FF"/>
    <w:rsid w:val="210220C0"/>
    <w:rsid w:val="2122528C"/>
    <w:rsid w:val="21343D58"/>
    <w:rsid w:val="213A5EAE"/>
    <w:rsid w:val="21531D55"/>
    <w:rsid w:val="219A2024"/>
    <w:rsid w:val="219E4294"/>
    <w:rsid w:val="21AF33AA"/>
    <w:rsid w:val="21AF6C7E"/>
    <w:rsid w:val="21B07443"/>
    <w:rsid w:val="21F15173"/>
    <w:rsid w:val="221F6F24"/>
    <w:rsid w:val="224637BE"/>
    <w:rsid w:val="228727F7"/>
    <w:rsid w:val="22994BF5"/>
    <w:rsid w:val="22B96E08"/>
    <w:rsid w:val="22C75BE0"/>
    <w:rsid w:val="22C8196E"/>
    <w:rsid w:val="22CE62D8"/>
    <w:rsid w:val="22D31C0C"/>
    <w:rsid w:val="22DB4D22"/>
    <w:rsid w:val="22F0117A"/>
    <w:rsid w:val="23091C24"/>
    <w:rsid w:val="232331B4"/>
    <w:rsid w:val="23287E25"/>
    <w:rsid w:val="233A2855"/>
    <w:rsid w:val="236C05B5"/>
    <w:rsid w:val="23766FB8"/>
    <w:rsid w:val="237B7707"/>
    <w:rsid w:val="237C7249"/>
    <w:rsid w:val="23CB7346"/>
    <w:rsid w:val="240A413D"/>
    <w:rsid w:val="242C5369"/>
    <w:rsid w:val="242E3E40"/>
    <w:rsid w:val="245E735A"/>
    <w:rsid w:val="246765A2"/>
    <w:rsid w:val="24807410"/>
    <w:rsid w:val="24A322E9"/>
    <w:rsid w:val="24BE50DC"/>
    <w:rsid w:val="24BF6D5D"/>
    <w:rsid w:val="24C074CF"/>
    <w:rsid w:val="24D079C3"/>
    <w:rsid w:val="24D87E75"/>
    <w:rsid w:val="24E34400"/>
    <w:rsid w:val="24EB3B00"/>
    <w:rsid w:val="250A3131"/>
    <w:rsid w:val="2510562E"/>
    <w:rsid w:val="251408E2"/>
    <w:rsid w:val="25196DF7"/>
    <w:rsid w:val="255450C2"/>
    <w:rsid w:val="256273B2"/>
    <w:rsid w:val="256B6A17"/>
    <w:rsid w:val="25895F99"/>
    <w:rsid w:val="258F5A16"/>
    <w:rsid w:val="2596536C"/>
    <w:rsid w:val="25AD37B3"/>
    <w:rsid w:val="25D03CE9"/>
    <w:rsid w:val="25D208B4"/>
    <w:rsid w:val="25D91613"/>
    <w:rsid w:val="25E612F3"/>
    <w:rsid w:val="26003694"/>
    <w:rsid w:val="260E1D77"/>
    <w:rsid w:val="26277E35"/>
    <w:rsid w:val="262929DD"/>
    <w:rsid w:val="26331F11"/>
    <w:rsid w:val="26346449"/>
    <w:rsid w:val="263C6B86"/>
    <w:rsid w:val="266C2C37"/>
    <w:rsid w:val="26974D26"/>
    <w:rsid w:val="26A763B5"/>
    <w:rsid w:val="26F8653B"/>
    <w:rsid w:val="26FD2EBF"/>
    <w:rsid w:val="26FE2F45"/>
    <w:rsid w:val="271A0C9D"/>
    <w:rsid w:val="273F3E41"/>
    <w:rsid w:val="27421FE8"/>
    <w:rsid w:val="27656E8B"/>
    <w:rsid w:val="2767173F"/>
    <w:rsid w:val="27721410"/>
    <w:rsid w:val="27732043"/>
    <w:rsid w:val="27837B5C"/>
    <w:rsid w:val="27864916"/>
    <w:rsid w:val="27895B59"/>
    <w:rsid w:val="279426EC"/>
    <w:rsid w:val="27B0058F"/>
    <w:rsid w:val="27D63767"/>
    <w:rsid w:val="27E10001"/>
    <w:rsid w:val="281D2B22"/>
    <w:rsid w:val="282F0A6A"/>
    <w:rsid w:val="28360373"/>
    <w:rsid w:val="28665AC2"/>
    <w:rsid w:val="286E0BBA"/>
    <w:rsid w:val="2886653D"/>
    <w:rsid w:val="2887358B"/>
    <w:rsid w:val="289767F2"/>
    <w:rsid w:val="289B1850"/>
    <w:rsid w:val="28AE0733"/>
    <w:rsid w:val="28E82573"/>
    <w:rsid w:val="29105828"/>
    <w:rsid w:val="29166F90"/>
    <w:rsid w:val="291B0A33"/>
    <w:rsid w:val="2930385A"/>
    <w:rsid w:val="293C6397"/>
    <w:rsid w:val="29520983"/>
    <w:rsid w:val="29561825"/>
    <w:rsid w:val="296C70D0"/>
    <w:rsid w:val="29777EBD"/>
    <w:rsid w:val="297C2353"/>
    <w:rsid w:val="29FE04DB"/>
    <w:rsid w:val="29FF1F39"/>
    <w:rsid w:val="2A3A0678"/>
    <w:rsid w:val="2A495A74"/>
    <w:rsid w:val="2A5B7D1F"/>
    <w:rsid w:val="2A78217A"/>
    <w:rsid w:val="2A9211C9"/>
    <w:rsid w:val="2A953F2E"/>
    <w:rsid w:val="2AC91779"/>
    <w:rsid w:val="2AEE11D9"/>
    <w:rsid w:val="2B0C10B3"/>
    <w:rsid w:val="2B366107"/>
    <w:rsid w:val="2B54022C"/>
    <w:rsid w:val="2B562AA1"/>
    <w:rsid w:val="2B59425E"/>
    <w:rsid w:val="2B5F772E"/>
    <w:rsid w:val="2BAB67F6"/>
    <w:rsid w:val="2BB771B1"/>
    <w:rsid w:val="2BBB7D70"/>
    <w:rsid w:val="2BCF6C22"/>
    <w:rsid w:val="2C02412C"/>
    <w:rsid w:val="2C1E6E8C"/>
    <w:rsid w:val="2C224E8B"/>
    <w:rsid w:val="2C3E37EF"/>
    <w:rsid w:val="2C707A92"/>
    <w:rsid w:val="2C892A42"/>
    <w:rsid w:val="2C901738"/>
    <w:rsid w:val="2CA736D5"/>
    <w:rsid w:val="2CBC47AF"/>
    <w:rsid w:val="2CC032E9"/>
    <w:rsid w:val="2CC74102"/>
    <w:rsid w:val="2CD63BB6"/>
    <w:rsid w:val="2D0B636E"/>
    <w:rsid w:val="2D160709"/>
    <w:rsid w:val="2D23435A"/>
    <w:rsid w:val="2D461830"/>
    <w:rsid w:val="2D5730C3"/>
    <w:rsid w:val="2D76665B"/>
    <w:rsid w:val="2D796670"/>
    <w:rsid w:val="2D8E58E0"/>
    <w:rsid w:val="2DB82D38"/>
    <w:rsid w:val="2DBE476A"/>
    <w:rsid w:val="2DC87C26"/>
    <w:rsid w:val="2DE41CA7"/>
    <w:rsid w:val="2E1E4BAA"/>
    <w:rsid w:val="2E2F54B7"/>
    <w:rsid w:val="2E3521A5"/>
    <w:rsid w:val="2E407AD0"/>
    <w:rsid w:val="2E50631C"/>
    <w:rsid w:val="2E516F47"/>
    <w:rsid w:val="2E5F078A"/>
    <w:rsid w:val="2E7A2E99"/>
    <w:rsid w:val="2E9171DC"/>
    <w:rsid w:val="2EA1719B"/>
    <w:rsid w:val="2EC35DCA"/>
    <w:rsid w:val="2ED60DB8"/>
    <w:rsid w:val="2EDE780E"/>
    <w:rsid w:val="2EE014FB"/>
    <w:rsid w:val="2EEA6055"/>
    <w:rsid w:val="2EEA6B08"/>
    <w:rsid w:val="2F076CED"/>
    <w:rsid w:val="2F3F18AD"/>
    <w:rsid w:val="2F5F5A45"/>
    <w:rsid w:val="2F6E523C"/>
    <w:rsid w:val="2F6F0FE6"/>
    <w:rsid w:val="2F784C3E"/>
    <w:rsid w:val="2F983DE7"/>
    <w:rsid w:val="2FA34BA4"/>
    <w:rsid w:val="2FB27C44"/>
    <w:rsid w:val="2FCE27ED"/>
    <w:rsid w:val="2FFD50D7"/>
    <w:rsid w:val="300E3D0E"/>
    <w:rsid w:val="301446C7"/>
    <w:rsid w:val="30145832"/>
    <w:rsid w:val="30226B4B"/>
    <w:rsid w:val="30350B9F"/>
    <w:rsid w:val="303E6BAE"/>
    <w:rsid w:val="306E31EA"/>
    <w:rsid w:val="30722E0E"/>
    <w:rsid w:val="307440EA"/>
    <w:rsid w:val="308915C2"/>
    <w:rsid w:val="30A803DE"/>
    <w:rsid w:val="30CA69CE"/>
    <w:rsid w:val="30DC700E"/>
    <w:rsid w:val="30F14C99"/>
    <w:rsid w:val="30FF4FB8"/>
    <w:rsid w:val="311860CF"/>
    <w:rsid w:val="313856CE"/>
    <w:rsid w:val="314158F9"/>
    <w:rsid w:val="31437A2F"/>
    <w:rsid w:val="314F14F0"/>
    <w:rsid w:val="318530B2"/>
    <w:rsid w:val="31993059"/>
    <w:rsid w:val="31B01AA1"/>
    <w:rsid w:val="31C618C2"/>
    <w:rsid w:val="31D80889"/>
    <w:rsid w:val="31EB1D09"/>
    <w:rsid w:val="31FF078C"/>
    <w:rsid w:val="320E2255"/>
    <w:rsid w:val="320F034F"/>
    <w:rsid w:val="3225007B"/>
    <w:rsid w:val="322724D4"/>
    <w:rsid w:val="32304EEB"/>
    <w:rsid w:val="32377C8B"/>
    <w:rsid w:val="3269379F"/>
    <w:rsid w:val="327B02A1"/>
    <w:rsid w:val="32810765"/>
    <w:rsid w:val="32B0218A"/>
    <w:rsid w:val="32BA7245"/>
    <w:rsid w:val="32CE0937"/>
    <w:rsid w:val="32D560F7"/>
    <w:rsid w:val="32EE48E1"/>
    <w:rsid w:val="32F04CDF"/>
    <w:rsid w:val="33051899"/>
    <w:rsid w:val="33280BB7"/>
    <w:rsid w:val="3329067E"/>
    <w:rsid w:val="333A23FE"/>
    <w:rsid w:val="33744A3A"/>
    <w:rsid w:val="33AF4B9A"/>
    <w:rsid w:val="33C40EFA"/>
    <w:rsid w:val="33F431EB"/>
    <w:rsid w:val="33F72AAB"/>
    <w:rsid w:val="33F84667"/>
    <w:rsid w:val="343E7CCC"/>
    <w:rsid w:val="344C063B"/>
    <w:rsid w:val="3456735A"/>
    <w:rsid w:val="34625F56"/>
    <w:rsid w:val="347B1933"/>
    <w:rsid w:val="348457AF"/>
    <w:rsid w:val="34847DD4"/>
    <w:rsid w:val="34B47FAC"/>
    <w:rsid w:val="34C32128"/>
    <w:rsid w:val="34CA7F7D"/>
    <w:rsid w:val="34DD19F9"/>
    <w:rsid w:val="34F374BA"/>
    <w:rsid w:val="34F85173"/>
    <w:rsid w:val="350A2B1F"/>
    <w:rsid w:val="3527242E"/>
    <w:rsid w:val="352E0240"/>
    <w:rsid w:val="35391B23"/>
    <w:rsid w:val="353D7107"/>
    <w:rsid w:val="354C0D81"/>
    <w:rsid w:val="3560601D"/>
    <w:rsid w:val="356104E3"/>
    <w:rsid w:val="356608CA"/>
    <w:rsid w:val="35704438"/>
    <w:rsid w:val="357E1DF9"/>
    <w:rsid w:val="357F6732"/>
    <w:rsid w:val="358F3A2A"/>
    <w:rsid w:val="359E5D12"/>
    <w:rsid w:val="35AD7FD3"/>
    <w:rsid w:val="35B06654"/>
    <w:rsid w:val="35B5088A"/>
    <w:rsid w:val="360717B5"/>
    <w:rsid w:val="36110951"/>
    <w:rsid w:val="3614035B"/>
    <w:rsid w:val="364C2B74"/>
    <w:rsid w:val="36561ABA"/>
    <w:rsid w:val="36587E6D"/>
    <w:rsid w:val="3676374D"/>
    <w:rsid w:val="369800D2"/>
    <w:rsid w:val="36985DB9"/>
    <w:rsid w:val="36A2510F"/>
    <w:rsid w:val="36A96C0E"/>
    <w:rsid w:val="36DB3EF8"/>
    <w:rsid w:val="36E05487"/>
    <w:rsid w:val="37180EE6"/>
    <w:rsid w:val="371817F6"/>
    <w:rsid w:val="372B4364"/>
    <w:rsid w:val="3747215A"/>
    <w:rsid w:val="375331D8"/>
    <w:rsid w:val="37745A1A"/>
    <w:rsid w:val="377A1A4A"/>
    <w:rsid w:val="377D529F"/>
    <w:rsid w:val="3794307F"/>
    <w:rsid w:val="37A1074F"/>
    <w:rsid w:val="37BC69E5"/>
    <w:rsid w:val="38115B59"/>
    <w:rsid w:val="389D345A"/>
    <w:rsid w:val="38D267C8"/>
    <w:rsid w:val="38E54BBA"/>
    <w:rsid w:val="38FA5577"/>
    <w:rsid w:val="39120245"/>
    <w:rsid w:val="392F4619"/>
    <w:rsid w:val="39376052"/>
    <w:rsid w:val="394A0EC1"/>
    <w:rsid w:val="39B92BE1"/>
    <w:rsid w:val="39C57443"/>
    <w:rsid w:val="39D2513E"/>
    <w:rsid w:val="39E05AB6"/>
    <w:rsid w:val="39EF3884"/>
    <w:rsid w:val="39F0398C"/>
    <w:rsid w:val="39F71176"/>
    <w:rsid w:val="39F77255"/>
    <w:rsid w:val="39F95C91"/>
    <w:rsid w:val="3A053FBA"/>
    <w:rsid w:val="3A07454B"/>
    <w:rsid w:val="3A4D2A17"/>
    <w:rsid w:val="3A52002D"/>
    <w:rsid w:val="3A5244D1"/>
    <w:rsid w:val="3A72247D"/>
    <w:rsid w:val="3A7244E6"/>
    <w:rsid w:val="3A7D0A8C"/>
    <w:rsid w:val="3A847BED"/>
    <w:rsid w:val="3AA415FB"/>
    <w:rsid w:val="3AA44166"/>
    <w:rsid w:val="3AAC1B07"/>
    <w:rsid w:val="3AB42A96"/>
    <w:rsid w:val="3AEB3EB2"/>
    <w:rsid w:val="3B124F69"/>
    <w:rsid w:val="3B306175"/>
    <w:rsid w:val="3B5424B5"/>
    <w:rsid w:val="3BB61EF8"/>
    <w:rsid w:val="3BBD7908"/>
    <w:rsid w:val="3BCB453B"/>
    <w:rsid w:val="3BCF17D0"/>
    <w:rsid w:val="3BDE3ABF"/>
    <w:rsid w:val="3BE34403"/>
    <w:rsid w:val="3BFC51A9"/>
    <w:rsid w:val="3C2154A4"/>
    <w:rsid w:val="3C38507A"/>
    <w:rsid w:val="3C3F6380"/>
    <w:rsid w:val="3C5F24DF"/>
    <w:rsid w:val="3C777C80"/>
    <w:rsid w:val="3C7B058B"/>
    <w:rsid w:val="3C7E335B"/>
    <w:rsid w:val="3C840B94"/>
    <w:rsid w:val="3C8769AA"/>
    <w:rsid w:val="3C9376DE"/>
    <w:rsid w:val="3CA37EBE"/>
    <w:rsid w:val="3CAC01D9"/>
    <w:rsid w:val="3CAE2475"/>
    <w:rsid w:val="3CBB5AD9"/>
    <w:rsid w:val="3CD04E10"/>
    <w:rsid w:val="3CE23CFC"/>
    <w:rsid w:val="3CED51FD"/>
    <w:rsid w:val="3CF95C2B"/>
    <w:rsid w:val="3CFF62C6"/>
    <w:rsid w:val="3D031CCA"/>
    <w:rsid w:val="3D1028DD"/>
    <w:rsid w:val="3D325C8C"/>
    <w:rsid w:val="3D3B4234"/>
    <w:rsid w:val="3D4467D3"/>
    <w:rsid w:val="3D57198C"/>
    <w:rsid w:val="3D591ABC"/>
    <w:rsid w:val="3D654207"/>
    <w:rsid w:val="3D73569F"/>
    <w:rsid w:val="3D7E4565"/>
    <w:rsid w:val="3D944720"/>
    <w:rsid w:val="3D9B6125"/>
    <w:rsid w:val="3D9B67B4"/>
    <w:rsid w:val="3DC500DF"/>
    <w:rsid w:val="3DCF542D"/>
    <w:rsid w:val="3DEF595B"/>
    <w:rsid w:val="3E0749C0"/>
    <w:rsid w:val="3E18298B"/>
    <w:rsid w:val="3E2919ED"/>
    <w:rsid w:val="3E2E7A1F"/>
    <w:rsid w:val="3E482812"/>
    <w:rsid w:val="3E5858FB"/>
    <w:rsid w:val="3E676D54"/>
    <w:rsid w:val="3E8246DC"/>
    <w:rsid w:val="3E8E4D52"/>
    <w:rsid w:val="3E90202D"/>
    <w:rsid w:val="3E9B3E95"/>
    <w:rsid w:val="3EAD1CD6"/>
    <w:rsid w:val="3EAD33E7"/>
    <w:rsid w:val="3EAE10A0"/>
    <w:rsid w:val="3EC13B41"/>
    <w:rsid w:val="3ED259CC"/>
    <w:rsid w:val="3ED71AFC"/>
    <w:rsid w:val="3ED96F6F"/>
    <w:rsid w:val="3EDD409A"/>
    <w:rsid w:val="3EF67B21"/>
    <w:rsid w:val="3F05193F"/>
    <w:rsid w:val="3F057D64"/>
    <w:rsid w:val="3F1D6785"/>
    <w:rsid w:val="3F285E40"/>
    <w:rsid w:val="3F2A0843"/>
    <w:rsid w:val="3F2B63D2"/>
    <w:rsid w:val="3F2D1069"/>
    <w:rsid w:val="3F3B0ECD"/>
    <w:rsid w:val="3F414B7A"/>
    <w:rsid w:val="3F485EA2"/>
    <w:rsid w:val="3F52397F"/>
    <w:rsid w:val="3F5F3978"/>
    <w:rsid w:val="3F607E4E"/>
    <w:rsid w:val="3F7800C6"/>
    <w:rsid w:val="3F8628C4"/>
    <w:rsid w:val="3F884433"/>
    <w:rsid w:val="3F8F651B"/>
    <w:rsid w:val="3F9A0EEE"/>
    <w:rsid w:val="3FA141F3"/>
    <w:rsid w:val="3FAA25DD"/>
    <w:rsid w:val="3FB352AE"/>
    <w:rsid w:val="3FC05618"/>
    <w:rsid w:val="3FC83CB6"/>
    <w:rsid w:val="3FD02E2D"/>
    <w:rsid w:val="401B2E1B"/>
    <w:rsid w:val="402454C9"/>
    <w:rsid w:val="40520C23"/>
    <w:rsid w:val="40530EF1"/>
    <w:rsid w:val="405F34A4"/>
    <w:rsid w:val="40622C13"/>
    <w:rsid w:val="408B3189"/>
    <w:rsid w:val="408C6C53"/>
    <w:rsid w:val="409B5D39"/>
    <w:rsid w:val="40D05E19"/>
    <w:rsid w:val="40D41197"/>
    <w:rsid w:val="40DD6B84"/>
    <w:rsid w:val="40F42BE1"/>
    <w:rsid w:val="41117D93"/>
    <w:rsid w:val="41206955"/>
    <w:rsid w:val="412A3AB2"/>
    <w:rsid w:val="414049EF"/>
    <w:rsid w:val="41556C4D"/>
    <w:rsid w:val="416E1DEB"/>
    <w:rsid w:val="416E27E2"/>
    <w:rsid w:val="41874AFE"/>
    <w:rsid w:val="41A205CC"/>
    <w:rsid w:val="41A24424"/>
    <w:rsid w:val="41BA0E50"/>
    <w:rsid w:val="41D52AC6"/>
    <w:rsid w:val="41F32695"/>
    <w:rsid w:val="42221B56"/>
    <w:rsid w:val="424B3F75"/>
    <w:rsid w:val="4262727B"/>
    <w:rsid w:val="427F7296"/>
    <w:rsid w:val="42807747"/>
    <w:rsid w:val="42860E30"/>
    <w:rsid w:val="42892454"/>
    <w:rsid w:val="42AB4913"/>
    <w:rsid w:val="42B80958"/>
    <w:rsid w:val="42C8119D"/>
    <w:rsid w:val="42D02A64"/>
    <w:rsid w:val="42F26FC6"/>
    <w:rsid w:val="431728DE"/>
    <w:rsid w:val="4335179B"/>
    <w:rsid w:val="433D3B25"/>
    <w:rsid w:val="43486471"/>
    <w:rsid w:val="43486FC5"/>
    <w:rsid w:val="435E4F54"/>
    <w:rsid w:val="436C6603"/>
    <w:rsid w:val="4388655A"/>
    <w:rsid w:val="43C1344F"/>
    <w:rsid w:val="43C71A8C"/>
    <w:rsid w:val="43F17158"/>
    <w:rsid w:val="441272AF"/>
    <w:rsid w:val="441C2246"/>
    <w:rsid w:val="44261E70"/>
    <w:rsid w:val="445C58DE"/>
    <w:rsid w:val="44807384"/>
    <w:rsid w:val="448458B1"/>
    <w:rsid w:val="44A27230"/>
    <w:rsid w:val="44AF5721"/>
    <w:rsid w:val="44BF0F5B"/>
    <w:rsid w:val="44EB22D3"/>
    <w:rsid w:val="44FE28ED"/>
    <w:rsid w:val="44FF58D0"/>
    <w:rsid w:val="4502139D"/>
    <w:rsid w:val="4508583C"/>
    <w:rsid w:val="451071C1"/>
    <w:rsid w:val="45162BC6"/>
    <w:rsid w:val="45254FAD"/>
    <w:rsid w:val="453529E5"/>
    <w:rsid w:val="45667082"/>
    <w:rsid w:val="456E075A"/>
    <w:rsid w:val="45846985"/>
    <w:rsid w:val="458919AF"/>
    <w:rsid w:val="458A5712"/>
    <w:rsid w:val="45A46818"/>
    <w:rsid w:val="45A75530"/>
    <w:rsid w:val="45A8769B"/>
    <w:rsid w:val="45A90CA1"/>
    <w:rsid w:val="45AD4ACE"/>
    <w:rsid w:val="45B914F0"/>
    <w:rsid w:val="45BB522E"/>
    <w:rsid w:val="45C000D8"/>
    <w:rsid w:val="45D00AC2"/>
    <w:rsid w:val="45D46A6F"/>
    <w:rsid w:val="45D81EF5"/>
    <w:rsid w:val="45DA6FF2"/>
    <w:rsid w:val="45F927B9"/>
    <w:rsid w:val="461A744D"/>
    <w:rsid w:val="46282ADD"/>
    <w:rsid w:val="462B2998"/>
    <w:rsid w:val="46465A60"/>
    <w:rsid w:val="4676401C"/>
    <w:rsid w:val="469A5635"/>
    <w:rsid w:val="46A75BA4"/>
    <w:rsid w:val="46B02E88"/>
    <w:rsid w:val="46C85308"/>
    <w:rsid w:val="46C91CCA"/>
    <w:rsid w:val="46F452D3"/>
    <w:rsid w:val="46FA3181"/>
    <w:rsid w:val="47095F17"/>
    <w:rsid w:val="4712301E"/>
    <w:rsid w:val="471D091C"/>
    <w:rsid w:val="473F7161"/>
    <w:rsid w:val="47450AE9"/>
    <w:rsid w:val="47472CAA"/>
    <w:rsid w:val="47523754"/>
    <w:rsid w:val="475953BF"/>
    <w:rsid w:val="476761E3"/>
    <w:rsid w:val="47792BC5"/>
    <w:rsid w:val="47835EC1"/>
    <w:rsid w:val="47893893"/>
    <w:rsid w:val="47921A6D"/>
    <w:rsid w:val="479E424F"/>
    <w:rsid w:val="47A11F37"/>
    <w:rsid w:val="47A32137"/>
    <w:rsid w:val="47A4482E"/>
    <w:rsid w:val="47B34B2D"/>
    <w:rsid w:val="47C5686C"/>
    <w:rsid w:val="47D91BF1"/>
    <w:rsid w:val="47F917D0"/>
    <w:rsid w:val="480525AF"/>
    <w:rsid w:val="48143CF3"/>
    <w:rsid w:val="48321B9D"/>
    <w:rsid w:val="48680FDD"/>
    <w:rsid w:val="487B62B4"/>
    <w:rsid w:val="489F6F1B"/>
    <w:rsid w:val="48D34A2F"/>
    <w:rsid w:val="48E81F50"/>
    <w:rsid w:val="48EF7B6D"/>
    <w:rsid w:val="48F83F48"/>
    <w:rsid w:val="49646C34"/>
    <w:rsid w:val="49876B7C"/>
    <w:rsid w:val="499A5AC2"/>
    <w:rsid w:val="49B65AFD"/>
    <w:rsid w:val="49BF725D"/>
    <w:rsid w:val="49CF133E"/>
    <w:rsid w:val="49F16D82"/>
    <w:rsid w:val="4A0971F9"/>
    <w:rsid w:val="4A2F399F"/>
    <w:rsid w:val="4A34774F"/>
    <w:rsid w:val="4A353218"/>
    <w:rsid w:val="4A6C513B"/>
    <w:rsid w:val="4A6F1B6E"/>
    <w:rsid w:val="4A825CB9"/>
    <w:rsid w:val="4AC57FCE"/>
    <w:rsid w:val="4ADA311C"/>
    <w:rsid w:val="4AF86D77"/>
    <w:rsid w:val="4B0432CD"/>
    <w:rsid w:val="4B164094"/>
    <w:rsid w:val="4B1D6435"/>
    <w:rsid w:val="4B252AD0"/>
    <w:rsid w:val="4B3223A6"/>
    <w:rsid w:val="4B3A470A"/>
    <w:rsid w:val="4B490571"/>
    <w:rsid w:val="4B9A72B6"/>
    <w:rsid w:val="4BA22BA5"/>
    <w:rsid w:val="4BDB6E5D"/>
    <w:rsid w:val="4C116942"/>
    <w:rsid w:val="4C117A8A"/>
    <w:rsid w:val="4C1C66ED"/>
    <w:rsid w:val="4C24003F"/>
    <w:rsid w:val="4C767A9F"/>
    <w:rsid w:val="4CBA2BAD"/>
    <w:rsid w:val="4CBA4E95"/>
    <w:rsid w:val="4CD81EDF"/>
    <w:rsid w:val="4CDE39A2"/>
    <w:rsid w:val="4D1A7420"/>
    <w:rsid w:val="4D1B0577"/>
    <w:rsid w:val="4D2C291C"/>
    <w:rsid w:val="4D5A3EAF"/>
    <w:rsid w:val="4D616AAD"/>
    <w:rsid w:val="4D670BD1"/>
    <w:rsid w:val="4D72759D"/>
    <w:rsid w:val="4D7F4451"/>
    <w:rsid w:val="4D897DB2"/>
    <w:rsid w:val="4D987957"/>
    <w:rsid w:val="4D9F1383"/>
    <w:rsid w:val="4DB371B2"/>
    <w:rsid w:val="4DCE1E0B"/>
    <w:rsid w:val="4DEB3AB8"/>
    <w:rsid w:val="4DEFB403"/>
    <w:rsid w:val="4E22127D"/>
    <w:rsid w:val="4E30022D"/>
    <w:rsid w:val="4E30647F"/>
    <w:rsid w:val="4E3824CE"/>
    <w:rsid w:val="4E3A3258"/>
    <w:rsid w:val="4E482C8F"/>
    <w:rsid w:val="4E604959"/>
    <w:rsid w:val="4E616A14"/>
    <w:rsid w:val="4E6C1FEA"/>
    <w:rsid w:val="4E6C290E"/>
    <w:rsid w:val="4E89150D"/>
    <w:rsid w:val="4EA2688E"/>
    <w:rsid w:val="4F044A02"/>
    <w:rsid w:val="4F0516BA"/>
    <w:rsid w:val="4F0A5FD9"/>
    <w:rsid w:val="4F1C2E7C"/>
    <w:rsid w:val="4F556AA3"/>
    <w:rsid w:val="4F5D732E"/>
    <w:rsid w:val="4F676AF7"/>
    <w:rsid w:val="4F6B3B89"/>
    <w:rsid w:val="4F864A6D"/>
    <w:rsid w:val="4F880574"/>
    <w:rsid w:val="4FAC3180"/>
    <w:rsid w:val="4FB85879"/>
    <w:rsid w:val="4FED18F1"/>
    <w:rsid w:val="4FF37764"/>
    <w:rsid w:val="500F7602"/>
    <w:rsid w:val="50250266"/>
    <w:rsid w:val="503E1327"/>
    <w:rsid w:val="5042593A"/>
    <w:rsid w:val="50696F32"/>
    <w:rsid w:val="50970A38"/>
    <w:rsid w:val="509F34F9"/>
    <w:rsid w:val="50BE5FC4"/>
    <w:rsid w:val="50D2381E"/>
    <w:rsid w:val="50D47C21"/>
    <w:rsid w:val="50D61980"/>
    <w:rsid w:val="50F700F6"/>
    <w:rsid w:val="510846F5"/>
    <w:rsid w:val="51121E6C"/>
    <w:rsid w:val="51183503"/>
    <w:rsid w:val="5128413F"/>
    <w:rsid w:val="51376B19"/>
    <w:rsid w:val="513F0D1B"/>
    <w:rsid w:val="51402BA8"/>
    <w:rsid w:val="516D1EB0"/>
    <w:rsid w:val="519C73E4"/>
    <w:rsid w:val="51A06605"/>
    <w:rsid w:val="51BD2161"/>
    <w:rsid w:val="51F223CA"/>
    <w:rsid w:val="51F32FC8"/>
    <w:rsid w:val="522C6F57"/>
    <w:rsid w:val="52305B9C"/>
    <w:rsid w:val="52482DEE"/>
    <w:rsid w:val="524C0A95"/>
    <w:rsid w:val="525A3ACB"/>
    <w:rsid w:val="526945D1"/>
    <w:rsid w:val="526A06BA"/>
    <w:rsid w:val="526D7CA2"/>
    <w:rsid w:val="526E7C80"/>
    <w:rsid w:val="529C0ECB"/>
    <w:rsid w:val="52AA0E45"/>
    <w:rsid w:val="52AD3DC2"/>
    <w:rsid w:val="52AE59AE"/>
    <w:rsid w:val="52B47856"/>
    <w:rsid w:val="52BC4197"/>
    <w:rsid w:val="52CE321D"/>
    <w:rsid w:val="52D30982"/>
    <w:rsid w:val="52DD3AB7"/>
    <w:rsid w:val="52ED7D96"/>
    <w:rsid w:val="52FF7449"/>
    <w:rsid w:val="53225247"/>
    <w:rsid w:val="53500453"/>
    <w:rsid w:val="53620E89"/>
    <w:rsid w:val="536E0EA6"/>
    <w:rsid w:val="536F1AF1"/>
    <w:rsid w:val="538232D9"/>
    <w:rsid w:val="539E42B0"/>
    <w:rsid w:val="53BF13F1"/>
    <w:rsid w:val="53D77D03"/>
    <w:rsid w:val="53FC12DE"/>
    <w:rsid w:val="541E54AE"/>
    <w:rsid w:val="541E68E1"/>
    <w:rsid w:val="54372316"/>
    <w:rsid w:val="543C16DA"/>
    <w:rsid w:val="5464590D"/>
    <w:rsid w:val="546E553F"/>
    <w:rsid w:val="547370C6"/>
    <w:rsid w:val="54D23DEC"/>
    <w:rsid w:val="54D538DD"/>
    <w:rsid w:val="54D91B2B"/>
    <w:rsid w:val="54F56F29"/>
    <w:rsid w:val="55085CD8"/>
    <w:rsid w:val="5517695D"/>
    <w:rsid w:val="552760B5"/>
    <w:rsid w:val="554A47EC"/>
    <w:rsid w:val="554A6079"/>
    <w:rsid w:val="55552678"/>
    <w:rsid w:val="555626B8"/>
    <w:rsid w:val="555D4C6B"/>
    <w:rsid w:val="556006FC"/>
    <w:rsid w:val="55682BE8"/>
    <w:rsid w:val="556A04C9"/>
    <w:rsid w:val="558004FE"/>
    <w:rsid w:val="55A167D5"/>
    <w:rsid w:val="55CC47DF"/>
    <w:rsid w:val="55F46111"/>
    <w:rsid w:val="55F74650"/>
    <w:rsid w:val="56141819"/>
    <w:rsid w:val="562E304A"/>
    <w:rsid w:val="565847C5"/>
    <w:rsid w:val="56861332"/>
    <w:rsid w:val="56A143E2"/>
    <w:rsid w:val="56CE1025"/>
    <w:rsid w:val="56CF0F2B"/>
    <w:rsid w:val="56E15A3F"/>
    <w:rsid w:val="56EA2E9E"/>
    <w:rsid w:val="56F123F5"/>
    <w:rsid w:val="570D68B1"/>
    <w:rsid w:val="57251C33"/>
    <w:rsid w:val="5731348B"/>
    <w:rsid w:val="573B7669"/>
    <w:rsid w:val="5742551B"/>
    <w:rsid w:val="576C48D1"/>
    <w:rsid w:val="576E14CA"/>
    <w:rsid w:val="57773019"/>
    <w:rsid w:val="578F0E5C"/>
    <w:rsid w:val="57A37A26"/>
    <w:rsid w:val="57BA0FCB"/>
    <w:rsid w:val="57D312CD"/>
    <w:rsid w:val="580E7134"/>
    <w:rsid w:val="58354DBE"/>
    <w:rsid w:val="58372679"/>
    <w:rsid w:val="583E5B2C"/>
    <w:rsid w:val="58733B38"/>
    <w:rsid w:val="587F24DD"/>
    <w:rsid w:val="58801E3E"/>
    <w:rsid w:val="5881076F"/>
    <w:rsid w:val="589668F0"/>
    <w:rsid w:val="58B51DD8"/>
    <w:rsid w:val="58C977DF"/>
    <w:rsid w:val="58D004CB"/>
    <w:rsid w:val="58ED5699"/>
    <w:rsid w:val="590B5B1F"/>
    <w:rsid w:val="59255CE8"/>
    <w:rsid w:val="59284D42"/>
    <w:rsid w:val="594A0B72"/>
    <w:rsid w:val="595E27CE"/>
    <w:rsid w:val="5978551C"/>
    <w:rsid w:val="598308B8"/>
    <w:rsid w:val="59930D41"/>
    <w:rsid w:val="59953428"/>
    <w:rsid w:val="599A71A9"/>
    <w:rsid w:val="59BB12F3"/>
    <w:rsid w:val="59C15A58"/>
    <w:rsid w:val="59C86985"/>
    <w:rsid w:val="59D05471"/>
    <w:rsid w:val="59D54914"/>
    <w:rsid w:val="59DF3178"/>
    <w:rsid w:val="59FF13B5"/>
    <w:rsid w:val="5A0F6E1E"/>
    <w:rsid w:val="5A475E8D"/>
    <w:rsid w:val="5A4B30AB"/>
    <w:rsid w:val="5A4C3211"/>
    <w:rsid w:val="5A4E6ED3"/>
    <w:rsid w:val="5A60348D"/>
    <w:rsid w:val="5A7F57DC"/>
    <w:rsid w:val="5A914AFB"/>
    <w:rsid w:val="5AA23F10"/>
    <w:rsid w:val="5AB75F5E"/>
    <w:rsid w:val="5AD07AD6"/>
    <w:rsid w:val="5AD22D98"/>
    <w:rsid w:val="5ADC379C"/>
    <w:rsid w:val="5ADE2363"/>
    <w:rsid w:val="5AEE56BD"/>
    <w:rsid w:val="5B046076"/>
    <w:rsid w:val="5B3402E5"/>
    <w:rsid w:val="5B3475AF"/>
    <w:rsid w:val="5B4C104E"/>
    <w:rsid w:val="5B5110AB"/>
    <w:rsid w:val="5B513796"/>
    <w:rsid w:val="5B5414D9"/>
    <w:rsid w:val="5B671AD7"/>
    <w:rsid w:val="5B8553B5"/>
    <w:rsid w:val="5B865E91"/>
    <w:rsid w:val="5B98175F"/>
    <w:rsid w:val="5BCF3F2F"/>
    <w:rsid w:val="5BD1033B"/>
    <w:rsid w:val="5C0C1066"/>
    <w:rsid w:val="5C1859FD"/>
    <w:rsid w:val="5C283570"/>
    <w:rsid w:val="5C316C96"/>
    <w:rsid w:val="5C36594C"/>
    <w:rsid w:val="5C380A3F"/>
    <w:rsid w:val="5C5104EC"/>
    <w:rsid w:val="5C756CC4"/>
    <w:rsid w:val="5C85185D"/>
    <w:rsid w:val="5CA42A85"/>
    <w:rsid w:val="5CAC724A"/>
    <w:rsid w:val="5CAF3140"/>
    <w:rsid w:val="5CC77711"/>
    <w:rsid w:val="5D09136B"/>
    <w:rsid w:val="5D2C42B6"/>
    <w:rsid w:val="5D301D20"/>
    <w:rsid w:val="5D333896"/>
    <w:rsid w:val="5D350B78"/>
    <w:rsid w:val="5D4569DB"/>
    <w:rsid w:val="5D4E1C63"/>
    <w:rsid w:val="5D521F6E"/>
    <w:rsid w:val="5D573819"/>
    <w:rsid w:val="5D7418B5"/>
    <w:rsid w:val="5D8A5BAC"/>
    <w:rsid w:val="5DAB167E"/>
    <w:rsid w:val="5DAD7102"/>
    <w:rsid w:val="5DC03854"/>
    <w:rsid w:val="5DD82635"/>
    <w:rsid w:val="5DDB529F"/>
    <w:rsid w:val="5DE5227F"/>
    <w:rsid w:val="5DEC37CD"/>
    <w:rsid w:val="5DFD4F90"/>
    <w:rsid w:val="5DFE02CE"/>
    <w:rsid w:val="5DFF7EA2"/>
    <w:rsid w:val="5E032DCE"/>
    <w:rsid w:val="5E122773"/>
    <w:rsid w:val="5E2724E9"/>
    <w:rsid w:val="5E3E24F3"/>
    <w:rsid w:val="5E4F14AA"/>
    <w:rsid w:val="5E655CD1"/>
    <w:rsid w:val="5E800E2E"/>
    <w:rsid w:val="5E876A64"/>
    <w:rsid w:val="5E9A30A8"/>
    <w:rsid w:val="5EA30ED3"/>
    <w:rsid w:val="5EBE02DB"/>
    <w:rsid w:val="5EE34D0B"/>
    <w:rsid w:val="5F015472"/>
    <w:rsid w:val="5F0514A4"/>
    <w:rsid w:val="5F127B60"/>
    <w:rsid w:val="5F270D59"/>
    <w:rsid w:val="5F3E62B2"/>
    <w:rsid w:val="5F517CE9"/>
    <w:rsid w:val="5F551E92"/>
    <w:rsid w:val="5F586A4E"/>
    <w:rsid w:val="5F5B6B53"/>
    <w:rsid w:val="5F7206A6"/>
    <w:rsid w:val="5F866165"/>
    <w:rsid w:val="5F9A7028"/>
    <w:rsid w:val="5FB93663"/>
    <w:rsid w:val="5FBF6B17"/>
    <w:rsid w:val="5FC15F78"/>
    <w:rsid w:val="5FC44C79"/>
    <w:rsid w:val="5FD33849"/>
    <w:rsid w:val="5FF30027"/>
    <w:rsid w:val="5FF87AA7"/>
    <w:rsid w:val="5FF95C0C"/>
    <w:rsid w:val="5FFF8110"/>
    <w:rsid w:val="601479AF"/>
    <w:rsid w:val="601602F5"/>
    <w:rsid w:val="60255718"/>
    <w:rsid w:val="6036551A"/>
    <w:rsid w:val="60430294"/>
    <w:rsid w:val="605D615C"/>
    <w:rsid w:val="60652849"/>
    <w:rsid w:val="606B16DA"/>
    <w:rsid w:val="6071095D"/>
    <w:rsid w:val="607C04BF"/>
    <w:rsid w:val="609013D7"/>
    <w:rsid w:val="60913E6F"/>
    <w:rsid w:val="60AF2B09"/>
    <w:rsid w:val="60C44EA2"/>
    <w:rsid w:val="60C92312"/>
    <w:rsid w:val="60EC2D0E"/>
    <w:rsid w:val="60F1110F"/>
    <w:rsid w:val="61117C86"/>
    <w:rsid w:val="61284798"/>
    <w:rsid w:val="612A2D3F"/>
    <w:rsid w:val="61431373"/>
    <w:rsid w:val="614E1EBD"/>
    <w:rsid w:val="61551490"/>
    <w:rsid w:val="615A5895"/>
    <w:rsid w:val="61612107"/>
    <w:rsid w:val="616B1851"/>
    <w:rsid w:val="618172C6"/>
    <w:rsid w:val="619E5755"/>
    <w:rsid w:val="61CA2A1B"/>
    <w:rsid w:val="61D52DB7"/>
    <w:rsid w:val="61D944E4"/>
    <w:rsid w:val="61E0223F"/>
    <w:rsid w:val="622163B3"/>
    <w:rsid w:val="622C077E"/>
    <w:rsid w:val="623616DF"/>
    <w:rsid w:val="62362FA1"/>
    <w:rsid w:val="623F6A35"/>
    <w:rsid w:val="624438CC"/>
    <w:rsid w:val="624A77FD"/>
    <w:rsid w:val="62503739"/>
    <w:rsid w:val="627A35A1"/>
    <w:rsid w:val="629E399B"/>
    <w:rsid w:val="62B162F2"/>
    <w:rsid w:val="62B90483"/>
    <w:rsid w:val="62C34C35"/>
    <w:rsid w:val="62CB6744"/>
    <w:rsid w:val="62CC7726"/>
    <w:rsid w:val="62D079F4"/>
    <w:rsid w:val="62E5255C"/>
    <w:rsid w:val="630930CF"/>
    <w:rsid w:val="632048BD"/>
    <w:rsid w:val="63267BA3"/>
    <w:rsid w:val="63350368"/>
    <w:rsid w:val="63404978"/>
    <w:rsid w:val="63892FA5"/>
    <w:rsid w:val="63AA3CCE"/>
    <w:rsid w:val="63B76236"/>
    <w:rsid w:val="63C82F8A"/>
    <w:rsid w:val="63D5361B"/>
    <w:rsid w:val="63D93E4D"/>
    <w:rsid w:val="63DC07E4"/>
    <w:rsid w:val="63E533A5"/>
    <w:rsid w:val="6415133D"/>
    <w:rsid w:val="644F3130"/>
    <w:rsid w:val="6457430E"/>
    <w:rsid w:val="64600A37"/>
    <w:rsid w:val="647C0D71"/>
    <w:rsid w:val="649024E6"/>
    <w:rsid w:val="64952569"/>
    <w:rsid w:val="64A26EA0"/>
    <w:rsid w:val="64A60814"/>
    <w:rsid w:val="64B94E44"/>
    <w:rsid w:val="64BD5EB2"/>
    <w:rsid w:val="64BE613B"/>
    <w:rsid w:val="64C33752"/>
    <w:rsid w:val="64CF66EF"/>
    <w:rsid w:val="64DD1477"/>
    <w:rsid w:val="64DE2987"/>
    <w:rsid w:val="64E90C37"/>
    <w:rsid w:val="651D5AF3"/>
    <w:rsid w:val="653B01FA"/>
    <w:rsid w:val="65530F79"/>
    <w:rsid w:val="6553248E"/>
    <w:rsid w:val="6576022E"/>
    <w:rsid w:val="659C3527"/>
    <w:rsid w:val="65B54316"/>
    <w:rsid w:val="65C10770"/>
    <w:rsid w:val="65D11E9E"/>
    <w:rsid w:val="65E441BE"/>
    <w:rsid w:val="66204B4B"/>
    <w:rsid w:val="66247EB7"/>
    <w:rsid w:val="662A132F"/>
    <w:rsid w:val="664B1C51"/>
    <w:rsid w:val="66815672"/>
    <w:rsid w:val="66896F98"/>
    <w:rsid w:val="66915BCA"/>
    <w:rsid w:val="66DF5417"/>
    <w:rsid w:val="66E45E36"/>
    <w:rsid w:val="66EA50CD"/>
    <w:rsid w:val="66EC3368"/>
    <w:rsid w:val="67077294"/>
    <w:rsid w:val="671464E6"/>
    <w:rsid w:val="67172076"/>
    <w:rsid w:val="671877FC"/>
    <w:rsid w:val="671958AB"/>
    <w:rsid w:val="674539F3"/>
    <w:rsid w:val="67472418"/>
    <w:rsid w:val="67485F71"/>
    <w:rsid w:val="67566C6E"/>
    <w:rsid w:val="675C3161"/>
    <w:rsid w:val="67620F45"/>
    <w:rsid w:val="67676458"/>
    <w:rsid w:val="676C5CF5"/>
    <w:rsid w:val="67856ED6"/>
    <w:rsid w:val="67954B54"/>
    <w:rsid w:val="67965709"/>
    <w:rsid w:val="67A50097"/>
    <w:rsid w:val="67B318D3"/>
    <w:rsid w:val="67B6759E"/>
    <w:rsid w:val="67C71264"/>
    <w:rsid w:val="67C779FD"/>
    <w:rsid w:val="67D23DA8"/>
    <w:rsid w:val="67E54883"/>
    <w:rsid w:val="67E77C07"/>
    <w:rsid w:val="67FB3D01"/>
    <w:rsid w:val="68077DF9"/>
    <w:rsid w:val="681A3FD0"/>
    <w:rsid w:val="681A4F2B"/>
    <w:rsid w:val="682424AD"/>
    <w:rsid w:val="682C6105"/>
    <w:rsid w:val="684079C6"/>
    <w:rsid w:val="68556DB7"/>
    <w:rsid w:val="68676E4D"/>
    <w:rsid w:val="686A0AB4"/>
    <w:rsid w:val="686B7A2A"/>
    <w:rsid w:val="68716FB6"/>
    <w:rsid w:val="68727968"/>
    <w:rsid w:val="68BF11B5"/>
    <w:rsid w:val="68C51444"/>
    <w:rsid w:val="68D748F0"/>
    <w:rsid w:val="68EB1087"/>
    <w:rsid w:val="68EB2513"/>
    <w:rsid w:val="68EB2927"/>
    <w:rsid w:val="68FA7536"/>
    <w:rsid w:val="6920298C"/>
    <w:rsid w:val="692E5CD3"/>
    <w:rsid w:val="694E3582"/>
    <w:rsid w:val="695D1E05"/>
    <w:rsid w:val="69685E8F"/>
    <w:rsid w:val="696D3FAE"/>
    <w:rsid w:val="697445A9"/>
    <w:rsid w:val="69833D8C"/>
    <w:rsid w:val="698522FF"/>
    <w:rsid w:val="699A13E9"/>
    <w:rsid w:val="699A7177"/>
    <w:rsid w:val="69A56569"/>
    <w:rsid w:val="69B8303B"/>
    <w:rsid w:val="69C67F6C"/>
    <w:rsid w:val="69C904AC"/>
    <w:rsid w:val="69D84611"/>
    <w:rsid w:val="6A000277"/>
    <w:rsid w:val="6A0904C4"/>
    <w:rsid w:val="6A12507F"/>
    <w:rsid w:val="6A146F17"/>
    <w:rsid w:val="6A1541C7"/>
    <w:rsid w:val="6A1D1B56"/>
    <w:rsid w:val="6A330C3A"/>
    <w:rsid w:val="6A3B5348"/>
    <w:rsid w:val="6A4264D5"/>
    <w:rsid w:val="6A436903"/>
    <w:rsid w:val="6A7259C0"/>
    <w:rsid w:val="6A753CFA"/>
    <w:rsid w:val="6A791502"/>
    <w:rsid w:val="6A87588C"/>
    <w:rsid w:val="6A902F5B"/>
    <w:rsid w:val="6A9A54B4"/>
    <w:rsid w:val="6AA47B81"/>
    <w:rsid w:val="6ADA3362"/>
    <w:rsid w:val="6AFE75ED"/>
    <w:rsid w:val="6B131D51"/>
    <w:rsid w:val="6B2274F8"/>
    <w:rsid w:val="6B493BD6"/>
    <w:rsid w:val="6B5B448B"/>
    <w:rsid w:val="6B7A3F4B"/>
    <w:rsid w:val="6B7C5EA6"/>
    <w:rsid w:val="6B806D6F"/>
    <w:rsid w:val="6BA87261"/>
    <w:rsid w:val="6BAB63A9"/>
    <w:rsid w:val="6BB107A8"/>
    <w:rsid w:val="6BB35712"/>
    <w:rsid w:val="6BBD3A50"/>
    <w:rsid w:val="6BD34BC2"/>
    <w:rsid w:val="6BEF77A7"/>
    <w:rsid w:val="6C020D77"/>
    <w:rsid w:val="6C0A4063"/>
    <w:rsid w:val="6C133210"/>
    <w:rsid w:val="6C1A7466"/>
    <w:rsid w:val="6C1C158A"/>
    <w:rsid w:val="6C2F04F0"/>
    <w:rsid w:val="6C5630FD"/>
    <w:rsid w:val="6C6F2444"/>
    <w:rsid w:val="6C7D32F5"/>
    <w:rsid w:val="6C7E3AF1"/>
    <w:rsid w:val="6C8B4E54"/>
    <w:rsid w:val="6CB40765"/>
    <w:rsid w:val="6CBF63D7"/>
    <w:rsid w:val="6CCF5CCB"/>
    <w:rsid w:val="6CF7668E"/>
    <w:rsid w:val="6D2436BE"/>
    <w:rsid w:val="6D2A3A7C"/>
    <w:rsid w:val="6D2A4EA1"/>
    <w:rsid w:val="6D347418"/>
    <w:rsid w:val="6D3C6CA1"/>
    <w:rsid w:val="6D512867"/>
    <w:rsid w:val="6D610768"/>
    <w:rsid w:val="6D624AC7"/>
    <w:rsid w:val="6D68133A"/>
    <w:rsid w:val="6D7361B0"/>
    <w:rsid w:val="6D853C9A"/>
    <w:rsid w:val="6DC347C2"/>
    <w:rsid w:val="6DC51D44"/>
    <w:rsid w:val="6DC823FB"/>
    <w:rsid w:val="6DD13409"/>
    <w:rsid w:val="6DD53F7B"/>
    <w:rsid w:val="6DDD744A"/>
    <w:rsid w:val="6E0F4C21"/>
    <w:rsid w:val="6E2D4DC8"/>
    <w:rsid w:val="6E4411A2"/>
    <w:rsid w:val="6E545616"/>
    <w:rsid w:val="6E624DF2"/>
    <w:rsid w:val="6E8E51EE"/>
    <w:rsid w:val="6EB80BDE"/>
    <w:rsid w:val="6EC31D42"/>
    <w:rsid w:val="6EC64279"/>
    <w:rsid w:val="6ED56D7D"/>
    <w:rsid w:val="6EEA2D91"/>
    <w:rsid w:val="6EF70BC7"/>
    <w:rsid w:val="6F1048A0"/>
    <w:rsid w:val="6F1277AF"/>
    <w:rsid w:val="6F1EF16D"/>
    <w:rsid w:val="6F421BB5"/>
    <w:rsid w:val="6F4831D1"/>
    <w:rsid w:val="6F4B22C9"/>
    <w:rsid w:val="6F5070E3"/>
    <w:rsid w:val="6F5558EE"/>
    <w:rsid w:val="6F6EA5CD"/>
    <w:rsid w:val="6F703E60"/>
    <w:rsid w:val="6F716E46"/>
    <w:rsid w:val="6F7C10CD"/>
    <w:rsid w:val="6F8E5394"/>
    <w:rsid w:val="6F9E3F4E"/>
    <w:rsid w:val="6FA30168"/>
    <w:rsid w:val="6FAC7C04"/>
    <w:rsid w:val="6FAD5B27"/>
    <w:rsid w:val="6FD70F89"/>
    <w:rsid w:val="6FE24023"/>
    <w:rsid w:val="6FEB4A7E"/>
    <w:rsid w:val="70104ADF"/>
    <w:rsid w:val="70105CA5"/>
    <w:rsid w:val="701524EC"/>
    <w:rsid w:val="70355B8F"/>
    <w:rsid w:val="703C22B0"/>
    <w:rsid w:val="70454364"/>
    <w:rsid w:val="7055204A"/>
    <w:rsid w:val="705F28A3"/>
    <w:rsid w:val="70666005"/>
    <w:rsid w:val="70673B2B"/>
    <w:rsid w:val="70675BC1"/>
    <w:rsid w:val="70763E1C"/>
    <w:rsid w:val="70AF7F0C"/>
    <w:rsid w:val="70D02AC7"/>
    <w:rsid w:val="70D84C84"/>
    <w:rsid w:val="70DF36C1"/>
    <w:rsid w:val="710F55E3"/>
    <w:rsid w:val="71431EA2"/>
    <w:rsid w:val="71575E7F"/>
    <w:rsid w:val="716B31A7"/>
    <w:rsid w:val="71704A80"/>
    <w:rsid w:val="718F50E7"/>
    <w:rsid w:val="71A46758"/>
    <w:rsid w:val="71B74964"/>
    <w:rsid w:val="71C54EFB"/>
    <w:rsid w:val="71D1496D"/>
    <w:rsid w:val="72161023"/>
    <w:rsid w:val="723C4EA7"/>
    <w:rsid w:val="724361BE"/>
    <w:rsid w:val="72877917"/>
    <w:rsid w:val="728B0E89"/>
    <w:rsid w:val="72936109"/>
    <w:rsid w:val="72A516B9"/>
    <w:rsid w:val="72A60975"/>
    <w:rsid w:val="72A856AB"/>
    <w:rsid w:val="72E224F3"/>
    <w:rsid w:val="72F80F15"/>
    <w:rsid w:val="73107E21"/>
    <w:rsid w:val="732F6E51"/>
    <w:rsid w:val="73362B59"/>
    <w:rsid w:val="73410663"/>
    <w:rsid w:val="734C6A15"/>
    <w:rsid w:val="73571C73"/>
    <w:rsid w:val="739B2D14"/>
    <w:rsid w:val="73CB43D1"/>
    <w:rsid w:val="73CE33ED"/>
    <w:rsid w:val="73DB243E"/>
    <w:rsid w:val="73F76FDE"/>
    <w:rsid w:val="7419105F"/>
    <w:rsid w:val="74297786"/>
    <w:rsid w:val="743F5C73"/>
    <w:rsid w:val="74451245"/>
    <w:rsid w:val="746A1E3C"/>
    <w:rsid w:val="746C5260"/>
    <w:rsid w:val="74853E55"/>
    <w:rsid w:val="74AB2154"/>
    <w:rsid w:val="74B264F7"/>
    <w:rsid w:val="74C62C42"/>
    <w:rsid w:val="74DD48EC"/>
    <w:rsid w:val="75187BC7"/>
    <w:rsid w:val="75517DB8"/>
    <w:rsid w:val="755C7D54"/>
    <w:rsid w:val="75700B4B"/>
    <w:rsid w:val="75851D8F"/>
    <w:rsid w:val="75986535"/>
    <w:rsid w:val="75A439EB"/>
    <w:rsid w:val="75AC1FED"/>
    <w:rsid w:val="75B413E2"/>
    <w:rsid w:val="75D648ED"/>
    <w:rsid w:val="75DD67E2"/>
    <w:rsid w:val="75FB0F9D"/>
    <w:rsid w:val="761B2365"/>
    <w:rsid w:val="76215DE7"/>
    <w:rsid w:val="76232409"/>
    <w:rsid w:val="762F50EB"/>
    <w:rsid w:val="76510C87"/>
    <w:rsid w:val="765F38D1"/>
    <w:rsid w:val="766B2FF6"/>
    <w:rsid w:val="766F54E7"/>
    <w:rsid w:val="768750C1"/>
    <w:rsid w:val="76905D61"/>
    <w:rsid w:val="76982C7D"/>
    <w:rsid w:val="769E7C71"/>
    <w:rsid w:val="76BD4FF0"/>
    <w:rsid w:val="76C6049A"/>
    <w:rsid w:val="76C608A8"/>
    <w:rsid w:val="76D05FFC"/>
    <w:rsid w:val="76DD68F5"/>
    <w:rsid w:val="76FA7FFD"/>
    <w:rsid w:val="76FD62A7"/>
    <w:rsid w:val="770249D2"/>
    <w:rsid w:val="770E45B2"/>
    <w:rsid w:val="772C3B63"/>
    <w:rsid w:val="77341436"/>
    <w:rsid w:val="774057F9"/>
    <w:rsid w:val="77532555"/>
    <w:rsid w:val="776D7EB0"/>
    <w:rsid w:val="778012CE"/>
    <w:rsid w:val="779F62B5"/>
    <w:rsid w:val="77CE0BCA"/>
    <w:rsid w:val="77E12808"/>
    <w:rsid w:val="77F506FF"/>
    <w:rsid w:val="78230BEC"/>
    <w:rsid w:val="78242806"/>
    <w:rsid w:val="782853AE"/>
    <w:rsid w:val="78415D81"/>
    <w:rsid w:val="78970D25"/>
    <w:rsid w:val="78EF7065"/>
    <w:rsid w:val="79017ED8"/>
    <w:rsid w:val="792139B2"/>
    <w:rsid w:val="7937795B"/>
    <w:rsid w:val="794A543E"/>
    <w:rsid w:val="79664952"/>
    <w:rsid w:val="7967192E"/>
    <w:rsid w:val="797A7E72"/>
    <w:rsid w:val="799B3F11"/>
    <w:rsid w:val="799F6D56"/>
    <w:rsid w:val="79A60A14"/>
    <w:rsid w:val="79D97963"/>
    <w:rsid w:val="79EC23FC"/>
    <w:rsid w:val="79F91C98"/>
    <w:rsid w:val="7A027315"/>
    <w:rsid w:val="7A0B59D6"/>
    <w:rsid w:val="7A177008"/>
    <w:rsid w:val="7A1F1F1D"/>
    <w:rsid w:val="7A3C6142"/>
    <w:rsid w:val="7A867D47"/>
    <w:rsid w:val="7A884DCA"/>
    <w:rsid w:val="7A964DFE"/>
    <w:rsid w:val="7AA049E3"/>
    <w:rsid w:val="7ABC5302"/>
    <w:rsid w:val="7AD21C86"/>
    <w:rsid w:val="7AD87AFF"/>
    <w:rsid w:val="7AE056DC"/>
    <w:rsid w:val="7B292109"/>
    <w:rsid w:val="7B364469"/>
    <w:rsid w:val="7B5F5404"/>
    <w:rsid w:val="7B7038AD"/>
    <w:rsid w:val="7B776944"/>
    <w:rsid w:val="7B7B649E"/>
    <w:rsid w:val="7B825CFC"/>
    <w:rsid w:val="7B856F8C"/>
    <w:rsid w:val="7BB10350"/>
    <w:rsid w:val="7BDA3F89"/>
    <w:rsid w:val="7BE44282"/>
    <w:rsid w:val="7BFB2910"/>
    <w:rsid w:val="7C055284"/>
    <w:rsid w:val="7C0B212C"/>
    <w:rsid w:val="7C39007B"/>
    <w:rsid w:val="7C460D83"/>
    <w:rsid w:val="7C4C4B38"/>
    <w:rsid w:val="7C844D5A"/>
    <w:rsid w:val="7C8F139E"/>
    <w:rsid w:val="7C921F30"/>
    <w:rsid w:val="7CA76757"/>
    <w:rsid w:val="7CB64158"/>
    <w:rsid w:val="7CC90FFB"/>
    <w:rsid w:val="7CD0555D"/>
    <w:rsid w:val="7CEB05F2"/>
    <w:rsid w:val="7CF04C04"/>
    <w:rsid w:val="7D155B34"/>
    <w:rsid w:val="7D19347D"/>
    <w:rsid w:val="7D2372AF"/>
    <w:rsid w:val="7D592A4D"/>
    <w:rsid w:val="7D67516A"/>
    <w:rsid w:val="7D697134"/>
    <w:rsid w:val="7D6E474B"/>
    <w:rsid w:val="7DA24081"/>
    <w:rsid w:val="7DAC500A"/>
    <w:rsid w:val="7DD0599F"/>
    <w:rsid w:val="7DDB1D8C"/>
    <w:rsid w:val="7DFA5FDE"/>
    <w:rsid w:val="7E2B1A09"/>
    <w:rsid w:val="7E433DEE"/>
    <w:rsid w:val="7E4D7032"/>
    <w:rsid w:val="7E4F3031"/>
    <w:rsid w:val="7E5C4458"/>
    <w:rsid w:val="7E6337D0"/>
    <w:rsid w:val="7E6751A3"/>
    <w:rsid w:val="7E6A0087"/>
    <w:rsid w:val="7E6C1821"/>
    <w:rsid w:val="7E784ECC"/>
    <w:rsid w:val="7EA347A6"/>
    <w:rsid w:val="7EB72E54"/>
    <w:rsid w:val="7EC64112"/>
    <w:rsid w:val="7EE747B5"/>
    <w:rsid w:val="7EF81336"/>
    <w:rsid w:val="7F15557D"/>
    <w:rsid w:val="7F16337B"/>
    <w:rsid w:val="7F167079"/>
    <w:rsid w:val="7F3177DE"/>
    <w:rsid w:val="7F3C7611"/>
    <w:rsid w:val="7F56709A"/>
    <w:rsid w:val="7F68160F"/>
    <w:rsid w:val="7F852D46"/>
    <w:rsid w:val="7F916158"/>
    <w:rsid w:val="7FA455D4"/>
    <w:rsid w:val="7FC3433C"/>
    <w:rsid w:val="7FE3D268"/>
    <w:rsid w:val="7FE9526B"/>
    <w:rsid w:val="AEF71754"/>
    <w:rsid w:val="B7FFC023"/>
    <w:rsid w:val="CBB4C31A"/>
    <w:rsid w:val="CEDF9F01"/>
    <w:rsid w:val="CF6FF537"/>
    <w:rsid w:val="CFF73537"/>
    <w:rsid w:val="D1F72D09"/>
    <w:rsid w:val="EF6D4A98"/>
    <w:rsid w:val="EF7EADD3"/>
    <w:rsid w:val="EFFD6E54"/>
    <w:rsid w:val="F41F794B"/>
    <w:rsid w:val="FAF110A0"/>
    <w:rsid w:val="FB73C445"/>
    <w:rsid w:val="FB7F54C3"/>
    <w:rsid w:val="FD67127E"/>
    <w:rsid w:val="FDBB3DF5"/>
    <w:rsid w:val="FFCF2506"/>
    <w:rsid w:val="FFDD5793"/>
    <w:rsid w:val="FFF6A769"/>
    <w:rsid w:val="FFFA2A36"/>
    <w:rsid w:val="FFFD98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4"/>
    <w:qFormat/>
    <w:uiPriority w:val="0"/>
    <w:pPr>
      <w:keepNext/>
      <w:keepLines/>
      <w:spacing w:line="360" w:lineRule="auto"/>
      <w:outlineLvl w:val="2"/>
    </w:pPr>
    <w:rPr>
      <w:b/>
      <w:bCs/>
      <w:sz w:val="24"/>
      <w:szCs w:val="32"/>
    </w:rPr>
  </w:style>
  <w:style w:type="paragraph" w:styleId="5">
    <w:name w:val="heading 4"/>
    <w:basedOn w:val="1"/>
    <w:next w:val="1"/>
    <w:link w:val="43"/>
    <w:qFormat/>
    <w:uiPriority w:val="0"/>
    <w:pPr>
      <w:keepNext/>
      <w:keepLines/>
      <w:spacing w:line="360" w:lineRule="auto"/>
      <w:outlineLvl w:val="3"/>
    </w:pPr>
    <w:rPr>
      <w:rFonts w:ascii="Arial" w:hAnsi="Arial"/>
      <w:b/>
      <w:bCs/>
      <w:szCs w:val="28"/>
    </w:rPr>
  </w:style>
  <w:style w:type="character" w:default="1" w:styleId="33">
    <w:name w:val="Default Paragraph Font"/>
    <w:qFormat/>
    <w:uiPriority w:val="0"/>
    <w:rPr>
      <w:rFonts w:ascii="Times New Roman" w:hAnsi="Times New Roman" w:eastAsia="宋体" w:cs="Times New Roman"/>
    </w:rPr>
  </w:style>
  <w:style w:type="table" w:default="1" w:styleId="3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Times New Roman" w:hAnsi="Times New Roman" w:eastAsia="宋体" w:cs="Times New Roman"/>
      <w:sz w:val="18"/>
      <w:szCs w:val="18"/>
    </w:rPr>
  </w:style>
  <w:style w:type="paragraph" w:styleId="7">
    <w:name w:val="Normal Indent"/>
    <w:basedOn w:val="1"/>
    <w:link w:val="45"/>
    <w:qFormat/>
    <w:uiPriority w:val="0"/>
    <w:pPr>
      <w:snapToGrid w:val="0"/>
      <w:ind w:firstLine="420" w:firstLineChars="200"/>
    </w:pPr>
    <w:rPr>
      <w:rFonts w:ascii="宋体" w:hAnsi="宋体"/>
      <w:szCs w:val="20"/>
    </w:rPr>
  </w:style>
  <w:style w:type="paragraph" w:styleId="8">
    <w:name w:val="Document Map"/>
    <w:basedOn w:val="1"/>
    <w:qFormat/>
    <w:uiPriority w:val="0"/>
    <w:rPr>
      <w:rFonts w:ascii="宋体" w:hAnsi="Times New Roman" w:eastAsia="宋体" w:cs="Times New Roman"/>
      <w:sz w:val="18"/>
      <w:szCs w:val="18"/>
    </w:rPr>
  </w:style>
  <w:style w:type="paragraph" w:styleId="9">
    <w:name w:val="annotation text"/>
    <w:basedOn w:val="1"/>
    <w:link w:val="46"/>
    <w:qFormat/>
    <w:uiPriority w:val="0"/>
    <w:pPr>
      <w:adjustRightInd w:val="0"/>
      <w:spacing w:line="360" w:lineRule="atLeast"/>
      <w:jc w:val="left"/>
      <w:textAlignment w:val="baseline"/>
    </w:pPr>
    <w:rPr>
      <w:szCs w:val="22"/>
    </w:rPr>
  </w:style>
  <w:style w:type="paragraph" w:styleId="10">
    <w:name w:val="Body Text"/>
    <w:basedOn w:val="1"/>
    <w:next w:val="1"/>
    <w:qFormat/>
    <w:uiPriority w:val="0"/>
    <w:pPr>
      <w:spacing w:before="100" w:beforeAutospacing="1"/>
    </w:pPr>
    <w:rPr>
      <w:rFonts w:ascii="Times New Roman" w:hAnsi="Times New Roman" w:eastAsia="宋体" w:cs="Times New Roman"/>
    </w:rPr>
  </w:style>
  <w:style w:type="paragraph" w:styleId="11">
    <w:name w:val="Body Text Indent"/>
    <w:basedOn w:val="1"/>
    <w:qFormat/>
    <w:uiPriority w:val="0"/>
    <w:pPr>
      <w:spacing w:line="460" w:lineRule="exact"/>
      <w:ind w:firstLine="480"/>
    </w:pPr>
    <w:rPr>
      <w:rFonts w:ascii="Times New Roman" w:hAnsi="Times New Roman" w:eastAsia="宋体" w:cs="Times New Roman"/>
      <w:sz w:val="24"/>
      <w:szCs w:val="20"/>
    </w:rPr>
  </w:style>
  <w:style w:type="paragraph" w:styleId="12">
    <w:name w:val="toc 5"/>
    <w:basedOn w:val="1"/>
    <w:next w:val="1"/>
    <w:qFormat/>
    <w:uiPriority w:val="0"/>
    <w:pPr>
      <w:ind w:left="840"/>
      <w:jc w:val="left"/>
    </w:pPr>
    <w:rPr>
      <w:rFonts w:ascii="Times New Roman" w:hAnsi="Times New Roman" w:eastAsia="宋体" w:cs="Times New Roman"/>
      <w:sz w:val="18"/>
      <w:szCs w:val="18"/>
    </w:rPr>
  </w:style>
  <w:style w:type="paragraph" w:styleId="13">
    <w:name w:val="toc 3"/>
    <w:basedOn w:val="1"/>
    <w:next w:val="1"/>
    <w:qFormat/>
    <w:uiPriority w:val="0"/>
    <w:pPr>
      <w:ind w:left="420"/>
      <w:jc w:val="left"/>
    </w:pPr>
    <w:rPr>
      <w:rFonts w:ascii="Times New Roman" w:hAnsi="Times New Roman" w:eastAsia="宋体" w:cs="Times New Roman"/>
      <w:i/>
      <w:iCs/>
      <w:sz w:val="20"/>
      <w:szCs w:val="20"/>
    </w:rPr>
  </w:style>
  <w:style w:type="paragraph" w:styleId="14">
    <w:name w:val="Plain Text"/>
    <w:basedOn w:val="1"/>
    <w:qFormat/>
    <w:uiPriority w:val="0"/>
    <w:rPr>
      <w:rFonts w:ascii="宋体" w:hAnsi="Courier New" w:eastAsia="宋体" w:cs="Times New Roman"/>
      <w:sz w:val="24"/>
      <w:szCs w:val="20"/>
    </w:rPr>
  </w:style>
  <w:style w:type="paragraph" w:styleId="15">
    <w:name w:val="toc 8"/>
    <w:basedOn w:val="1"/>
    <w:next w:val="1"/>
    <w:qFormat/>
    <w:uiPriority w:val="0"/>
    <w:pPr>
      <w:ind w:left="1470"/>
      <w:jc w:val="left"/>
    </w:pPr>
    <w:rPr>
      <w:rFonts w:ascii="Times New Roman" w:hAnsi="Times New Roman" w:eastAsia="宋体" w:cs="Times New Roman"/>
      <w:sz w:val="18"/>
      <w:szCs w:val="18"/>
    </w:rPr>
  </w:style>
  <w:style w:type="paragraph" w:styleId="16">
    <w:name w:val="Date"/>
    <w:basedOn w:val="1"/>
    <w:next w:val="1"/>
    <w:qFormat/>
    <w:uiPriority w:val="0"/>
    <w:pPr>
      <w:ind w:left="100" w:leftChars="2500"/>
    </w:pPr>
    <w:rPr>
      <w:rFonts w:ascii="Times New Roman" w:hAnsi="Times New Roman" w:eastAsia="宋体" w:cs="Times New Roman"/>
    </w:rPr>
  </w:style>
  <w:style w:type="paragraph" w:styleId="17">
    <w:name w:val="Balloon Text"/>
    <w:basedOn w:val="1"/>
    <w:qFormat/>
    <w:uiPriority w:val="0"/>
    <w:rPr>
      <w:rFonts w:ascii="Times New Roman" w:hAnsi="Times New Roman" w:eastAsia="宋体" w:cs="Times New Roman"/>
      <w:sz w:val="18"/>
      <w:szCs w:val="18"/>
    </w:rPr>
  </w:style>
  <w:style w:type="paragraph" w:styleId="18">
    <w:name w:val="footer"/>
    <w:basedOn w:val="1"/>
    <w:link w:val="47"/>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1">
    <w:name w:val="toc 4"/>
    <w:basedOn w:val="1"/>
    <w:next w:val="1"/>
    <w:qFormat/>
    <w:uiPriority w:val="0"/>
    <w:pPr>
      <w:ind w:left="630"/>
      <w:jc w:val="left"/>
    </w:pPr>
    <w:rPr>
      <w:rFonts w:ascii="Times New Roman" w:hAnsi="Times New Roman" w:eastAsia="宋体" w:cs="Times New Roman"/>
      <w:sz w:val="18"/>
      <w:szCs w:val="18"/>
    </w:rPr>
  </w:style>
  <w:style w:type="paragraph" w:styleId="22">
    <w:name w:val="toc 6"/>
    <w:basedOn w:val="1"/>
    <w:next w:val="1"/>
    <w:qFormat/>
    <w:uiPriority w:val="0"/>
    <w:pPr>
      <w:ind w:left="1050"/>
      <w:jc w:val="left"/>
    </w:pPr>
    <w:rPr>
      <w:rFonts w:ascii="Times New Roman" w:hAnsi="Times New Roman" w:eastAsia="宋体" w:cs="Times New Roman"/>
      <w:sz w:val="18"/>
      <w:szCs w:val="18"/>
    </w:rPr>
  </w:style>
  <w:style w:type="paragraph" w:styleId="23">
    <w:name w:val="Body Text Indent 3"/>
    <w:basedOn w:val="1"/>
    <w:qFormat/>
    <w:uiPriority w:val="0"/>
    <w:pPr>
      <w:spacing w:line="480" w:lineRule="exact"/>
      <w:ind w:left="1436"/>
    </w:pPr>
    <w:rPr>
      <w:rFonts w:ascii="Times New Roman" w:hAnsi="Times New Roman" w:eastAsia="宋体" w:cs="Times New Roman"/>
      <w:sz w:val="24"/>
      <w:szCs w:val="21"/>
    </w:rPr>
  </w:style>
  <w:style w:type="paragraph" w:styleId="24">
    <w:name w:val="toc 2"/>
    <w:basedOn w:val="1"/>
    <w:next w:val="1"/>
    <w:qFormat/>
    <w:uiPriority w:val="0"/>
    <w:pPr>
      <w:ind w:left="210"/>
      <w:jc w:val="left"/>
    </w:pPr>
    <w:rPr>
      <w:rFonts w:ascii="Times New Roman" w:hAnsi="Times New Roman" w:eastAsia="宋体" w:cs="Times New Roman"/>
      <w:smallCaps/>
      <w:sz w:val="20"/>
      <w:szCs w:val="20"/>
    </w:rPr>
  </w:style>
  <w:style w:type="paragraph" w:styleId="25">
    <w:name w:val="toc 9"/>
    <w:basedOn w:val="1"/>
    <w:next w:val="1"/>
    <w:qFormat/>
    <w:uiPriority w:val="0"/>
    <w:pPr>
      <w:ind w:left="1680"/>
      <w:jc w:val="left"/>
    </w:pPr>
    <w:rPr>
      <w:rFonts w:ascii="Times New Roman" w:hAnsi="Times New Roman" w:eastAsia="宋体" w:cs="Times New Roman"/>
      <w:sz w:val="18"/>
      <w:szCs w:val="18"/>
    </w:rPr>
  </w:style>
  <w:style w:type="paragraph" w:styleId="26">
    <w:name w:val="Body Text 2"/>
    <w:basedOn w:val="1"/>
    <w:qFormat/>
    <w:uiPriority w:val="0"/>
    <w:pPr>
      <w:spacing w:line="500" w:lineRule="exact"/>
    </w:pPr>
    <w:rPr>
      <w:rFonts w:ascii="宋体"/>
      <w:sz w:val="24"/>
    </w:rPr>
  </w:style>
  <w:style w:type="paragraph" w:styleId="2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8">
    <w:name w:val="Title"/>
    <w:basedOn w:val="1"/>
    <w:next w:val="1"/>
    <w:link w:val="48"/>
    <w:qFormat/>
    <w:uiPriority w:val="0"/>
    <w:pPr>
      <w:spacing w:before="240" w:after="60"/>
      <w:jc w:val="center"/>
      <w:outlineLvl w:val="0"/>
    </w:pPr>
    <w:rPr>
      <w:rFonts w:ascii="Cambria" w:hAnsi="Cambria"/>
      <w:b/>
      <w:bCs/>
      <w:sz w:val="32"/>
      <w:szCs w:val="32"/>
    </w:rPr>
  </w:style>
  <w:style w:type="paragraph" w:styleId="29">
    <w:name w:val="Body Text First Indent"/>
    <w:basedOn w:val="10"/>
    <w:qFormat/>
    <w:uiPriority w:val="0"/>
    <w:pPr>
      <w:spacing w:line="312" w:lineRule="auto"/>
      <w:ind w:firstLine="420"/>
    </w:pPr>
  </w:style>
  <w:style w:type="table" w:styleId="31">
    <w:name w:val="Table Grid"/>
    <w:basedOn w:val="3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Elegant"/>
    <w:basedOn w:val="30"/>
    <w:qFormat/>
    <w:uiPriority w:val="0"/>
    <w:pPr>
      <w:widowControl w:val="0"/>
      <w:jc w:val="both"/>
    </w:pPr>
    <w:rPr>
      <w:rFonts w:ascii="Times New Roman" w:hAnsi="Times New Roman" w:eastAsia="宋体" w:cs="Times New Roman"/>
    </w:r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4">
    <w:name w:val="Strong"/>
    <w:qFormat/>
    <w:uiPriority w:val="0"/>
    <w:rPr>
      <w:rFonts w:ascii="Times New Roman" w:hAnsi="Times New Roman" w:eastAsia="宋体" w:cs="Times New Roman"/>
      <w:b/>
      <w:bCs/>
    </w:rPr>
  </w:style>
  <w:style w:type="character" w:styleId="35">
    <w:name w:val="page number"/>
    <w:qFormat/>
    <w:uiPriority w:val="0"/>
    <w:rPr>
      <w:rFonts w:ascii="Times New Roman" w:hAnsi="Times New Roman" w:eastAsia="宋体" w:cs="Times New Roman"/>
    </w:rPr>
  </w:style>
  <w:style w:type="character" w:styleId="36">
    <w:name w:val="FollowedHyperlink"/>
    <w:qFormat/>
    <w:uiPriority w:val="0"/>
    <w:rPr>
      <w:rFonts w:hint="eastAsia" w:ascii="微软雅黑" w:hAnsi="微软雅黑" w:eastAsia="微软雅黑" w:cs="微软雅黑"/>
      <w:color w:val="000000"/>
      <w:u w:val="none"/>
    </w:rPr>
  </w:style>
  <w:style w:type="character" w:styleId="37">
    <w:name w:val="Emphasis"/>
    <w:qFormat/>
    <w:uiPriority w:val="0"/>
    <w:rPr>
      <w:rFonts w:ascii="Times New Roman" w:hAnsi="Times New Roman" w:eastAsia="宋体" w:cs="Times New Roman"/>
      <w:color w:val="CC0033"/>
    </w:rPr>
  </w:style>
  <w:style w:type="character" w:styleId="38">
    <w:name w:val="HTML Definition"/>
    <w:qFormat/>
    <w:uiPriority w:val="0"/>
    <w:rPr>
      <w:rFonts w:ascii="Times New Roman" w:hAnsi="Times New Roman" w:eastAsia="宋体" w:cs="Times New Roman"/>
    </w:rPr>
  </w:style>
  <w:style w:type="character" w:styleId="39">
    <w:name w:val="HTML Variable"/>
    <w:qFormat/>
    <w:uiPriority w:val="0"/>
    <w:rPr>
      <w:rFonts w:ascii="Times New Roman" w:hAnsi="Times New Roman" w:eastAsia="宋体" w:cs="Times New Roman"/>
    </w:rPr>
  </w:style>
  <w:style w:type="character" w:styleId="40">
    <w:name w:val="Hyperlink"/>
    <w:qFormat/>
    <w:uiPriority w:val="99"/>
    <w:rPr>
      <w:rFonts w:ascii="微软雅黑" w:hAnsi="微软雅黑" w:eastAsia="微软雅黑" w:cs="微软雅黑"/>
      <w:color w:val="000000"/>
      <w:u w:val="none"/>
    </w:rPr>
  </w:style>
  <w:style w:type="character" w:styleId="41">
    <w:name w:val="HTML Code"/>
    <w:qFormat/>
    <w:uiPriority w:val="0"/>
    <w:rPr>
      <w:rFonts w:ascii="Courier New" w:hAnsi="Courier New" w:eastAsia="宋体" w:cs="Times New Roman"/>
      <w:sz w:val="20"/>
    </w:rPr>
  </w:style>
  <w:style w:type="character" w:styleId="42">
    <w:name w:val="HTML Cite"/>
    <w:qFormat/>
    <w:uiPriority w:val="0"/>
    <w:rPr>
      <w:rFonts w:ascii="Times New Roman" w:hAnsi="Times New Roman" w:eastAsia="宋体" w:cs="Times New Roman"/>
    </w:rPr>
  </w:style>
  <w:style w:type="character" w:customStyle="1" w:styleId="43">
    <w:name w:val="标题 4 Char"/>
    <w:link w:val="5"/>
    <w:qFormat/>
    <w:uiPriority w:val="0"/>
    <w:rPr>
      <w:rFonts w:ascii="Arial" w:hAnsi="Arial" w:eastAsia="宋体" w:cs="Times New Roman"/>
      <w:b/>
      <w:bCs/>
      <w:kern w:val="2"/>
      <w:sz w:val="21"/>
      <w:szCs w:val="28"/>
    </w:rPr>
  </w:style>
  <w:style w:type="character" w:customStyle="1" w:styleId="44">
    <w:name w:val="标题 3 Char"/>
    <w:link w:val="4"/>
    <w:qFormat/>
    <w:uiPriority w:val="0"/>
    <w:rPr>
      <w:rFonts w:ascii="Times New Roman" w:hAnsi="Times New Roman" w:eastAsia="宋体" w:cs="Times New Roman"/>
      <w:b/>
      <w:bCs/>
      <w:kern w:val="2"/>
      <w:sz w:val="24"/>
      <w:szCs w:val="32"/>
    </w:rPr>
  </w:style>
  <w:style w:type="character" w:customStyle="1" w:styleId="45">
    <w:name w:val="正文缩进 Char"/>
    <w:link w:val="7"/>
    <w:qFormat/>
    <w:uiPriority w:val="0"/>
    <w:rPr>
      <w:rFonts w:ascii="宋体" w:hAnsi="宋体" w:eastAsia="宋体" w:cs="Times New Roman"/>
      <w:kern w:val="2"/>
      <w:sz w:val="21"/>
    </w:rPr>
  </w:style>
  <w:style w:type="character" w:customStyle="1" w:styleId="46">
    <w:name w:val="批注文字 Char"/>
    <w:link w:val="9"/>
    <w:qFormat/>
    <w:uiPriority w:val="0"/>
    <w:rPr>
      <w:kern w:val="2"/>
      <w:sz w:val="21"/>
      <w:szCs w:val="22"/>
    </w:rPr>
  </w:style>
  <w:style w:type="character" w:customStyle="1" w:styleId="47">
    <w:name w:val="页脚 Char"/>
    <w:link w:val="18"/>
    <w:qFormat/>
    <w:uiPriority w:val="0"/>
    <w:rPr>
      <w:rFonts w:ascii="Times New Roman" w:hAnsi="Times New Roman" w:eastAsia="宋体" w:cs="Times New Roman"/>
      <w:kern w:val="2"/>
      <w:sz w:val="18"/>
      <w:szCs w:val="18"/>
    </w:rPr>
  </w:style>
  <w:style w:type="character" w:customStyle="1" w:styleId="48">
    <w:name w:val="标题 Char"/>
    <w:link w:val="28"/>
    <w:qFormat/>
    <w:uiPriority w:val="0"/>
    <w:rPr>
      <w:rFonts w:ascii="Cambria" w:hAnsi="Cambria" w:eastAsia="宋体" w:cs="Times New Roman"/>
      <w:b/>
      <w:bCs/>
      <w:kern w:val="2"/>
      <w:sz w:val="32"/>
      <w:szCs w:val="32"/>
    </w:rPr>
  </w:style>
  <w:style w:type="paragraph" w:customStyle="1" w:styleId="49">
    <w:name w:val="Default"/>
    <w:next w:val="5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6'"/>
    <w:basedOn w:val="1"/>
    <w:next w:val="5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1">
    <w:name w:val="AOHead3"/>
    <w:basedOn w:val="1"/>
    <w:next w:val="1"/>
    <w:qFormat/>
    <w:uiPriority w:val="0"/>
    <w:pPr>
      <w:widowControl/>
      <w:autoSpaceDE/>
      <w:autoSpaceDN/>
      <w:spacing w:before="0" w:after="0" w:line="360" w:lineRule="auto"/>
      <w:ind w:left="1260" w:firstLine="0"/>
      <w:jc w:val="both"/>
      <w:outlineLvl w:val="2"/>
    </w:pPr>
    <w:rPr>
      <w:rFonts w:ascii="宋体" w:hAnsi="Times New Roman" w:eastAsia="宋体" w:cs="Times New Roman"/>
      <w:color w:val="0000FF"/>
      <w:sz w:val="24"/>
    </w:rPr>
  </w:style>
  <w:style w:type="character" w:customStyle="1" w:styleId="52">
    <w:name w:val="inforbtn1"/>
    <w:qFormat/>
    <w:uiPriority w:val="0"/>
    <w:rPr>
      <w:rFonts w:ascii="Times New Roman" w:hAnsi="Times New Roman" w:eastAsia="宋体" w:cs="Times New Roman"/>
      <w:shd w:val="clear" w:color="auto" w:fill="FF7001"/>
    </w:rPr>
  </w:style>
  <w:style w:type="character" w:customStyle="1" w:styleId="53">
    <w:name w:val="tilsmal"/>
    <w:qFormat/>
    <w:uiPriority w:val="0"/>
    <w:rPr>
      <w:rFonts w:ascii="Times New Roman" w:hAnsi="Times New Roman" w:eastAsia="宋体" w:cs="Times New Roman"/>
      <w:color w:val="FE7000"/>
      <w:sz w:val="30"/>
      <w:szCs w:val="30"/>
    </w:rPr>
  </w:style>
  <w:style w:type="character" w:customStyle="1" w:styleId="54">
    <w:name w:val="first-child1"/>
    <w:qFormat/>
    <w:uiPriority w:val="0"/>
    <w:rPr>
      <w:rFonts w:ascii="Times New Roman" w:hAnsi="Times New Roman" w:eastAsia="宋体" w:cs="Times New Roman"/>
    </w:rPr>
  </w:style>
  <w:style w:type="character" w:customStyle="1" w:styleId="55">
    <w:name w:val="zjimg2"/>
    <w:qFormat/>
    <w:uiPriority w:val="0"/>
    <w:rPr>
      <w:rFonts w:ascii="Times New Roman" w:hAnsi="Times New Roman" w:eastAsia="宋体" w:cs="Times New Roman"/>
      <w:shd w:val="clear" w:color="auto" w:fill="A2C5FB"/>
    </w:rPr>
  </w:style>
  <w:style w:type="character" w:customStyle="1" w:styleId="56">
    <w:name w:val="tablestbtnsub"/>
    <w:qFormat/>
    <w:uiPriority w:val="0"/>
    <w:rPr>
      <w:rFonts w:ascii="Times New Roman" w:hAnsi="Times New Roman" w:eastAsia="宋体" w:cs="Times New Roman"/>
      <w:color w:val="FFFFFF"/>
      <w:sz w:val="45"/>
      <w:szCs w:val="45"/>
      <w:bdr w:val="single" w:color="00ADDB" w:sz="6" w:space="0"/>
      <w:shd w:val="clear" w:color="auto" w:fill="00ADDB"/>
    </w:rPr>
  </w:style>
  <w:style w:type="character" w:customStyle="1" w:styleId="57">
    <w:name w:val="apple-converted-space"/>
    <w:qFormat/>
    <w:uiPriority w:val="0"/>
    <w:rPr>
      <w:rFonts w:ascii="Times New Roman" w:hAnsi="Times New Roman" w:eastAsia="宋体" w:cs="Times New Roman"/>
    </w:rPr>
  </w:style>
  <w:style w:type="character" w:customStyle="1" w:styleId="58">
    <w:name w:val="projectbtn"/>
    <w:qFormat/>
    <w:uiPriority w:val="0"/>
    <w:rPr>
      <w:rFonts w:ascii="Times New Roman" w:hAnsi="Times New Roman" w:eastAsia="宋体" w:cs="Times New Roman"/>
      <w:color w:val="0270C9"/>
      <w:sz w:val="21"/>
      <w:szCs w:val="21"/>
      <w:bdr w:val="single" w:color="E2E2E2" w:sz="6" w:space="0"/>
    </w:rPr>
  </w:style>
  <w:style w:type="character" w:customStyle="1" w:styleId="59">
    <w:name w:val="passed1"/>
    <w:qFormat/>
    <w:uiPriority w:val="0"/>
    <w:rPr>
      <w:rFonts w:ascii="Times New Roman" w:hAnsi="Times New Roman" w:eastAsia="宋体" w:cs="Times New Roman"/>
      <w:shd w:val="clear" w:color="auto" w:fill="63A2F2"/>
    </w:rPr>
  </w:style>
  <w:style w:type="character" w:customStyle="1" w:styleId="60">
    <w:name w:val="img4"/>
    <w:qFormat/>
    <w:uiPriority w:val="0"/>
    <w:rPr>
      <w:rFonts w:ascii="Times New Roman" w:hAnsi="Times New Roman" w:eastAsia="宋体" w:cs="Times New Roman"/>
      <w:shd w:val="clear" w:color="auto" w:fill="288FF3"/>
    </w:rPr>
  </w:style>
  <w:style w:type="character" w:customStyle="1" w:styleId="61">
    <w:name w:val="first-child"/>
    <w:qFormat/>
    <w:uiPriority w:val="0"/>
    <w:rPr>
      <w:rFonts w:ascii="Times New Roman" w:hAnsi="Times New Roman" w:eastAsia="宋体" w:cs="Times New Roman"/>
    </w:rPr>
  </w:style>
  <w:style w:type="character" w:customStyle="1" w:styleId="62">
    <w:name w:val="段落 Char"/>
    <w:link w:val="63"/>
    <w:qFormat/>
    <w:uiPriority w:val="0"/>
    <w:rPr>
      <w:rFonts w:ascii="Times New Roman" w:hAnsi="Times New Roman" w:eastAsia="仿宋_GB2312" w:cs="宋体"/>
      <w:kern w:val="2"/>
      <w:sz w:val="28"/>
    </w:rPr>
  </w:style>
  <w:style w:type="paragraph" w:customStyle="1" w:styleId="63">
    <w:name w:val="段落"/>
    <w:basedOn w:val="1"/>
    <w:link w:val="62"/>
    <w:qFormat/>
    <w:uiPriority w:val="0"/>
    <w:pPr>
      <w:snapToGrid w:val="0"/>
      <w:spacing w:line="360" w:lineRule="auto"/>
      <w:ind w:firstLine="560" w:firstLineChars="200"/>
    </w:pPr>
    <w:rPr>
      <w:rFonts w:eastAsia="仿宋_GB2312"/>
      <w:sz w:val="28"/>
      <w:szCs w:val="20"/>
    </w:rPr>
  </w:style>
  <w:style w:type="character" w:customStyle="1" w:styleId="64">
    <w:name w:val="inforbtn"/>
    <w:qFormat/>
    <w:uiPriority w:val="0"/>
    <w:rPr>
      <w:rFonts w:ascii="Times New Roman" w:hAnsi="Times New Roman" w:eastAsia="宋体" w:cs="Times New Roman"/>
      <w:color w:val="FFFFFF"/>
      <w:sz w:val="30"/>
      <w:szCs w:val="30"/>
    </w:rPr>
  </w:style>
  <w:style w:type="character" w:customStyle="1" w:styleId="65">
    <w:name w:val="zjimg5"/>
    <w:qFormat/>
    <w:uiPriority w:val="0"/>
    <w:rPr>
      <w:rFonts w:ascii="Times New Roman" w:hAnsi="Times New Roman" w:eastAsia="宋体" w:cs="Times New Roman"/>
      <w:shd w:val="clear" w:color="auto" w:fill="7BC70E"/>
    </w:rPr>
  </w:style>
  <w:style w:type="character" w:customStyle="1" w:styleId="66">
    <w:name w:val="inforbtn2"/>
    <w:qFormat/>
    <w:uiPriority w:val="0"/>
    <w:rPr>
      <w:rFonts w:ascii="Times New Roman" w:hAnsi="Times New Roman" w:eastAsia="宋体" w:cs="Times New Roman"/>
      <w:shd w:val="clear" w:color="auto" w:fill="2390DF"/>
    </w:rPr>
  </w:style>
  <w:style w:type="character" w:customStyle="1" w:styleId="67">
    <w:name w:val="st1"/>
    <w:qFormat/>
    <w:uiPriority w:val="0"/>
    <w:rPr>
      <w:rFonts w:ascii="Times New Roman" w:hAnsi="Times New Roman" w:eastAsia="宋体" w:cs="Times New Roman"/>
    </w:rPr>
  </w:style>
  <w:style w:type="character" w:customStyle="1" w:styleId="68">
    <w:name w:val=" Char Char1"/>
    <w:qFormat/>
    <w:uiPriority w:val="0"/>
    <w:rPr>
      <w:rFonts w:ascii="Times New Roman" w:hAnsi="Times New Roman" w:eastAsia="宋体" w:cs="Times New Roman"/>
      <w:kern w:val="2"/>
      <w:sz w:val="24"/>
      <w:szCs w:val="21"/>
      <w:lang w:val="en-US" w:eastAsia="zh-CN" w:bidi="ar-SA"/>
    </w:rPr>
  </w:style>
  <w:style w:type="character" w:customStyle="1" w:styleId="69">
    <w:name w:val="hover8"/>
    <w:qFormat/>
    <w:uiPriority w:val="0"/>
    <w:rPr>
      <w:rFonts w:ascii="Times New Roman" w:hAnsi="Times New Roman" w:eastAsia="宋体" w:cs="Times New Roman"/>
      <w:color w:val="FFFFFF"/>
      <w:shd w:val="clear" w:color="auto" w:fill="0270C9"/>
    </w:rPr>
  </w:style>
  <w:style w:type="character" w:customStyle="1" w:styleId="70">
    <w:name w:val="hover9"/>
    <w:qFormat/>
    <w:uiPriority w:val="0"/>
    <w:rPr>
      <w:rFonts w:ascii="Times New Roman" w:hAnsi="Times New Roman" w:eastAsia="宋体" w:cs="Times New Roman"/>
      <w:color w:val="FFFFFF"/>
      <w:shd w:val="clear" w:color="auto" w:fill="0270C9"/>
    </w:rPr>
  </w:style>
  <w:style w:type="character" w:customStyle="1" w:styleId="71">
    <w:name w:val="img8"/>
    <w:qFormat/>
    <w:uiPriority w:val="0"/>
    <w:rPr>
      <w:rFonts w:ascii="Times New Roman" w:hAnsi="Times New Roman" w:eastAsia="宋体" w:cs="Times New Roman"/>
      <w:shd w:val="clear" w:color="auto" w:fill="288FF3"/>
    </w:rPr>
  </w:style>
  <w:style w:type="character" w:customStyle="1" w:styleId="72">
    <w:name w:val=" Char Char4"/>
    <w:qFormat/>
    <w:uiPriority w:val="0"/>
    <w:rPr>
      <w:rFonts w:ascii="Times New Roman" w:hAnsi="Times New Roman" w:eastAsia="宋体" w:cs="Times New Roman"/>
      <w:kern w:val="2"/>
      <w:sz w:val="18"/>
      <w:szCs w:val="18"/>
      <w:lang w:val="en-US" w:eastAsia="zh-CN" w:bidi="ar-SA"/>
    </w:rPr>
  </w:style>
  <w:style w:type="character" w:customStyle="1" w:styleId="73">
    <w:name w:val="sorry"/>
    <w:qFormat/>
    <w:uiPriority w:val="0"/>
    <w:rPr>
      <w:rFonts w:ascii="Times New Roman" w:hAnsi="Times New Roman" w:eastAsia="宋体" w:cs="Times New Roman"/>
      <w:b/>
      <w:color w:val="929A9E"/>
      <w:sz w:val="48"/>
      <w:szCs w:val="48"/>
    </w:rPr>
  </w:style>
  <w:style w:type="character" w:customStyle="1" w:styleId="74">
    <w:name w:val="inforbtn3"/>
    <w:qFormat/>
    <w:uiPriority w:val="0"/>
    <w:rPr>
      <w:rFonts w:ascii="Times New Roman" w:hAnsi="Times New Roman" w:eastAsia="宋体" w:cs="Times New Roman"/>
      <w:shd w:val="clear" w:color="auto" w:fill="0270C9"/>
    </w:rPr>
  </w:style>
  <w:style w:type="character" w:customStyle="1" w:styleId="75">
    <w:name w:val="zjimg6"/>
    <w:qFormat/>
    <w:uiPriority w:val="0"/>
    <w:rPr>
      <w:rFonts w:ascii="Times New Roman" w:hAnsi="Times New Roman" w:eastAsia="宋体" w:cs="Times New Roman"/>
      <w:shd w:val="clear" w:color="auto" w:fill="288FF3"/>
    </w:rPr>
  </w:style>
  <w:style w:type="character" w:customStyle="1" w:styleId="76">
    <w:name w:val="img"/>
    <w:qFormat/>
    <w:uiPriority w:val="0"/>
    <w:rPr>
      <w:rFonts w:ascii="Times New Roman" w:hAnsi="Times New Roman" w:eastAsia="宋体" w:cs="Times New Roman"/>
    </w:rPr>
  </w:style>
  <w:style w:type="character" w:customStyle="1" w:styleId="77">
    <w:name w:val="active1"/>
    <w:qFormat/>
    <w:uiPriority w:val="0"/>
    <w:rPr>
      <w:rFonts w:ascii="Times New Roman" w:hAnsi="Times New Roman" w:eastAsia="宋体" w:cs="Times New Roman"/>
      <w:color w:val="0270C9"/>
      <w:sz w:val="21"/>
      <w:szCs w:val="21"/>
    </w:rPr>
  </w:style>
  <w:style w:type="character" w:customStyle="1" w:styleId="78">
    <w:name w:val="xqcontit_btn"/>
    <w:qFormat/>
    <w:uiPriority w:val="0"/>
    <w:rPr>
      <w:rFonts w:ascii="Times New Roman" w:hAnsi="Times New Roman" w:eastAsia="宋体" w:cs="Times New Roman"/>
      <w:color w:val="0270C9"/>
      <w:sz w:val="21"/>
      <w:szCs w:val="21"/>
      <w:bdr w:val="single" w:color="E2E2E2" w:sz="6" w:space="0"/>
    </w:rPr>
  </w:style>
  <w:style w:type="character" w:customStyle="1" w:styleId="79">
    <w:name w:val="show"/>
    <w:qFormat/>
    <w:uiPriority w:val="0"/>
    <w:rPr>
      <w:rFonts w:ascii="Times New Roman" w:hAnsi="Times New Roman" w:eastAsia="宋体" w:cs="Times New Roman"/>
    </w:rPr>
  </w:style>
  <w:style w:type="character" w:customStyle="1" w:styleId="80">
    <w:name w:val="zjimg1"/>
    <w:qFormat/>
    <w:uiPriority w:val="0"/>
    <w:rPr>
      <w:rFonts w:ascii="Times New Roman" w:hAnsi="Times New Roman" w:eastAsia="宋体" w:cs="Times New Roman"/>
      <w:shd w:val="clear" w:color="auto" w:fill="F94876"/>
    </w:rPr>
  </w:style>
  <w:style w:type="character" w:customStyle="1" w:styleId="81">
    <w:name w:val="sxtx"/>
    <w:qFormat/>
    <w:uiPriority w:val="0"/>
    <w:rPr>
      <w:rFonts w:ascii="Times New Roman" w:hAnsi="Times New Roman" w:eastAsia="宋体" w:cs="Times New Roman"/>
    </w:rPr>
  </w:style>
  <w:style w:type="character" w:customStyle="1" w:styleId="82">
    <w:name w:val="tablestbtn"/>
    <w:qFormat/>
    <w:uiPriority w:val="0"/>
    <w:rPr>
      <w:rFonts w:ascii="Times New Roman" w:hAnsi="Times New Roman" w:eastAsia="宋体" w:cs="Times New Roman"/>
      <w:color w:val="0270C9"/>
      <w:sz w:val="21"/>
      <w:szCs w:val="21"/>
      <w:bdr w:val="single" w:color="E2E2E2" w:sz="6" w:space="0"/>
    </w:rPr>
  </w:style>
  <w:style w:type="character" w:customStyle="1" w:styleId="83">
    <w:name w:val="zjimg4"/>
    <w:qFormat/>
    <w:uiPriority w:val="0"/>
    <w:rPr>
      <w:rFonts w:ascii="Times New Roman" w:hAnsi="Times New Roman" w:eastAsia="宋体" w:cs="Times New Roman"/>
      <w:shd w:val="clear" w:color="auto" w:fill="F94876"/>
    </w:rPr>
  </w:style>
  <w:style w:type="character" w:customStyle="1" w:styleId="84">
    <w:name w:val="img3"/>
    <w:qFormat/>
    <w:uiPriority w:val="0"/>
    <w:rPr>
      <w:rFonts w:ascii="Times New Roman" w:hAnsi="Times New Roman" w:eastAsia="宋体" w:cs="Times New Roman"/>
      <w:shd w:val="clear" w:color="auto" w:fill="7BC70E"/>
    </w:rPr>
  </w:style>
  <w:style w:type="character" w:customStyle="1" w:styleId="85">
    <w:name w:val="正  文 Char"/>
    <w:qFormat/>
    <w:uiPriority w:val="0"/>
    <w:rPr>
      <w:rFonts w:ascii="宋体" w:hAnsi="Times New Roman" w:eastAsia="宋体" w:cs="Times New Roman"/>
      <w:kern w:val="2"/>
      <w:sz w:val="24"/>
      <w:szCs w:val="24"/>
      <w:lang w:val="en-US" w:eastAsia="zh-CN" w:bidi="ar-SA"/>
    </w:rPr>
  </w:style>
  <w:style w:type="character" w:customStyle="1" w:styleId="86">
    <w:name w:val="inforbtn4"/>
    <w:qFormat/>
    <w:uiPriority w:val="0"/>
    <w:rPr>
      <w:rFonts w:ascii="Times New Roman" w:hAnsi="Times New Roman" w:eastAsia="宋体" w:cs="Times New Roman"/>
      <w:shd w:val="clear" w:color="auto" w:fill="BFBFBF"/>
    </w:rPr>
  </w:style>
  <w:style w:type="character" w:customStyle="1" w:styleId="87">
    <w:name w:val="onesidebtn"/>
    <w:qFormat/>
    <w:uiPriority w:val="0"/>
    <w:rPr>
      <w:rFonts w:ascii="Times New Roman" w:hAnsi="Times New Roman" w:eastAsia="宋体" w:cs="Times New Roman"/>
      <w:b/>
      <w:color w:val="FFFFFF"/>
      <w:sz w:val="24"/>
      <w:szCs w:val="24"/>
      <w:shd w:val="clear" w:color="auto" w:fill="0270C9"/>
    </w:rPr>
  </w:style>
  <w:style w:type="character" w:customStyle="1" w:styleId="88">
    <w:name w:val="img10"/>
    <w:qFormat/>
    <w:uiPriority w:val="0"/>
    <w:rPr>
      <w:rFonts w:ascii="Times New Roman" w:hAnsi="Times New Roman" w:eastAsia="宋体" w:cs="Times New Roman"/>
    </w:rPr>
  </w:style>
  <w:style w:type="character" w:customStyle="1" w:styleId="89">
    <w:name w:val="zjimg3"/>
    <w:qFormat/>
    <w:uiPriority w:val="0"/>
    <w:rPr>
      <w:rFonts w:ascii="Times New Roman" w:hAnsi="Times New Roman" w:eastAsia="宋体" w:cs="Times New Roman"/>
      <w:shd w:val="clear" w:color="auto" w:fill="288FF3"/>
    </w:rPr>
  </w:style>
  <w:style w:type="character" w:customStyle="1" w:styleId="90">
    <w:name w:val="conbtn"/>
    <w:qFormat/>
    <w:uiPriority w:val="0"/>
    <w:rPr>
      <w:rFonts w:ascii="Times New Roman" w:hAnsi="Times New Roman" w:eastAsia="宋体" w:cs="Times New Roman"/>
      <w:color w:val="1C76C9"/>
      <w:sz w:val="21"/>
      <w:szCs w:val="21"/>
      <w:bdr w:val="single" w:color="E2E2E2" w:sz="6" w:space="0"/>
    </w:rPr>
  </w:style>
  <w:style w:type="character" w:customStyle="1" w:styleId="91">
    <w:name w:val="img7"/>
    <w:qFormat/>
    <w:uiPriority w:val="0"/>
    <w:rPr>
      <w:rFonts w:ascii="Times New Roman" w:hAnsi="Times New Roman" w:eastAsia="宋体" w:cs="Times New Roman"/>
      <w:shd w:val="clear" w:color="auto" w:fill="F35328"/>
    </w:rPr>
  </w:style>
  <w:style w:type="character" w:customStyle="1" w:styleId="92">
    <w:name w:val="NormalCharacter"/>
    <w:qFormat/>
    <w:uiPriority w:val="99"/>
    <w:rPr>
      <w:rFonts w:ascii="Times New Roman" w:hAnsi="Times New Roman" w:eastAsia="宋体"/>
    </w:rPr>
  </w:style>
  <w:style w:type="character" w:customStyle="1" w:styleId="93">
    <w:name w:val=" Char Char2"/>
    <w:qFormat/>
    <w:uiPriority w:val="0"/>
    <w:rPr>
      <w:rFonts w:ascii="Times New Roman" w:hAnsi="Times New Roman" w:eastAsia="宋体" w:cs="Times New Roman"/>
      <w:kern w:val="2"/>
      <w:sz w:val="24"/>
      <w:lang w:val="en-US" w:eastAsia="zh-CN" w:bidi="ar-SA"/>
    </w:rPr>
  </w:style>
  <w:style w:type="character" w:customStyle="1" w:styleId="94">
    <w:name w:val=" Char Char"/>
    <w:qFormat/>
    <w:uiPriority w:val="0"/>
    <w:rPr>
      <w:rFonts w:ascii="宋体" w:hAnsi="Times New Roman" w:eastAsia="宋体" w:cs="Times New Roman"/>
      <w:kern w:val="2"/>
      <w:sz w:val="18"/>
      <w:szCs w:val="18"/>
    </w:rPr>
  </w:style>
  <w:style w:type="character" w:customStyle="1" w:styleId="95">
    <w:name w:val="img5"/>
    <w:qFormat/>
    <w:uiPriority w:val="0"/>
    <w:rPr>
      <w:rFonts w:ascii="Times New Roman" w:hAnsi="Times New Roman" w:eastAsia="宋体" w:cs="Times New Roman"/>
      <w:shd w:val="clear" w:color="auto" w:fill="AA88E2"/>
    </w:rPr>
  </w:style>
  <w:style w:type="character" w:customStyle="1" w:styleId="96">
    <w:name w:val="普通文字 Char Char Char Char"/>
    <w:qFormat/>
    <w:uiPriority w:val="0"/>
    <w:rPr>
      <w:rFonts w:ascii="宋体" w:hAnsi="Courier New" w:eastAsia="宋体" w:cs="Times New Roman"/>
      <w:kern w:val="2"/>
      <w:sz w:val="24"/>
      <w:lang w:val="en-US" w:eastAsia="zh-CN" w:bidi="ar-SA"/>
    </w:rPr>
  </w:style>
  <w:style w:type="character" w:customStyle="1" w:styleId="97">
    <w:name w:val="tablestbtn1"/>
    <w:qFormat/>
    <w:uiPriority w:val="0"/>
    <w:rPr>
      <w:rFonts w:ascii="Times New Roman" w:hAnsi="Times New Roman" w:eastAsia="宋体" w:cs="Times New Roman"/>
      <w:color w:val="0270C9"/>
      <w:sz w:val="21"/>
      <w:szCs w:val="21"/>
      <w:bdr w:val="single" w:color="E2E2E2" w:sz="6" w:space="0"/>
    </w:rPr>
  </w:style>
  <w:style w:type="character" w:customStyle="1" w:styleId="98">
    <w:name w:val="hot2"/>
    <w:qFormat/>
    <w:uiPriority w:val="0"/>
    <w:rPr>
      <w:rFonts w:ascii="Times New Roman" w:hAnsi="Times New Roman" w:eastAsia="宋体" w:cs="Times New Roman"/>
      <w:shd w:val="clear" w:color="auto" w:fill="0F75F3"/>
    </w:rPr>
  </w:style>
  <w:style w:type="character" w:customStyle="1" w:styleId="99">
    <w:name w:val="nom"/>
    <w:qFormat/>
    <w:uiPriority w:val="0"/>
    <w:rPr>
      <w:rFonts w:ascii="Times New Roman" w:hAnsi="Times New Roman" w:eastAsia="宋体" w:cs="Times New Roman"/>
      <w:sz w:val="36"/>
      <w:szCs w:val="36"/>
    </w:rPr>
  </w:style>
  <w:style w:type="character" w:customStyle="1" w:styleId="100">
    <w:name w:val="img2"/>
    <w:qFormat/>
    <w:uiPriority w:val="0"/>
    <w:rPr>
      <w:rFonts w:ascii="Times New Roman" w:hAnsi="Times New Roman" w:eastAsia="宋体" w:cs="Times New Roman"/>
      <w:shd w:val="clear" w:color="auto" w:fill="7AAEFF"/>
    </w:rPr>
  </w:style>
  <w:style w:type="character" w:customStyle="1" w:styleId="101">
    <w:name w:val="img6"/>
    <w:qFormat/>
    <w:uiPriority w:val="0"/>
    <w:rPr>
      <w:rFonts w:ascii="Times New Roman" w:hAnsi="Times New Roman" w:eastAsia="宋体" w:cs="Times New Roman"/>
      <w:shd w:val="clear" w:color="auto" w:fill="7BC70E"/>
    </w:rPr>
  </w:style>
  <w:style w:type="character" w:customStyle="1" w:styleId="102">
    <w:name w:val="cancel_lh"/>
    <w:qFormat/>
    <w:uiPriority w:val="0"/>
    <w:rPr>
      <w:rFonts w:ascii="Times New Roman" w:hAnsi="Times New Roman" w:eastAsia="宋体" w:cs="Times New Roman"/>
      <w:color w:val="FFFFFF"/>
      <w:shd w:val="clear" w:color="auto" w:fill="89B6CB"/>
    </w:rPr>
  </w:style>
  <w:style w:type="character" w:customStyle="1" w:styleId="103">
    <w:name w:val="layui-layer-tabnow"/>
    <w:qFormat/>
    <w:uiPriority w:val="0"/>
    <w:rPr>
      <w:rFonts w:ascii="Times New Roman" w:hAnsi="Times New Roman" w:eastAsia="宋体" w:cs="Times New Roman"/>
      <w:bdr w:val="single" w:color="CCCCCC" w:sz="6" w:space="0"/>
      <w:shd w:val="clear" w:color="auto" w:fill="FFFFFF"/>
    </w:rPr>
  </w:style>
  <w:style w:type="character" w:customStyle="1" w:styleId="104">
    <w:name w:val="hot1"/>
    <w:qFormat/>
    <w:uiPriority w:val="0"/>
    <w:rPr>
      <w:rFonts w:ascii="Times New Roman" w:hAnsi="Times New Roman" w:eastAsia="宋体" w:cs="Times New Roman"/>
      <w:shd w:val="clear" w:color="auto" w:fill="0F75F3"/>
    </w:rPr>
  </w:style>
  <w:style w:type="character" w:customStyle="1" w:styleId="105">
    <w:name w:val="success"/>
    <w:qFormat/>
    <w:uiPriority w:val="0"/>
    <w:rPr>
      <w:rFonts w:ascii="Times New Roman" w:hAnsi="Times New Roman" w:eastAsia="宋体" w:cs="Times New Roman"/>
      <w:b/>
      <w:color w:val="4A4A4A"/>
      <w:sz w:val="48"/>
      <w:szCs w:val="48"/>
    </w:rPr>
  </w:style>
  <w:style w:type="character" w:customStyle="1" w:styleId="106">
    <w:name w:val="img1"/>
    <w:qFormat/>
    <w:uiPriority w:val="0"/>
    <w:rPr>
      <w:rFonts w:ascii="Times New Roman" w:hAnsi="Times New Roman" w:eastAsia="宋体" w:cs="Times New Roman"/>
      <w:shd w:val="clear" w:color="auto" w:fill="F94876"/>
    </w:rPr>
  </w:style>
  <w:style w:type="character" w:customStyle="1" w:styleId="107">
    <w:name w:val="confirm_lh"/>
    <w:qFormat/>
    <w:uiPriority w:val="0"/>
    <w:rPr>
      <w:rFonts w:ascii="Times New Roman" w:hAnsi="Times New Roman" w:eastAsia="宋体" w:cs="Times New Roman"/>
      <w:color w:val="FFFFFF"/>
      <w:shd w:val="clear" w:color="auto" w:fill="0270C9"/>
    </w:rPr>
  </w:style>
  <w:style w:type="character" w:customStyle="1" w:styleId="108">
    <w:name w:val=" Char Char3"/>
    <w:qFormat/>
    <w:uiPriority w:val="0"/>
    <w:rPr>
      <w:rFonts w:ascii="Times New Roman" w:hAnsi="Times New Roman" w:eastAsia="宋体" w:cs="Times New Roman"/>
      <w:kern w:val="2"/>
      <w:sz w:val="18"/>
      <w:szCs w:val="18"/>
      <w:lang w:val="en-US" w:eastAsia="zh-CN" w:bidi="ar-SA"/>
    </w:rPr>
  </w:style>
  <w:style w:type="character" w:customStyle="1" w:styleId="109">
    <w:name w:val="tablestbtnadd"/>
    <w:qFormat/>
    <w:uiPriority w:val="0"/>
    <w:rPr>
      <w:rFonts w:ascii="Times New Roman" w:hAnsi="Times New Roman" w:eastAsia="宋体" w:cs="Times New Roman"/>
      <w:color w:val="FFFFFF"/>
      <w:sz w:val="45"/>
      <w:szCs w:val="45"/>
      <w:bdr w:val="single" w:color="EF8B15" w:sz="6" w:space="0"/>
      <w:shd w:val="clear" w:color="auto" w:fill="EF8B15"/>
    </w:rPr>
  </w:style>
  <w:style w:type="character" w:customStyle="1" w:styleId="110">
    <w:name w:val="img9"/>
    <w:qFormat/>
    <w:uiPriority w:val="0"/>
    <w:rPr>
      <w:rFonts w:ascii="Times New Roman" w:hAnsi="Times New Roman" w:eastAsia="宋体" w:cs="Times New Roman"/>
      <w:shd w:val="clear" w:color="auto" w:fill="435ED5"/>
    </w:rPr>
  </w:style>
  <w:style w:type="paragraph" w:customStyle="1" w:styleId="111">
    <w:name w:val="王正慧－正文 Char1"/>
    <w:basedOn w:val="1"/>
    <w:qFormat/>
    <w:uiPriority w:val="0"/>
    <w:pPr>
      <w:spacing w:line="360" w:lineRule="auto"/>
      <w:ind w:firstLine="480" w:firstLineChars="200"/>
    </w:pPr>
    <w:rPr>
      <w:rFonts w:ascii="Times New Roman" w:hAnsi="宋体" w:eastAsia="宋体" w:cs="Times New Roman"/>
      <w:sz w:val="24"/>
      <w:szCs w:val="20"/>
    </w:rPr>
  </w:style>
  <w:style w:type="paragraph" w:customStyle="1" w:styleId="112">
    <w:name w:val="样式1"/>
    <w:basedOn w:val="1"/>
    <w:next w:val="5"/>
    <w:qFormat/>
    <w:uiPriority w:val="0"/>
    <w:pPr>
      <w:spacing w:line="360" w:lineRule="auto"/>
      <w:ind w:firstLine="420" w:firstLineChars="200"/>
    </w:pPr>
    <w:rPr>
      <w:rFonts w:ascii="宋体" w:hAnsi="宋体" w:eastAsia="宋体" w:cs="Times New Roman"/>
      <w:szCs w:val="21"/>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14"/>
    <w:qFormat/>
    <w:uiPriority w:val="0"/>
    <w:pPr>
      <w:widowControl w:val="0"/>
      <w:jc w:val="both"/>
    </w:pPr>
    <w:rPr>
      <w:rFonts w:ascii="Calibri" w:hAnsi="Calibri" w:eastAsia="宋体" w:cs="黑体"/>
      <w:kern w:val="2"/>
      <w:sz w:val="21"/>
      <w:szCs w:val="24"/>
      <w:lang w:val="en-US" w:eastAsia="zh-CN" w:bidi="ar-SA"/>
    </w:rPr>
  </w:style>
  <w:style w:type="paragraph" w:customStyle="1" w:styleId="114">
    <w:name w:val="样式 宋体 行距: 1.5 倍行距"/>
    <w:basedOn w:val="113"/>
    <w:next w:val="1"/>
    <w:qFormat/>
    <w:uiPriority w:val="0"/>
    <w:pPr>
      <w:jc w:val="center"/>
    </w:pPr>
    <w:rPr>
      <w:rFonts w:ascii="Times New Roman" w:hAnsi="Times New Roman" w:eastAsia="宋体" w:cs="Times New Roman"/>
      <w:b/>
    </w:rPr>
  </w:style>
  <w:style w:type="paragraph" w:customStyle="1" w:styleId="115">
    <w:name w:val="文字"/>
    <w:basedOn w:val="1"/>
    <w:qFormat/>
    <w:uiPriority w:val="0"/>
    <w:pPr>
      <w:spacing w:line="360" w:lineRule="auto"/>
      <w:ind w:firstLine="200" w:firstLineChars="200"/>
    </w:pPr>
    <w:rPr>
      <w:rFonts w:ascii="Calibri" w:hAnsi="Calibri" w:eastAsia="宋体" w:cs="Times New Roman"/>
      <w:sz w:val="30"/>
    </w:rPr>
  </w:style>
  <w:style w:type="paragraph" w:customStyle="1" w:styleId="116">
    <w:name w:val="Normal Indent"/>
    <w:basedOn w:val="1"/>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117">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表格1"/>
    <w:basedOn w:val="1"/>
    <w:qFormat/>
    <w:uiPriority w:val="0"/>
    <w:pPr>
      <w:adjustRightInd w:val="0"/>
      <w:spacing w:line="20" w:lineRule="atLeast"/>
      <w:jc w:val="center"/>
      <w:textAlignment w:val="center"/>
    </w:pPr>
    <w:rPr>
      <w:rFonts w:ascii="宋体" w:hAnsi="Times New Roman" w:eastAsia="宋体" w:cs="Times New Roman"/>
      <w:kern w:val="0"/>
      <w:szCs w:val="20"/>
    </w:rPr>
  </w:style>
  <w:style w:type="paragraph" w:customStyle="1" w:styleId="119">
    <w:name w:val="BodyText"/>
    <w:basedOn w:val="1"/>
    <w:qFormat/>
    <w:uiPriority w:val="0"/>
    <w:pPr>
      <w:spacing w:after="120" w:line="360" w:lineRule="auto"/>
      <w:textAlignment w:val="baseline"/>
    </w:pPr>
    <w:rPr>
      <w:rFonts w:ascii="宋体"/>
      <w:sz w:val="24"/>
    </w:rPr>
  </w:style>
  <w:style w:type="paragraph" w:customStyle="1" w:styleId="120">
    <w:name w:val="正文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1">
    <w:name w:val="纯文本1"/>
    <w:basedOn w:val="1"/>
    <w:qFormat/>
    <w:uiPriority w:val="0"/>
    <w:pPr>
      <w:adjustRightInd w:val="0"/>
      <w:textAlignment w:val="baseline"/>
    </w:pPr>
    <w:rPr>
      <w:rFonts w:ascii="宋体" w:hAnsi="Times New Roman" w:eastAsia="宋体" w:cs="Times New Roman"/>
      <w:kern w:val="0"/>
      <w:sz w:val="24"/>
      <w:szCs w:val="20"/>
    </w:rPr>
  </w:style>
  <w:style w:type="paragraph" w:customStyle="1" w:styleId="122">
    <w:name w:val="Normal Indent1"/>
    <w:basedOn w:val="1"/>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123">
    <w:name w:val="AnnotationText"/>
    <w:basedOn w:val="1"/>
    <w:qFormat/>
    <w:uiPriority w:val="0"/>
    <w:pPr>
      <w:spacing w:line="360" w:lineRule="atLeast"/>
      <w:jc w:val="left"/>
      <w:textAlignment w:val="baseline"/>
    </w:pPr>
    <w:rPr>
      <w:rFonts w:ascii="宋体" w:hAnsi="Times New Roman" w:eastAsia="宋体"/>
      <w:kern w:val="0"/>
      <w:sz w:val="24"/>
      <w:szCs w:val="24"/>
      <w:lang w:val="en-US" w:eastAsia="zh-CN" w:bidi="ar-SA"/>
    </w:rPr>
  </w:style>
  <w:style w:type="paragraph" w:customStyle="1" w:styleId="124">
    <w:name w:val="Table Paragraph"/>
    <w:basedOn w:val="1"/>
    <w:qFormat/>
    <w:uiPriority w:val="0"/>
    <w:pPr>
      <w:jc w:val="left"/>
    </w:pPr>
    <w:rPr>
      <w:rFonts w:ascii="Calibri" w:hAnsi="Calibri" w:eastAsia="Calibri" w:cs="Times New Roman"/>
      <w:kern w:val="0"/>
      <w:sz w:val="22"/>
      <w:szCs w:val="22"/>
      <w:lang w:eastAsia="en-US"/>
    </w:rPr>
  </w:style>
  <w:style w:type="paragraph" w:customStyle="1" w:styleId="125">
    <w:name w:val="正  文"/>
    <w:basedOn w:val="1"/>
    <w:qFormat/>
    <w:uiPriority w:val="0"/>
    <w:pPr>
      <w:spacing w:line="360" w:lineRule="auto"/>
      <w:ind w:firstLine="200" w:firstLineChars="200"/>
    </w:pPr>
    <w:rPr>
      <w:rFonts w:ascii="宋体" w:hAnsi="Times New Roman" w:eastAsia="宋体" w:cs="Times New Roman"/>
      <w:sz w:val="24"/>
    </w:rPr>
  </w:style>
  <w:style w:type="paragraph" w:customStyle="1" w:styleId="126">
    <w:name w:val="Plain Text"/>
    <w:basedOn w:val="1"/>
    <w:qFormat/>
    <w:uiPriority w:val="0"/>
    <w:pPr>
      <w:adjustRightInd w:val="0"/>
      <w:textAlignment w:val="baseline"/>
    </w:pPr>
    <w:rPr>
      <w:rFonts w:ascii="宋体" w:hAnsi="Times New Roman" w:eastAsia="宋体" w:cs="Times New Roman"/>
      <w:kern w:val="0"/>
      <w:sz w:val="24"/>
      <w:szCs w:val="20"/>
    </w:rPr>
  </w:style>
  <w:style w:type="paragraph" w:customStyle="1" w:styleId="127">
    <w:name w:val="正文文本 New New"/>
    <w:basedOn w:val="120"/>
    <w:qFormat/>
    <w:uiPriority w:val="0"/>
    <w:pPr>
      <w:spacing w:after="120" w:afterLines="0" w:afterAutospacing="0"/>
    </w:pPr>
  </w:style>
  <w:style w:type="paragraph" w:customStyle="1" w:styleId="128">
    <w:name w:val="正文 New New New New New New New New New New New New New New New New New New New New New New New New New New New New New New New New New New New New New New New New"/>
    <w:basedOn w:val="1"/>
    <w:qFormat/>
    <w:uiPriority w:val="0"/>
    <w:pPr>
      <w:spacing w:line="240" w:lineRule="auto"/>
    </w:pPr>
    <w:rPr>
      <w:rFonts w:ascii="Calibri" w:hAnsi="Calibri" w:eastAsia="楷体_GB2312" w:cs="Calibri"/>
      <w:sz w:val="21"/>
      <w:szCs w:val="21"/>
    </w:rPr>
  </w:style>
  <w:style w:type="paragraph" w:customStyle="1" w:styleId="129">
    <w:name w:val="样式2"/>
    <w:basedOn w:val="1"/>
    <w:qFormat/>
    <w:uiPriority w:val="0"/>
    <w:pPr>
      <w:spacing w:line="360" w:lineRule="auto"/>
      <w:ind w:firstLine="480" w:firstLineChars="200"/>
    </w:pPr>
    <w:rPr>
      <w:rFonts w:hint="eastAsia" w:ascii="宋体" w:hAnsi="宋体"/>
      <w:color w:val="auto"/>
      <w:sz w:val="32"/>
      <w:szCs w:val="32"/>
      <w:u w:val="single"/>
    </w:rPr>
  </w:style>
  <w:style w:type="paragraph" w:customStyle="1" w:styleId="130">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UserStyle_75"/>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132">
    <w:name w:val="样式 小四 黑色 两端对齐 首行缩进:  0.9 厘米 行距: 最小值 23 磅"/>
    <w:basedOn w:val="1"/>
    <w:qFormat/>
    <w:uiPriority w:val="0"/>
    <w:pPr>
      <w:adjustRightInd w:val="0"/>
      <w:spacing w:line="360" w:lineRule="auto"/>
      <w:ind w:firstLine="510"/>
      <w:textAlignment w:val="baseline"/>
    </w:pPr>
    <w:rPr>
      <w:rFonts w:ascii="Times New Roman" w:hAnsi="Times New Roman" w:eastAsia="宋体" w:cs="宋体"/>
      <w:color w:val="000000"/>
      <w:kern w:val="0"/>
      <w:sz w:val="24"/>
      <w:szCs w:val="20"/>
      <w:lang w:val="en-GB"/>
    </w:rPr>
  </w:style>
  <w:style w:type="paragraph" w:customStyle="1" w:styleId="133">
    <w:name w:val="Body text|1"/>
    <w:basedOn w:val="1"/>
    <w:qFormat/>
    <w:uiPriority w:val="0"/>
    <w:pPr>
      <w:spacing w:after="120" w:line="322" w:lineRule="auto"/>
    </w:pPr>
    <w:rPr>
      <w:rFonts w:ascii="宋体" w:hAnsi="宋体" w:cs="宋体"/>
      <w:sz w:val="20"/>
      <w:szCs w:val="20"/>
      <w:lang w:val="zh-TW" w:eastAsia="zh-TW" w:bidi="zh-TW"/>
    </w:rPr>
  </w:style>
  <w:style w:type="paragraph" w:customStyle="1" w:styleId="134">
    <w:name w:val="正文正"/>
    <w:basedOn w:val="1"/>
    <w:qFormat/>
    <w:uiPriority w:val="99"/>
    <w:pPr>
      <w:spacing w:line="560" w:lineRule="exact"/>
      <w:ind w:firstLine="561"/>
    </w:pPr>
    <w:rPr>
      <w:rFonts w:ascii="Calibri" w:hAnsi="Calibri" w:cs="Calibri"/>
      <w:sz w:val="28"/>
      <w:szCs w:val="28"/>
    </w:rPr>
  </w:style>
  <w:style w:type="paragraph" w:customStyle="1" w:styleId="135">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13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9dfcc5cb-f35a-43c1-800b-aee3ce3897e5</errorID>
      <errorWord>-</errorWord>
      <group>L1_Format</group>
      <groupName>格式问题</groupName>
      <ability>L2_HalfPunc_CN</ability>
      <abilityName/>
      <candidateList>
        <item>－</item>
      </candidateList>
      <explain>文本全半角错误。</explain>
      <paraID>6C266E29</paraID>
      <start>21</start>
      <end>22</end>
      <status>ignored</status>
      <modifiedWord/>
      <trackRevisions>false</trackRevisions>
    </reviewItem>
    <reviewItem>
      <errorID>d0972a5d-646d-4bb3-b45e-6a5c215eb1a9</errorID>
      <errorWord>-</errorWord>
      <group>L1_Format</group>
      <groupName>格式问题</groupName>
      <ability>L2_HalfPunc_CN</ability>
      <abilityName/>
      <candidateList>
        <item>－</item>
      </candidateList>
      <explain>文本全半角错误。</explain>
      <paraID>1E26D5BF</paraID>
      <start>27</start>
      <end>28</end>
      <status>ignored</status>
      <modifiedWord/>
      <trackRevisions>false</trackRevisions>
    </reviewItem>
    <reviewItem>
      <errorID>2f92437e-e38b-4590-874b-5c48b9deaaee</errorID>
      <errorWord>[2024]136号</errorWord>
      <group>L1_Knowledge</group>
      <groupName>知识性问题</groupName>
      <ability>L2_Knowledge</ability>
      <abilityName>其他知识</abilityName>
      <candidateList>
        <item>〔2024〕136号</item>
      </candidateList>
      <explain>发文字号格式错误。</explain>
      <paraID>1E26D5BF</paraID>
      <start>121</start>
      <end>131</end>
      <status>modified</status>
      <modifiedWord>〔2024〕136号</modifiedWord>
      <trackRevisions>false</trackRevisions>
    </reviewItem>
    <reviewItem>
      <errorID>12cc888e-033b-4e67-9660-40f4b7e157ee</errorID>
      <errorWord>(</errorWord>
      <group>L1_Format</group>
      <groupName>格式问题</groupName>
      <ability>L2_HalfPunc_CN</ability>
      <abilityName/>
      <candidateList>
        <item>（</item>
      </candidateList>
      <explain>文本全半角错误。</explain>
      <paraID>502E8EF7</paraID>
      <start>32</start>
      <end>33</end>
      <status>modified</status>
      <modifiedWord>（</modifiedWord>
      <trackRevisions>false</trackRevisions>
    </reviewItem>
    <reviewItem>
      <errorID>2a353dd1-9969-47c0-af98-179cf72b0029</errorID>
      <errorWord>)</errorWord>
      <group>L1_Format</group>
      <groupName>格式问题</groupName>
      <ability>L2_HalfPunc_CN</ability>
      <abilityName/>
      <candidateList>
        <item>）</item>
      </candidateList>
      <explain>文本全半角错误。</explain>
      <paraID>502E8EF7</paraID>
      <start>55</start>
      <end>56</end>
      <status>modified</status>
      <modifiedWord>）</modifiedWord>
      <trackRevisions>false</trackRevisions>
    </reviewItem>
    <reviewItem>
      <errorID>12f635b7-45b5-4271-8664-58c4042a8f1e</errorID>
      <errorWord>,</errorWord>
      <group>L1_Format</group>
      <groupName>格式问题</groupName>
      <ability>L2_HalfPunc_CN</ability>
      <abilityName/>
      <candidateList>
        <item>，</item>
      </candidateList>
      <explain>文本全半角错误。</explain>
      <paraID>502E8EF7</paraID>
      <start>107</start>
      <end>108</end>
      <status>modified</status>
      <modifiedWord>，</modifiedWord>
      <trackRevisions>false</trackRevisions>
    </reviewItem>
    <reviewItem>
      <errorID>0000ee44-099a-4ec5-bea3-cd8587955f75</errorID>
      <errorWord>,</errorWord>
      <group>L1_Format</group>
      <groupName>格式问题</groupName>
      <ability>L2_HalfPunc_CN</ability>
      <abilityName/>
      <candidateList>
        <item>，</item>
      </candidateList>
      <explain>文本全半角错误。</explain>
      <paraID>502E8EF7</paraID>
      <start>123</start>
      <end>124</end>
      <status>modified</status>
      <modifiedWord>，</modifiedWord>
      <trackRevisions>false</trackRevisions>
    </reviewItem>
    <reviewItem>
      <errorID>8f1c2505-a551-4e34-9e1e-6a7bafa4d877</errorID>
      <errorWord>（</errorWord>
      <group>L1_Punc</group>
      <groupName>标点问题</groupName>
      <ability>L2_Punc_CN</ability>
      <abilityName/>
      <candidateList>
        <item/>
      </candidateList>
      <explain>同一形式括号套用。</explain>
      <paraID>220986AD</paraID>
      <start>29</start>
      <end>30</end>
      <status>ignored</status>
      <modifiedWord/>
      <trackRevisions>false</trackRevisions>
    </reviewItem>
    <reviewItem>
      <errorID>98ee032a-bb87-436a-b68c-f8d6096798aa</errorID>
      <errorWord>(</errorWord>
      <group>L1_Punc</group>
      <groupName>标点问题</groupName>
      <ability>L2_Punc_CN</ability>
      <abilityName/>
      <candidateList/>
      <explain>同一形式括号套用。</explain>
      <paraID>220986AD</paraID>
      <start>77</start>
      <end>78</end>
      <status>ignored</status>
      <modifiedWord/>
      <trackRevisions>false</trackRevisions>
    </reviewItem>
    <reviewItem>
      <errorID>1a095115-d98a-4f52-a02c-4cc643ff681e</errorID>
      <errorWord>)</errorWord>
      <group>L1_Punc</group>
      <groupName>标点问题</groupName>
      <ability>L2_Punc_CN</ability>
      <abilityName/>
      <candidateList/>
      <explain>同一形式括号套用。</explain>
      <paraID>220986AD</paraID>
      <start>95</start>
      <end>96</end>
      <status>ignored</status>
      <modifiedWord/>
      <trackRevisions>false</trackRevisions>
    </reviewItem>
    <reviewItem>
      <errorID>77cfbc12-f9b2-4e33-94d1-9aea43243996</errorID>
      <errorWord>后面中</errorWord>
      <group>L1_Word</group>
      <groupName>字词问题</groupName>
      <ability>L2_Typo</ability>
      <abilityName>字词错误</abilityName>
      <candidateList>
        <item>后面</item>
      </candidateList>
      <explain/>
      <paraID>220986AD</paraID>
      <start>112</start>
      <end>114</end>
      <status>modified</status>
      <modifiedWord>后面</modifiedWord>
      <trackRevisions>false</trackRevisions>
    </reviewItem>
    <reviewItem>
      <errorID>f88bcd2b-b561-48a4-a084-3084c9958524</errorID>
      <errorWord>）</errorWord>
      <group>L1_Punc</group>
      <groupName>标点问题</groupName>
      <ability>L2_Punc_CN</ability>
      <abilityName/>
      <candidateList/>
      <explain>同一形式括号套用。</explain>
      <paraID>220986AD</paraID>
      <start>125</start>
      <end>126</end>
      <status>ignored</status>
      <modifiedWord/>
      <trackRevisions>false</trackRevisions>
    </reviewItem>
    <reviewItem>
      <errorID>b81cd33e-ec3a-4edd-abbc-bf1f88fb0ee0</errorID>
      <errorWord>（</errorWord>
      <group>L1_Punc</group>
      <groupName>标点问题</groupName>
      <ability>L2_Punc_CN</ability>
      <abilityName/>
      <candidateList/>
      <explain>同一形式括号套用。</explain>
      <paraID>3FDB0F4D</paraID>
      <start>83</start>
      <end>84</end>
      <status>ignored</status>
      <modifiedWord/>
      <trackRevisions>false</trackRevisions>
    </reviewItem>
    <reviewItem>
      <errorID>866eff4e-69d4-4825-b4cc-c3f7221d1e08</errorID>
      <errorWord>）</errorWord>
      <group>L1_Punc</group>
      <groupName>标点问题</groupName>
      <ability>L2_Punc_CN</ability>
      <abilityName/>
      <candidateList/>
      <explain>同一形式括号套用。</explain>
      <paraID>3FDB0F4D</paraID>
      <start>98</start>
      <end>99</end>
      <status>ignored</status>
      <modifiedWord/>
      <trackRevisions>false</trackRevisions>
    </reviewItem>
    <reviewItem>
      <errorID>297aaade-c36b-4aae-95b1-18a102269747</errorID>
      <errorWord>(</errorWord>
      <group>L1_Format</group>
      <groupName>格式问题</groupName>
      <ability>L2_HalfPunc_CN</ability>
      <abilityName/>
      <candidateList>
        <item>（</item>
      </candidateList>
      <explain>文本全半角错误。</explain>
      <paraID>31F63787</paraID>
      <start>50</start>
      <end>51</end>
      <status>ignored</status>
      <modifiedWord/>
      <trackRevisions>false</trackRevisions>
    </reviewItem>
    <reviewItem>
      <errorID>0cc7809c-b3fa-4fba-a7eb-53b988b5f475</errorID>
      <errorWord>)</errorWord>
      <group>L1_Format</group>
      <groupName>格式问题</groupName>
      <ability>L2_HalfPunc_CN</ability>
      <abilityName/>
      <candidateList>
        <item>）</item>
      </candidateList>
      <explain>文本全半角错误。</explain>
      <paraID>31F63787</paraID>
      <start>53</start>
      <end>54</end>
      <status>ignored</status>
      <modifiedWord/>
      <trackRevisions>false</trackRevisions>
    </reviewItem>
    <reviewItem>
      <errorID>fc908fe7-9172-4115-8799-7538685ceb31</errorID>
      <errorWord>-</errorWord>
      <group>L1_Format</group>
      <groupName>格式问题</groupName>
      <ability>L2_HalfPunc_CN</ability>
      <abilityName/>
      <candidateList>
        <item>－</item>
      </candidateList>
      <explain>文本全半角错误。</explain>
      <paraID> 797A5C3</paraID>
      <start>108</start>
      <end>109</end>
      <status>ignored</status>
      <modifiedWord/>
      <trackRevisions>false</trackRevisions>
    </reviewItem>
    <reviewItem>
      <errorID>2770e2e5-9aa7-47fd-9846-6e0373ee8968</errorID>
      <errorWord>国家工业和信息化部</errorWord>
      <group>L1_Political</group>
      <groupName>政治性问题</groupName>
      <ability>L2_Unpolitical</ability>
      <abilityName>政治敏感错误</abilityName>
      <candidateList>
        <item>工业和信息化部</item>
      </candidateList>
      <explain/>
      <paraID>2E75FE19</paraID>
      <start>9</start>
      <end>16</end>
      <status>modified</status>
      <modifiedWord>工业和信息化部</modifiedWord>
      <trackRevisions>false</trackRevisions>
    </reviewItem>
    <reviewItem>
      <errorID>1fdd997f-a1e8-4b37-80ad-afa8f7fdeb74</errorID>
      <errorWord>-</errorWord>
      <group>L1_Format</group>
      <groupName>格式问题</groupName>
      <ability>L2_HalfPunc_CN</ability>
      <abilityName/>
      <candidateList>
        <item>－</item>
      </candidateList>
      <explain>文本全半角错误。</explain>
      <paraID>43BA2483</paraID>
      <start>224</start>
      <end>225</end>
      <status>modified</status>
      <modifiedWord>－</modifiedWord>
      <trackRevisions>false</trackRevisions>
    </reviewItem>
    <reviewItem>
      <errorID>c3823011-38bf-4272-b77b-e6988dfc54cd</errorID>
      <errorWord>证</errorWord>
      <group>L1_Word</group>
      <groupName>字词问题</groupName>
      <ability>L2_Typo</ability>
      <abilityName>字词错误</abilityName>
      <candidateList>
        <item>证金</item>
      </candidateList>
      <explain/>
      <paraID>311C5F72</paraID>
      <start>33</start>
      <end>35</end>
      <status>modified</status>
      <modifiedWord>证金</modifiedWord>
      <trackRevisions>false</trackRevisions>
    </reviewItem>
    <reviewItem>
      <errorID>9748d93e-8edf-4c75-96ab-93229c40a59c</errorID>
      <errorWord>以下的</errorWord>
      <group>L1_Word</group>
      <groupName>字词问题</groupName>
      <ability>L2_Typo</ability>
      <abilityName>字词错误</abilityName>
      <candidateList>
        <item>以下</item>
      </candidateList>
      <explain/>
      <paraID>32EC7B25</paraID>
      <start>44</start>
      <end>46</end>
      <status>modified</status>
      <modifiedWord>以下</modifiedWord>
      <trackRevisions>false</trackRevisions>
    </reviewItem>
    <reviewItem>
      <errorID>a826faf8-0e00-467f-8f8b-a71d72098f8d</errorID>
      <errorWord>保证缴</errorWord>
      <group>L1_Word</group>
      <groupName>字词问题</groupName>
      <ability>L2_Typo</ability>
      <abilityName>字词错误</abilityName>
      <candidateList>
        <item>保证金</item>
      </candidateList>
      <explain/>
      <paraID>4BA5076B</paraID>
      <start>2</start>
      <end>5</end>
      <status>modified</status>
      <modifiedWord>保证金</modifiedWord>
      <trackRevisions>false</trackRevisions>
    </reviewItem>
    <reviewItem>
      <errorID>9ee2d775-fbed-4576-9c51-cc618fce5991</errorID>
      <errorWord>-</errorWord>
      <group>L1_Format</group>
      <groupName>格式问题</groupName>
      <ability>L2_HalfPunc_CN</ability>
      <abilityName/>
      <candidateList>
        <item>－</item>
      </candidateList>
      <explain>文本全半角错误。</explain>
      <paraID>5670A883</paraID>
      <start>21</start>
      <end>22</end>
      <status>modified</status>
      <modifiedWord>－</modifiedWord>
      <trackRevisions>false</trackRevisions>
    </reviewItem>
    <reviewItem>
      <errorID>f1017c79-5feb-4970-8811-23f8dc069281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3FF50436</paraID>
      <start>0</start>
      <end>2</end>
      <status>modified</status>
      <modifiedWord>1.</modifiedWord>
      <trackRevisions>false</trackRevisions>
    </reviewItem>
    <reviewItem>
      <errorID>6c9be3f2-f7cd-4125-b2d8-5b3d46631f43</errorID>
      <errorWord>(</errorWord>
      <group>L1_Format</group>
      <groupName>格式问题</groupName>
      <ability>L2_HalfPunc_CN</ability>
      <abilityName/>
      <candidateList>
        <item>（</item>
      </candidateList>
      <explain>文本全半角错误。</explain>
      <paraID>7DBF92F1</paraID>
      <start>77</start>
      <end>78</end>
      <status>modified</status>
      <modifiedWord>（</modifiedWord>
      <trackRevisions>false</trackRevisions>
    </reviewItem>
    <reviewItem>
      <errorID>6276e566-32b1-4063-a7fc-e6c7a1358826</errorID>
      <errorWord>)</errorWord>
      <group>L1_Format</group>
      <groupName>格式问题</groupName>
      <ability>L2_HalfPunc_CN</ability>
      <abilityName/>
      <candidateList>
        <item>）</item>
      </candidateList>
      <explain>文本全半角错误。</explain>
      <paraID>7DBF92F1</paraID>
      <start>95</start>
      <end>96</end>
      <status>modified</status>
      <modifiedWord>）</modifiedWord>
      <trackRevisions>false</trackRevisions>
    </reviewItem>
    <reviewItem>
      <errorID>d32a1e2e-7cc0-468c-84b3-560edacce6a4</errorID>
      <errorWord>后面中</errorWord>
      <group>L1_Word</group>
      <groupName>字词问题</groupName>
      <ability>L2_Typo</ability>
      <abilityName>字词错误</abilityName>
      <candidateList>
        <item>后面</item>
      </candidateList>
      <explain/>
      <paraID>7DBF92F1</paraID>
      <start>112</start>
      <end>114</end>
      <status>modified</status>
      <modifiedWord>后面</modifiedWord>
      <trackRevisions>false</trackRevisions>
    </reviewItem>
    <reviewItem>
      <errorID>8e6e6f1f-718b-4b50-89ca-1d825cbad6dd</errorID>
      <errorWord>(</errorWord>
      <group>L1_Format</group>
      <groupName>格式问题</groupName>
      <ability>L2_HalfPunc_CN</ability>
      <abilityName/>
      <candidateList>
        <item>（</item>
      </candidateList>
      <explain>文本全半角错误。</explain>
      <paraID> 4F63547</paraID>
      <start>50</start>
      <end>51</end>
      <status>modified</status>
      <modifiedWord>（</modifiedWord>
      <trackRevisions>false</trackRevisions>
    </reviewItem>
    <reviewItem>
      <errorID>427f619a-4b3e-45a6-891d-0f668a1f042f</errorID>
      <errorWord>)</errorWord>
      <group>L1_Format</group>
      <groupName>格式问题</groupName>
      <ability>L2_HalfPunc_CN</ability>
      <abilityName/>
      <candidateList>
        <item>）</item>
      </candidateList>
      <explain>文本全半角错误。</explain>
      <paraID> 4F63547</paraID>
      <start>53</start>
      <end>54</end>
      <status>modified</status>
      <modifiedWord>）</modifiedWord>
      <trackRevisions>false</trackRevisions>
    </reviewItem>
    <reviewItem>
      <errorID>73ab1529-14a9-4542-b8b4-c56767fd59e8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6C417293</paraID>
      <start>0</start>
      <end>2</end>
      <status>modified</status>
      <modifiedWord>2.</modifiedWord>
      <trackRevisions>false</trackRevisions>
    </reviewItem>
    <reviewItem>
      <errorID>db2f3fa1-c527-4579-8e25-83dfc5ee5ee4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5B55E045</paraID>
      <start>0</start>
      <end>2</end>
      <status>modified</status>
      <modifiedWord>3.</modifiedWord>
      <trackRevisions>false</trackRevisions>
    </reviewItem>
    <reviewItem>
      <errorID>0427c187-653e-4ee2-80d2-2fcb6a303a17</errorID>
      <errorWord>（</errorWord>
      <group>L1_Punc</group>
      <groupName>标点问题</groupName>
      <ability>L2_Punc_CN</ability>
      <abilityName/>
      <candidateList/>
      <explain>此处标点可能未正确匹配，请检查句子中是否存在标点冗余、缺失或使用错误的情况。</explain>
      <paraID>11E206AE</paraID>
      <start>15</start>
      <end>16</end>
      <status>ignored</status>
      <modifiedWord/>
      <trackRevisions>false</trackRevisions>
    </reviewItem>
    <reviewItem>
      <errorID>f60a8277-0000-4b00-a642-2511e614a99c</errorID>
      <errorWord>-</errorWord>
      <group>L1_Format</group>
      <groupName>格式问题</groupName>
      <ability>L2_HalfPunc_CN</ability>
      <abilityName/>
      <candidateList>
        <item>－</item>
      </candidateList>
      <explain>文本全半角错误。</explain>
      <paraID>11E206AE</paraID>
      <start>32</start>
      <end>33</end>
      <status>modified</status>
      <modifiedWord>－</modifiedWord>
      <trackRevisions>false</trackRevisions>
    </reviewItem>
    <reviewItem>
      <errorID>6464dc7c-4893-4ecf-990d-5ac5446cb76f</errorID>
      <errorWord>-</errorWord>
      <group>L1_Format</group>
      <groupName>格式问题</groupName>
      <ability>L2_HalfPunc_CN</ability>
      <abilityName/>
      <candidateList>
        <item>－</item>
      </candidateList>
      <explain>文本全半角错误。</explain>
      <paraID>11E206AE</paraID>
      <start>59</start>
      <end>60</end>
      <status>ignored</status>
      <modifiedWord/>
      <trackRevisions>false</trackRevisions>
    </reviewItem>
    <reviewItem>
      <errorID>b0f78ad3-774c-4f4c-bb00-853efb6029e5</errorID>
      <errorWord>-</errorWord>
      <group>L1_Format</group>
      <groupName>格式问题</groupName>
      <ability>L2_HalfPunc_CN</ability>
      <abilityName/>
      <candidateList>
        <item>－</item>
      </candidateList>
      <explain>文本全半角错误。</explain>
      <paraID>11E206AE</paraID>
      <start>79</start>
      <end>80</end>
      <status>ignored</status>
      <modifiedWord/>
      <trackRevisions>false</trackRevisions>
    </reviewItem>
    <reviewItem>
      <errorID>7e9cb585-15c7-49f5-9d39-b6a0440a1759</errorID>
      <errorWord>-</errorWord>
      <group>L1_Format</group>
      <groupName>格式问题</groupName>
      <ability>L2_HalfPunc_CN</ability>
      <abilityName/>
      <candidateList>
        <item>－</item>
      </candidateList>
      <explain>文本全半角错误。</explain>
      <paraID>393B7BDF</paraID>
      <start>224</start>
      <end>225</end>
      <status>ignored</status>
      <modifiedWord/>
      <trackRevisions>false</trackRevisions>
    </reviewItem>
    <reviewItem>
      <errorID>5c7e59b7-b45b-4df8-b1d1-04adc2e84d3f</errorID>
      <errorWord>-</errorWord>
      <group>L1_Format</group>
      <groupName>格式问题</groupName>
      <ability>L2_HalfPunc_CN</ability>
      <abilityName/>
      <candidateList>
        <item>－</item>
      </candidateList>
      <explain>文本全半角错误。</explain>
      <paraID>2D1D745A</paraID>
      <start>59</start>
      <end>60</end>
      <status>ignored</status>
      <modifiedWord/>
      <trackRevisions>false</trackRevisions>
    </reviewItem>
    <reviewItem>
      <errorID>99a8b2c4-71c7-4a7c-a4e2-9d9f99c047f7</errorID>
      <errorWord>：/</errorWord>
      <group>L1_Punc</group>
      <groupName>标点问题</groupName>
      <ability>L2_Punc_CN</ability>
      <abilityName/>
      <candidateList>
        <item>：</item>
      </candidateList>
      <explain/>
      <paraID>15CF57E3</paraID>
      <start>5</start>
      <end>7</end>
      <status>ignored</status>
      <modifiedWord/>
      <trackRevisions>false</trackRevisions>
    </reviewItem>
    <reviewItem>
      <errorID>332c3c19-4469-4cb0-b5ca-8962e47ea2e2</errorID>
      <errorWord>（</errorWord>
      <group>L1_Word</group>
      <groupName>字词问题</groupName>
      <ability>L2_Typo</ability>
      <abilityName>字词错误</abilityName>
      <candidateList>
        <item>（在</item>
      </candidateList>
      <explain/>
      <paraID>4FFD3E99</paraID>
      <start>15</start>
      <end>17</end>
      <status>modified</status>
      <modifiedWord>（在</modifiedWord>
      <trackRevisions>false</trackRevisions>
    </reviewItem>
    <reviewItem>
      <errorID>47231ff3-8b52-401c-bc4c-a541b0368c72</errorID>
      <errorWord>(</errorWord>
      <group>L1_Format</group>
      <groupName>格式问题</groupName>
      <ability>L2_HalfPunc_CN</ability>
      <abilityName/>
      <candidateList>
        <item>（</item>
      </candidateList>
      <explain>文本全半角错误。</explain>
      <paraID> 2AAA9E4</paraID>
      <start>102</start>
      <end>103</end>
      <status>modified</status>
      <modifiedWord>（</modifiedWord>
      <trackRevisions>false</trackRevisions>
    </reviewItem>
    <reviewItem>
      <errorID>95517e99-d636-464d-896d-ddd36d89c7dc</errorID>
      <errorWord>)</errorWord>
      <group>L1_Format</group>
      <groupName>格式问题</groupName>
      <ability>L2_HalfPunc_CN</ability>
      <abilityName/>
      <candidateList>
        <item>）</item>
      </candidateList>
      <explain>文本全半角错误。</explain>
      <paraID> 2AAA9E4</paraID>
      <start>115</start>
      <end>116</end>
      <status>modified</status>
      <modifiedWord>）</modifiedWord>
      <trackRevisions>false</trackRevisions>
    </reviewItem>
    <reviewItem>
      <errorID>f14cf360-81ae-4884-a2d7-35f75bd12820</errorID>
      <errorWord>[2002]1980号</errorWord>
      <group>L1_Knowledge</group>
      <groupName>知识性问题</groupName>
      <ability>L2_Knowledge</ability>
      <abilityName>其他知识</abilityName>
      <candidateList>
        <item>〔2002〕1980号</item>
      </candidateList>
      <explain>发文字号格式错误。</explain>
      <paraID>419B20FA</paraID>
      <start>101</start>
      <end>112</end>
      <status>modified</status>
      <modifiedWord>〔2002〕1980号</modifiedWord>
      <trackRevisions>false</trackRevisions>
    </reviewItem>
    <reviewItem>
      <errorID>fdab59b8-8176-4300-90cb-ed8d41b527af</errorID>
      <errorWord>按《中华人民共和国</errorWord>
      <group>L1_Word</group>
      <groupName>字词问题</groupName>
      <ability>L2_Typo</ability>
      <abilityName>字词错误</abilityName>
      <candidateList>
        <item>按照《中华人民共和国</item>
      </candidateList>
      <explain/>
      <paraID>1AED8613</paraID>
      <start>9</start>
      <end>19</end>
      <status>modified</status>
      <modifiedWord>按照《中华人民共和国</modifiedWord>
      <trackRevisions>false</trackRevisions>
    </reviewItem>
    <reviewItem>
      <errorID>23814052-8e5b-4154-8998-6e5ffce1c430</errorID>
      <errorWord>法律、法规</errorWord>
      <group>L1_Word</group>
      <groupName>字词问题</groupName>
      <ability>L2_Typo</ability>
      <abilityName>字词错误</abilityName>
      <candidateList>
        <item>法律法规</item>
      </candidateList>
      <explain/>
      <paraID>3DA378AC</paraID>
      <start>24</start>
      <end>28</end>
      <status>modified</status>
      <modifiedWord>法律法规</modifiedWord>
      <trackRevisions>false</trackRevisions>
    </reviewItem>
    <reviewItem>
      <errorID>db7060e5-d36c-4227-a58a-18e1b69c7052</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3DA378AC</paraID>
      <start>38</start>
      <end>39</end>
      <status>modified</status>
      <modifiedWord>已</modifiedWord>
      <trackRevisions>false</trackRevisions>
    </reviewItem>
    <reviewItem>
      <errorID>25278231-ce4b-4943-a726-a596cb8919c1</errorID>
      <errorWord>于在</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3E744A1D</paraID>
      <start>32</start>
      <end>33</end>
      <status>modified</status>
      <modifiedWord>于</modifiedWord>
      <trackRevisions>false</trackRevisions>
    </reviewItem>
    <reviewItem>
      <errorID>66397d5b-9adb-4d9f-9880-be6e99f057f6</errorID>
      <errorWord>通知给</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7A655FFE</paraID>
      <start>18</start>
      <end>20</end>
      <status>modified</status>
      <modifiedWord>通知</modifiedWord>
      <trackRevisions>false</trackRevisions>
    </reviewItem>
    <reviewItem>
      <errorID>404cd28b-155f-4c21-b616-3b1fe68771a0</errorID>
      <errorWord>-</errorWord>
      <group>L1_Format</group>
      <groupName>格式问题</groupName>
      <ability>L2_HalfPunc_CN</ability>
      <abilityName/>
      <candidateList>
        <item>－</item>
      </candidateList>
      <explain>文本全半角错误。</explain>
      <paraID>49A07D98</paraID>
      <start>141</start>
      <end>142</end>
      <status>modified</status>
      <modifiedWord>－</modifiedWord>
      <trackRevisions>false</trackRevisions>
    </reviewItem>
    <reviewItem>
      <errorID>fa5480f2-6f40-487b-a38c-49595c4794c7</errorID>
      <errorWord>证</errorWord>
      <group>L1_Word</group>
      <groupName>字词问题</groupName>
      <ability>L2_Typo</ability>
      <abilityName>字词错误</abilityName>
      <candidateList>
        <item>证金</item>
      </candidateList>
      <explain/>
      <paraID> 15D6334</paraID>
      <start>8</start>
      <end>10</end>
      <status>modified</status>
      <modifiedWord>证金</modifiedWord>
      <trackRevisions>false</trackRevisions>
    </reviewItem>
    <reviewItem>
      <errorID>85223d1b-430b-4f22-8b9d-bfb6082623b1</errorID>
      <errorWord>:</errorWord>
      <group>L1_Format</group>
      <groupName>格式问题</groupName>
      <ability>L2_HalfPunc_CN</ability>
      <abilityName/>
      <candidateList>
        <item>：</item>
      </candidateList>
      <explain>文本全半角错误。</explain>
      <paraID>7D641340</paraID>
      <start>34</start>
      <end>35</end>
      <status>modified</status>
      <modifiedWord>：</modifiedWord>
      <trackRevisions>false</trackRevisions>
    </reviewItem>
    <reviewItem>
      <errorID>d60356fe-4ed9-4c4a-860f-a8bad14570aa</errorID>
      <errorWord>:</errorWord>
      <group>L1_Format</group>
      <groupName>格式问题</groupName>
      <ability>L2_HalfPunc_CN</ability>
      <abilityName/>
      <candidateList>
        <item>：</item>
      </candidateList>
      <explain>文本全半角错误。</explain>
      <paraID> 83992F7</paraID>
      <start>34</start>
      <end>35</end>
      <status>modified</status>
      <modifiedWord>：</modifiedWord>
      <trackRevisions>false</trackRevisions>
    </reviewItem>
    <reviewItem>
      <errorID>1232c8dc-d019-4270-b7d8-ac14c9274824</errorID>
      <errorWord>（</errorWord>
      <group>L1_Punc</group>
      <groupName>标点问题</groupName>
      <ability>L2_Punc_CN</ability>
      <abilityName/>
      <candidateList/>
      <explain>此处标点可能未正确匹配，请检查句子中是否存在标点冗余、缺失或使用错误的情况。</explain>
      <paraID>7010DE21</paraID>
      <start>15</start>
      <end>16</end>
      <status>ignored</status>
      <modifiedWord/>
      <trackRevisions>false</trackRevisions>
    </reviewItem>
    <reviewItem>
      <errorID>185b71ff-6a92-4730-b102-b32fad999f57</errorID>
      <errorWord>-</errorWord>
      <group>L1_Format</group>
      <groupName>格式问题</groupName>
      <ability>L2_HalfPunc_CN</ability>
      <abilityName/>
      <candidateList>
        <item>－</item>
      </candidateList>
      <explain>文本全半角错误。</explain>
      <paraID>7010DE21</paraID>
      <start>32</start>
      <end>33</end>
      <status>ignored</status>
      <modifiedWord/>
      <trackRevisions>false</trackRevisions>
    </reviewItem>
    <reviewItem>
      <errorID>8e5751c1-0702-4af1-988f-89742d4f4cda</errorID>
      <errorWord>-</errorWord>
      <group>L1_Format</group>
      <groupName>格式问题</groupName>
      <ability>L2_HalfPunc_CN</ability>
      <abilityName/>
      <candidateList>
        <item>－</item>
      </candidateList>
      <explain>文本全半角错误。</explain>
      <paraID>7010DE21</paraID>
      <start>59</start>
      <end>60</end>
      <status>ignored</status>
      <modifiedWord/>
      <trackRevisions>false</trackRevisions>
    </reviewItem>
    <reviewItem>
      <errorID>9751d911-4864-46c9-b044-8bb145211d80</errorID>
      <errorWord>-</errorWord>
      <group>L1_Format</group>
      <groupName>格式问题</groupName>
      <ability>L2_HalfPunc_CN</ability>
      <abilityName/>
      <candidateList>
        <item>－</item>
      </candidateList>
      <explain>文本全半角错误。</explain>
      <paraID>7010DE21</paraID>
      <start>79</start>
      <end>80</end>
      <status>ignored</status>
      <modifiedWord/>
      <trackRevisions>false</trackRevisions>
    </reviewItem>
    <reviewItem>
      <errorID>16b8a27e-6feb-4799-bb07-370b37ea6120</errorID>
      <errorWord>-</errorWord>
      <group>L1_Format</group>
      <groupName>格式问题</groupName>
      <ability>L2_HalfPunc_CN</ability>
      <abilityName/>
      <candidateList>
        <item>－</item>
      </candidateList>
      <explain>文本全半角错误。</explain>
      <paraID> 20C8560</paraID>
      <start>197</start>
      <end>198</end>
      <status>ignored</status>
      <modifiedWord/>
      <trackRevisions>false</trackRevisions>
    </reviewItem>
    <reviewItem>
      <errorID>96480672-3ceb-4ffd-a1e5-8afe80be8e8a</errorID>
      <errorWord>-</errorWord>
      <group>L1_Format</group>
      <groupName>格式问题</groupName>
      <ability>L2_HalfPunc_CN</ability>
      <abilityName/>
      <candidateList>
        <item>－</item>
      </candidateList>
      <explain>文本全半角错误。</explain>
      <paraID>6F300ED9</paraID>
      <start>97</start>
      <end>98</end>
      <status>ignored</status>
      <modifiedWord/>
      <trackRevisions>false</trackRevisions>
    </reviewItem>
    <reviewItem>
      <errorID>91f69b69-0132-44bb-a2eb-5368bfc594e2</errorID>
      <errorWord>(</errorWord>
      <group>L1_Format</group>
      <groupName>格式问题</groupName>
      <ability>L2_HalfPunc_CN</ability>
      <abilityName/>
      <candidateList>
        <item>（</item>
      </candidateList>
      <explain>文本全半角错误。</explain>
      <paraID>632DF47F</paraID>
      <start>29</start>
      <end>30</end>
      <status>ignored</status>
      <modifiedWord/>
      <trackRevisions>false</trackRevisions>
    </reviewItem>
    <reviewItem>
      <errorID>cbe8fde9-68da-44c3-af32-ec936d0c835e</errorID>
      <errorWord>)</errorWord>
      <group>L1_Format</group>
      <groupName>格式问题</groupName>
      <ability>L2_HalfPunc_CN</ability>
      <abilityName/>
      <candidateList>
        <item>）</item>
      </candidateList>
      <explain>文本全半角错误。</explain>
      <paraID>632DF47F</paraID>
      <start>54</start>
      <end>55</end>
      <status>modified</status>
      <modifiedWord>）</modifiedWord>
      <trackRevisions>false</trackRevisions>
    </reviewItem>
    <reviewItem>
      <errorID>056e26ff-096b-4bbc-bd0b-2d1294cfeece</errorID>
      <errorWord>证</errorWord>
      <group>L1_Word</group>
      <groupName>字词问题</groupName>
      <ability>L2_Typo</ability>
      <abilityName>字词错误</abilityName>
      <candidateList>
        <item>证金</item>
      </candidateList>
      <explain/>
      <paraID>5C07AC80</paraID>
      <start>27</start>
      <end>29</end>
      <status>modified</status>
      <modifiedWord>证金</modifiedWord>
      <trackRevisions>false</trackRevisions>
    </reviewItem>
    <reviewItem>
      <errorID>c2f37106-43c1-4e52-b0a2-a6b8f7d3b7bc</errorID>
      <errorWord>以下的</errorWord>
      <group>L1_Word</group>
      <groupName>字词问题</groupName>
      <ability>L2_Typo</ability>
      <abilityName>字词错误</abilityName>
      <candidateList>
        <item>以下</item>
      </candidateList>
      <explain/>
      <paraID>49D94632</paraID>
      <start>46</start>
      <end>48</end>
      <status>modified</status>
      <modifiedWord>以下</modifiedWord>
      <trackRevisions>false</trackRevisions>
    </reviewItem>
    <reviewItem>
      <errorID>65f809b7-f029-4fa6-97b7-137c0c890917</errorID>
      <errorWord>证</errorWord>
      <group>L1_Word</group>
      <groupName>字词问题</groupName>
      <ability>L2_Typo</ability>
      <abilityName>字词错误</abilityName>
      <candidateList>
        <item>证金</item>
      </candidateList>
      <explain/>
      <paraID>3D8CE61B</paraID>
      <start>26</start>
      <end>27</end>
      <status>ignored</status>
      <modifiedWord/>
      <trackRevisions>false</trackRevisions>
    </reviewItem>
    <reviewItem>
      <errorID>6b89928e-9737-4ce2-a249-43ff171af0dc</errorID>
      <errorWord>证</errorWord>
      <group>L1_Word</group>
      <groupName>字词问题</groupName>
      <ability>L2_Typo</ability>
      <abilityName>字词错误</abilityName>
      <candidateList>
        <item>证金</item>
      </candidateList>
      <explain/>
      <paraID>5E70B92D</paraID>
      <start>93</start>
      <end>94</end>
      <status>ignored</status>
      <modifiedWord/>
      <trackRevisions>false</trackRevisions>
    </reviewItem>
    <reviewItem>
      <errorID>bafaf98a-711d-40c6-a789-96b5a5d16453</errorID>
      <errorWord>截至</errorWord>
      <group>L1_Word</group>
      <groupName>字词问题</groupName>
      <ability>L2_Typo</ability>
      <abilityName>字词错误</abilityName>
      <candidateList>
        <item>截止</item>
      </candidateList>
      <explain>〈动〉（到一定期限）停止：报名在昨天已经～。</explain>
      <paraID>79533206</paraID>
      <start>89</start>
      <end>91</end>
      <status>modified</status>
      <modifiedWord>截止</modifiedWord>
      <trackRevisions>false</trackRevisions>
    </reviewItem>
    <reviewItem>
      <errorID>5b47e0c9-1765-4ae0-bb1d-ec4bd10a637c</errorID>
      <errorWord>证</errorWord>
      <group>L1_Word</group>
      <groupName>字词问题</groupName>
      <ability>L2_Typo</ability>
      <abilityName>字词错误</abilityName>
      <candidateList>
        <item>证金</item>
      </candidateList>
      <explain/>
      <paraID>2B1753E1</paraID>
      <start>53</start>
      <end>54</end>
      <status>unmodified</status>
      <modifiedWord/>
      <trackRevisions>false</trackRevisions>
    </reviewItem>
    <reviewItem>
      <errorID>c649c17b-8753-431e-99b7-55190bb4b5f8</errorID>
      <errorWord>证</errorWord>
      <group>L1_Word</group>
      <groupName>字词问题</groupName>
      <ability>L2_Typo</ability>
      <abilityName>字词错误</abilityName>
      <candidateList>
        <item>证金</item>
      </candidateList>
      <explain/>
      <paraID>3586AC4E</paraID>
      <start>76</start>
      <end>77</end>
      <status>unmodified</status>
      <modifiedWord/>
      <trackRevisions>false</trackRevisions>
    </reviewItem>
    <reviewItem>
      <errorID>72d1ce5e-bd40-4c29-a7e4-17463624f5ee</errorID>
      <errorWord>证</errorWord>
      <group>L1_Word</group>
      <groupName>字词问题</groupName>
      <ability>L2_Typo</ability>
      <abilityName>字词错误</abilityName>
      <candidateList>
        <item>证金</item>
      </candidateList>
      <explain/>
      <paraID>6DF6021C</paraID>
      <start>32</start>
      <end>33</end>
      <status>unmodified</status>
      <modifiedWord/>
      <trackRevisions>false</trackRevisions>
    </reviewItem>
    <reviewItem>
      <errorID>465ce859-da7d-4256-9669-54332323490d</errorID>
      <errorWord>(</errorWord>
      <group>L1_Format</group>
      <groupName>格式问题</groupName>
      <ability>L2_HalfPunc_CN</ability>
      <abilityName/>
      <candidateList>
        <item>（</item>
      </candidateList>
      <explain>文本全半角错误。</explain>
      <paraID> C0A2F32</paraID>
      <start>114</start>
      <end>115</end>
      <status>unmodified</status>
      <modifiedWord/>
      <trackRevisions>false</trackRevisions>
    </reviewItem>
    <reviewItem>
      <errorID>2a1ad1a7-ac6f-498d-b820-108b182b3862</errorID>
      <errorWord>地</errorWord>
      <group>L1_Word</group>
      <groupName>字词问题</groupName>
      <ability>L2_DDD</ability>
      <abilityName>的地得用法</abilityName>
      <candidateList>
        <item>的</item>
      </candidateList>
      <explain>“的”常用于连接修饰语与名词性中心语，表示属性、所属或描述。</explain>
      <paraID>40CA501E</paraID>
      <start>39</start>
      <end>40</end>
      <status>modified</status>
      <modifiedWord>的</modifiedWord>
      <trackRevisions>false</trackRevisions>
    </reviewItem>
    <reviewItem>
      <errorID>a71fbf1b-ad35-4ea5-9458-5002bdd5a6bc</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49BBCB41</paraID>
      <start>3</start>
      <end>7</end>
      <status>unmodified</status>
      <modifiedWord/>
      <trackRevisions>false</trackRevisions>
    </reviewItem>
    <reviewItem>
      <errorID>05e1f8a8-19cf-4cd5-aace-d63f2251fafc</errorID>
      <errorWord>利</errorWord>
      <group>L1_Word</group>
      <groupName>字词问题</groupName>
      <ability>L2_Typo</ability>
      <abilityName>字词错误</abilityName>
      <candidateList>
        <item>和</item>
      </candidateList>
      <explain>存在字形相近字词的误用。</explain>
      <paraID>49BBCB41</paraID>
      <start>37</start>
      <end>38</end>
      <status>modified</status>
      <modifiedWord>和</modifiedWord>
      <trackRevisions>false</trackRevisions>
    </reviewItem>
    <reviewItem>
      <errorID>e40570aa-330b-4096-8142-307f7a2c75be</errorID>
      <errorWord>其它</errorWord>
      <group>L1_Word</group>
      <groupName>字词问题</groupName>
      <ability>L2_Alias</ability>
      <abilityName>也作/曾用词</abilityName>
      <candidateList>
        <item>其他</item>
      </candidateList>
      <explain>词汇[其它]为不规范表述或旧称，其规范书面表述为[其他]。</explain>
      <paraID>4F416399</paraID>
      <start>8</start>
      <end>10</end>
      <status>modified</status>
      <modifiedWord>其他</modifiedWord>
      <trackRevisions>false</trackRevisions>
    </reviewItem>
    <reviewItem>
      <errorID>3c4cf004-a932-44c6-970e-4431df308c66</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53448083</paraID>
      <start>6</start>
      <end>9</end>
      <status>modified</status>
      <modifiedWord>从其他</modifiedWord>
      <trackRevisions>false</trackRevisions>
    </reviewItem>
    <reviewItem>
      <errorID>07844f1f-5d77-4394-916f-660670941746</errorID>
      <errorWord>由其它</errorWord>
      <group>L1_Word</group>
      <groupName>字词问题</groupName>
      <ability>L2_Alias</ability>
      <abilityName>也作/曾用词</abilityName>
      <candidateList>
        <item>由其他</item>
      </candidateList>
      <explain>词汇[由其它]为不规范表述或旧称，其规范书面表述为[由其他]。</explain>
      <paraID>5EF538F0</paraID>
      <start>3</start>
      <end>6</end>
      <status>modified</status>
      <modifiedWord>由其他</modifiedWord>
      <trackRevisions>false</trackRevisions>
    </reviewItem>
    <reviewItem>
      <errorID>f249e7fd-fb31-428e-a5ea-e5e2d55bc6bf</errorID>
      <errorWord>其它</errorWord>
      <group>L1_Word</group>
      <groupName>字词问题</groupName>
      <ability>L2_Alias</ability>
      <abilityName>也作/曾用词</abilityName>
      <candidateList>
        <item>其他</item>
      </candidateList>
      <explain>词汇[其它]为不规范表述或旧称，其规范书面表述为[其他]。</explain>
      <paraID>160EBF23</paraID>
      <start>8</start>
      <end>10</end>
      <status>modified</status>
      <modifiedWord>其他</modifiedWord>
      <trackRevisions>false</trackRevisions>
    </reviewItem>
    <reviewItem>
      <errorID>9ae7a244-1c85-4445-a579-099f64fa8dcb</errorID>
      <errorWord>透漏</errorWord>
      <group>L1_Word</group>
      <groupName>字词问题</groupName>
      <ability>L2_Typo</ability>
      <abilityName>字词错误</abilityName>
      <candidateList>
        <item>透露</item>
      </candidateList>
      <explain>存在发音相同字词的误用。</explain>
      <paraID>2660DC5C</paraID>
      <start>31</start>
      <end>33</end>
      <status>modified</status>
      <modifiedWord>透露</modifiedWord>
      <trackRevisions>false</trackRevisions>
    </reviewItem>
    <reviewItem>
      <errorID>e70f3511-d937-4600-b85c-b538b9678596</errorID>
      <errorWord>有关有关</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2660DC5C</paraID>
      <start>65</start>
      <end>67</end>
      <status>modified</status>
      <modifiedWord>有关</modifiedWord>
      <trackRevisions>false</trackRevisions>
    </reviewItem>
    <reviewItem>
      <errorID>e3b69477-8f26-497b-83b0-78b5c1ff56ee</errorID>
      <errorWord>透漏</errorWord>
      <group>L1_Word</group>
      <groupName>字词问题</groupName>
      <ability>L2_Typo</ability>
      <abilityName>字词错误</abilityName>
      <candidateList>
        <item>透露</item>
      </candidateList>
      <explain>存在发音相同字词的误用。</explain>
      <paraID>22839A3E</paraID>
      <start>36</start>
      <end>38</end>
      <status>modified</status>
      <modifiedWord>透露</modifiedWord>
      <trackRevisions>false</trackRevisions>
    </reviewItem>
    <reviewItem>
      <errorID>50f8dc5d-1e45-4869-948a-ce0d27797085</errorID>
      <errorWord>法律、法规</errorWord>
      <group>L1_Word</group>
      <groupName>字词问题</groupName>
      <ability>L2_Typo</ability>
      <abilityName>字词错误</abilityName>
      <candidateList>
        <item>法律法规</item>
      </candidateList>
      <explain/>
      <paraID>1ED701D2</paraID>
      <start>21</start>
      <end>25</end>
      <status>modified</status>
      <modifiedWord>法律法规</modifiedWord>
      <trackRevisions>false</trackRevisions>
    </reviewItem>
    <reviewItem>
      <errorID>55144681-6f52-4bec-9ab0-ae5fa208ed6a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2A85507A</paraID>
      <start>0</start>
      <end>3</end>
      <status>unmodified</status>
      <modifiedWord/>
      <trackRevisions>false</trackRevisions>
    </reviewItem>
    <reviewItem>
      <errorID>ec2b6ac7-139d-4b01-9df0-afb12eea95d8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48980C28</paraID>
      <start>0</start>
      <end>3</end>
      <status>unmodified</status>
      <modifiedWord/>
      <trackRevisions>false</trackRevisions>
    </reviewItem>
    <reviewItem>
      <errorID>91438fa2-5d55-4705-bd4b-ed21c3c9f86c</errorID>
      <errorWord>(</errorWord>
      <group>L1_Format</group>
      <groupName>格式问题</groupName>
      <ability>L2_HalfPunc_CN</ability>
      <abilityName/>
      <candidateList>
        <item>（</item>
      </candidateList>
      <explain>文本全半角错误。</explain>
      <paraID> 71DC521</paraID>
      <start>0</start>
      <end>1</end>
      <status>unmodified</status>
      <modifiedWord/>
      <trackRevisions>false</trackRevisions>
    </reviewItem>
    <reviewItem>
      <errorID>b1635e47-9b49-4185-bc00-5c195ffdeb51</errorID>
      <errorWord>(</errorWord>
      <group>L1_Format</group>
      <groupName>格式问题</groupName>
      <ability>L2_HalfPunc_CN</ability>
      <abilityName/>
      <candidateList>
        <item>（</item>
      </candidateList>
      <explain>文本全半角错误。</explain>
      <paraID>3C39F799</paraID>
      <start>0</start>
      <end>1</end>
      <status>unmodified</status>
      <modifiedWord/>
      <trackRevisions>false</trackRevisions>
    </reviewItem>
    <reviewItem>
      <errorID>a989efe4-2511-49d9-b84e-dda03d2fc0e7</errorID>
      <errorWord>会</errorWord>
      <group>L1_Word</group>
      <groupName>字词问题</groupName>
      <ability>L2_Typo</ability>
      <abilityName>字词错误</abilityName>
      <candidateList>
        <item>会第</item>
      </candidateList>
      <explain/>
      <paraID>3C39F799</paraID>
      <start>11</start>
      <end>13</end>
      <status>modified</status>
      <modifiedWord>会第</modifiedWord>
      <trackRevisions>false</trackRevisions>
    </reviewItem>
    <reviewItem>
      <errorID>78d90071-7b55-48b4-a5e7-4b049e9103a3</errorID>
      <errorWord>(</errorWord>
      <group>L1_Format</group>
      <groupName>格式问题</groupName>
      <ability>L2_HalfPunc_CN</ability>
      <abilityName/>
      <candidateList>
        <item>（</item>
      </candidateList>
      <explain>文本全半角错误。</explain>
      <paraID>3E95BC12</paraID>
      <start>0</start>
      <end>1</end>
      <status>unmodified</status>
      <modifiedWord/>
      <trackRevisions>false</trackRevisions>
    </reviewItem>
    <reviewItem>
      <errorID>38fb8346-7f74-4738-8af7-0e0a331cd117</errorID>
      <errorWord>(</errorWord>
      <group>L1_Format</group>
      <groupName>格式问题</groupName>
      <ability>L2_HalfPunc_CN</ability>
      <abilityName/>
      <candidateList>
        <item>（</item>
      </candidateList>
      <explain>文本全半角错误。</explain>
      <paraID>72B46408</paraID>
      <start>0</start>
      <end>1</end>
      <status>unmodified</status>
      <modifiedWord/>
      <trackRevisions>false</trackRevisions>
    </reviewItem>
    <reviewItem>
      <errorID>a72721ff-75d4-4b58-8e86-e211f1da3deb</errorID>
      <errorWord>(</errorWord>
      <group>L1_Format</group>
      <groupName>格式问题</groupName>
      <ability>L2_HalfPunc_CN</ability>
      <abilityName/>
      <candidateList>
        <item>（</item>
      </candidateList>
      <explain>文本全半角错误。</explain>
      <paraID>6D2E0CEA</paraID>
      <start>0</start>
      <end>1</end>
      <status>unmodified</status>
      <modifiedWord/>
      <trackRevisions>false</trackRevisions>
    </reviewItem>
    <reviewItem>
      <errorID>9b90b6ac-0f20-4005-bed5-4cc5d85db9c1</errorID>
      <errorWord>[2001]1400号</errorWord>
      <group>L1_Knowledge</group>
      <groupName>知识性问题</groupName>
      <ability>L2_Knowledge</ability>
      <abilityName>其他知识</abilityName>
      <candidateList>
        <item>〔2001〕1400号</item>
      </candidateList>
      <explain>发文字号格式错误。</explain>
      <paraID>6D2E0CEA</paraID>
      <start>10</start>
      <end>21</end>
      <status>unmodified</status>
      <modifiedWord/>
      <trackRevisions>false</trackRevisions>
    </reviewItem>
    <reviewItem>
      <errorID>2dee7e80-6b4c-4de9-83b4-187a36854e47</errorID>
      <errorWord>(</errorWord>
      <group>L1_Format</group>
      <groupName>格式问题</groupName>
      <ability>L2_HalfPunc_CN</ability>
      <abilityName/>
      <candidateList>
        <item>（</item>
      </candidateList>
      <explain>文本全半角错误。</explain>
      <paraID>1C714F97</paraID>
      <start>0</start>
      <end>1</end>
      <status>unmodified</status>
      <modifiedWord/>
      <trackRevisions>false</trackRevisions>
    </reviewItem>
    <reviewItem>
      <errorID>479255a0-c9a3-4e89-815d-f89620d9d850</errorID>
      <errorWord>人民办公厅</errorWord>
      <group>L1_Knowledge</group>
      <groupName>知识性问题</groupName>
      <ability>L2_Knowledge</ability>
      <abilityName>其他知识</abilityName>
      <candidateList>
        <item>人民政府办公厅</item>
      </candidateList>
      <explain/>
      <paraID>1C714F97</paraID>
      <start>6</start>
      <end>13</end>
      <status>modified</status>
      <modifiedWord>人民政府办公厅</modifiedWord>
      <trackRevisions>false</trackRevisions>
    </reviewItem>
    <reviewItem>
      <errorID>cfb653c0-2e4e-4d84-b10c-bbc24e72311d</errorID>
      <errorWord>(</errorWord>
      <group>L1_Format</group>
      <groupName>格式问题</groupName>
      <ability>L2_HalfPunc_CN</ability>
      <abilityName/>
      <candidateList>
        <item>（</item>
      </candidateList>
      <explain>文本全半角错误。</explain>
      <paraID>159E6B8F</paraID>
      <start>0</start>
      <end>1</end>
      <status>unmodified</status>
      <modifiedWord/>
      <trackRevisions>false</trackRevisions>
    </reviewItem>
    <reviewItem>
      <errorID>8ac55dda-7e9c-4834-947d-53401b5dd8e1</errorID>
      <errorWord>颁</errorWord>
      <group>L1_Word</group>
      <groupName>字词问题</groupName>
      <ability>L2_Typo</ability>
      <abilityName>字词错误</abilityName>
      <candidateList>
        <item>颁布</item>
      </candidateList>
      <explain/>
      <paraID>159E6B8F</paraID>
      <start>10</start>
      <end>12</end>
      <status>modified</status>
      <modifiedWord>颁布</modifiedWord>
      <trackRevisions>false</trackRevisions>
    </reviewItem>
    <reviewItem>
      <errorID>5610ad27-89de-4e67-a5f3-28eace6279c1</errorID>
      <errorWord>(</errorWord>
      <group>L1_Format</group>
      <groupName>格式问题</groupName>
      <ability>L2_HalfPunc_CN</ability>
      <abilityName/>
      <candidateList>
        <item>（</item>
      </candidateList>
      <explain>文本全半角错误。</explain>
      <paraID>7C8E8E6B</paraID>
      <start>0</start>
      <end>1</end>
      <status>unmodified</status>
      <modifiedWord/>
      <trackRevisions>false</trackRevisions>
    </reviewItem>
    <reviewItem>
      <errorID>6e10e470-648f-4fcb-98ac-2402ffbc31c7</errorID>
      <errorWord>-</errorWord>
      <group>L1_Format</group>
      <groupName>格式问题</groupName>
      <ability>L2_HalfPunc_CN</ability>
      <abilityName/>
      <candidateList>
        <item>－</item>
      </candidateList>
      <explain>文本全半角错误。</explain>
      <paraID>2A54F1A7</paraID>
      <start>116</start>
      <end>117</end>
      <status>unmodified</status>
      <modifiedWord/>
      <trackRevisions>false</trackRevisions>
    </reviewItem>
    <reviewItem>
      <errorID>767f7799-cdb1-42ba-95bc-9438c9130280</errorID>
      <errorWord>（</errorWord>
      <group>L1_Punc</group>
      <groupName>标点问题</groupName>
      <ability>L2_Punc_CN</ability>
      <abilityName/>
      <candidateList/>
      <explain>此处标点可能未正确匹配，请检查句子中是否存在标点冗余、缺失或使用错误的情况。</explain>
      <paraID> 5927B63</paraID>
      <start>15</start>
      <end>16</end>
      <status>unmodified</status>
      <modifiedWord/>
      <trackRevisions>false</trackRevisions>
    </reviewItem>
    <reviewItem>
      <errorID>d6339db6-9810-43a2-a8a8-4edbee8f9e51</errorID>
      <errorWord>-</errorWord>
      <group>L1_Format</group>
      <groupName>格式问题</groupName>
      <ability>L2_HalfPunc_CN</ability>
      <abilityName/>
      <candidateList>
        <item>－</item>
      </candidateList>
      <explain>文本全半角错误。</explain>
      <paraID> 5927B63</paraID>
      <start>32</start>
      <end>33</end>
      <status>unmodified</status>
      <modifiedWord/>
      <trackRevisions>false</trackRevisions>
    </reviewItem>
    <reviewItem>
      <errorID>b69f3128-fd1c-4806-a886-632c305bb839</errorID>
      <errorWord>-</errorWord>
      <group>L1_Format</group>
      <groupName>格式问题</groupName>
      <ability>L2_HalfPunc_CN</ability>
      <abilityName/>
      <candidateList>
        <item>－</item>
      </candidateList>
      <explain>文本全半角错误。</explain>
      <paraID> 5927B63</paraID>
      <start>59</start>
      <end>60</end>
      <status>unmodified</status>
      <modifiedWord/>
      <trackRevisions>false</trackRevisions>
    </reviewItem>
    <reviewItem>
      <errorID>5f0114e0-ebc3-4d3b-b4ae-1a2ae9ee124e</errorID>
      <errorWord>-</errorWord>
      <group>L1_Format</group>
      <groupName>格式问题</groupName>
      <ability>L2_HalfPunc_CN</ability>
      <abilityName/>
      <candidateList>
        <item>－</item>
      </candidateList>
      <explain>文本全半角错误。</explain>
      <paraID> 5927B63</paraID>
      <start>79</start>
      <end>80</end>
      <status>unmodified</status>
      <modifiedWord/>
      <trackRevisions>false</trackRevisions>
    </reviewItem>
    <reviewItem>
      <errorID>ef4c0322-2e38-4195-96b9-8c310d9ba2ed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5EBD56ED</paraID>
      <start>0</start>
      <end>2</end>
      <status>unmodified</status>
      <modifiedWord/>
      <trackRevisions>false</trackRevisions>
    </reviewItem>
    <reviewItem>
      <errorID>95191d24-ae96-4481-b789-ea97f109b1fa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33B389F8</paraID>
      <start>0</start>
      <end>2</end>
      <status>unmodified</status>
      <modifiedWord/>
      <trackRevisions>false</trackRevisions>
    </reviewItem>
    <reviewItem>
      <errorID>6732325c-e99b-4000-a542-90b15a521320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13328C56</paraID>
      <start>0</start>
      <end>2</end>
      <status>unmodified</status>
      <modifiedWord/>
      <trackRevisions>false</trackRevisions>
    </reviewItem>
    <reviewItem>
      <errorID>09bea69d-6631-487f-99de-df4035b62a8b</errorID>
      <errorWord>员</errorWord>
      <group>L1_Word</group>
      <groupName>字词问题</groupName>
      <ability>L2_Typo</ability>
      <abilityName>字词错误</abilityName>
      <candidateList>
        <item>员会</item>
      </candidateList>
      <explain/>
      <paraID>13328C56</paraID>
      <start>28</start>
      <end>30</end>
      <status>modified</status>
      <modifiedWord>员会</modifiedWord>
      <trackRevisions>false</trackRevisions>
    </reviewItem>
    <reviewItem>
      <errorID>b8c291e0-8ea8-4ea5-8f32-c4387696fddd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5FBBD746</paraID>
      <start>0</start>
      <end>2</end>
      <status>unmodified</status>
      <modifiedWord/>
      <trackRevisions>false</trackRevisions>
    </reviewItem>
    <reviewItem>
      <errorID>9b2bfb55-266e-4c2d-9f4d-0eff1aced050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3A1B0844</paraID>
      <start>0</start>
      <end>2</end>
      <status>unmodified</status>
      <modifiedWord/>
      <trackRevisions>false</trackRevisions>
    </reviewItem>
    <reviewItem>
      <errorID>6bd8c505-367d-49ae-b1e9-fa08a7c3eba2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4807B788</paraID>
      <start>0</start>
      <end>2</end>
      <status>unmodified</status>
      <modifiedWord/>
      <trackRevisions>false</trackRevisions>
    </reviewItem>
    <reviewItem>
      <errorID>cc77defc-ddd4-4901-a95a-45e3738a9059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199765E0</paraID>
      <start>0</start>
      <end>2</end>
      <status>unmodified</status>
      <modifiedWord/>
      <trackRevisions>false</trackRevisions>
    </reviewItem>
    <reviewItem>
      <errorID>98b7dbfb-4135-4f8c-ba8a-a07bba683231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60776575</paraID>
      <start>0</start>
      <end>2</end>
      <status>unmodified</status>
      <modifiedWord/>
      <trackRevisions>false</trackRevisions>
    </reviewItem>
    <reviewItem>
      <errorID>5bd25836-e048-4afc-9602-8bc3e35bf79d</errorID>
      <errorWord>（</errorWord>
      <group>L1_Format</group>
      <groupName>格式问题</groupName>
      <ability>L2_HalfPunc_CN</ability>
      <abilityName/>
      <candidateList>
        <item>(</item>
      </candidateList>
      <explain>文本全半角错误。</explain>
      <paraID> E802A8A</paraID>
      <start>5</start>
      <end>6</end>
      <status>unmodified</status>
      <modifiedWord/>
      <trackRevisions>false</trackRevisions>
    </reviewItem>
    <reviewItem>
      <errorID>667b4c7c-984e-4e5a-9d1f-ed4468ccf8ad</errorID>
      <errorWord>）</errorWord>
      <group>L1_Format</group>
      <groupName>格式问题</groupName>
      <ability>L2_HalfPunc_CN</ability>
      <abilityName/>
      <candidateList>
        <item>)</item>
      </candidateList>
      <explain>文本全半角错误。</explain>
      <paraID> E802A8A</paraID>
      <start>7</start>
      <end>8</end>
      <status>unmodified</status>
      <modifiedWord/>
      <trackRevisions>false</trackRevisions>
    </reviewItem>
    <reviewItem>
      <errorID>7638f4f7-2052-4c94-9e27-b30f9b95264e</errorID>
      <errorWord>（2019）1号</errorWord>
      <group>L1_Knowledge</group>
      <groupName>知识性问题</groupName>
      <ability>L2_Knowledge</ability>
      <abilityName>其他知识</abilityName>
      <candidateList>
        <item>〔2019〕1号</item>
      </candidateList>
      <explain>发文字号格式错误。</explain>
      <paraID>3C7F8467</paraID>
      <start>44</start>
      <end>52</end>
      <status>modified</status>
      <modifiedWord>〔2019〕1号</modifiedWord>
      <trackRevisions>false</trackRevisions>
    </reviewItem>
    <reviewItem>
      <errorID>755764ab-185d-42d5-95d0-fbe9d24c341d</errorID>
      <errorWord>(</errorWord>
      <group>L1_Format</group>
      <groupName>格式问题</groupName>
      <ability>L2_HalfPunc_CN</ability>
      <abilityName/>
      <candidateList>
        <item>（</item>
      </candidateList>
      <explain>文本全半角错误。</explain>
      <paraID>56D96D01</paraID>
      <start>16</start>
      <end>17</end>
      <status>unmodified</status>
      <modifiedWord/>
      <trackRevisions>false</trackRevisions>
    </reviewItem>
    <reviewItem>
      <errorID>926ca47c-ce39-41ce-acef-21992b8499cf</errorID>
      <errorWord>-</errorWord>
      <group>L1_Format</group>
      <groupName>格式问题</groupName>
      <ability>L2_HalfPunc_CN</ability>
      <abilityName/>
      <candidateList>
        <item>－</item>
      </candidateList>
      <explain>文本全半角错误。</explain>
      <paraID>56D96D01</paraID>
      <start>19</start>
      <end>20</end>
      <status>unmodified</status>
      <modifiedWord/>
      <trackRevisions>false</trackRevisions>
    </reviewItem>
    <reviewItem>
      <errorID>da95c66c-78db-4919-8016-5caffb851665</errorID>
      <errorWord>-</errorWord>
      <group>L1_Format</group>
      <groupName>格式问题</groupName>
      <ability>L2_HalfPunc_CN</ability>
      <abilityName/>
      <candidateList>
        <item>－</item>
      </candidateList>
      <explain>文本全半角错误。</explain>
      <paraID>56D96D01</paraID>
      <start>24</start>
      <end>25</end>
      <status>unmodified</status>
      <modifiedWord/>
      <trackRevisions>false</trackRevisions>
    </reviewItem>
    <reviewItem>
      <errorID>d4b1a5fc-bb87-4f71-a58f-0f6b920bf659</errorID>
      <errorWord>-</errorWord>
      <group>L1_Format</group>
      <groupName>格式问题</groupName>
      <ability>L2_HalfPunc_CN</ability>
      <abilityName/>
      <candidateList>
        <item>－</item>
      </candidateList>
      <explain>文本全半角错误。</explain>
      <paraID>56D96D01</paraID>
      <start>41</start>
      <end>42</end>
      <status>unmodified</status>
      <modifiedWord/>
      <trackRevisions>false</trackRevisions>
    </reviewItem>
    <reviewItem>
      <errorID>addf067e-1944-4c1f-9c73-66f9282abb90</errorID>
      <errorWord>（</errorWord>
      <group>L1_Format</group>
      <groupName>格式问题</groupName>
      <ability>L2_HalfPunc_CN</ability>
      <abilityName/>
      <candidateList>
        <item>(</item>
      </candidateList>
      <explain>文本全半角错误。</explain>
      <paraID>760497B1</paraID>
      <start>5</start>
      <end>6</end>
      <status>unmodified</status>
      <modifiedWord/>
      <trackRevisions>false</trackRevisions>
    </reviewItem>
    <reviewItem>
      <errorID>cba8984a-2dc5-46f1-bad0-9b0627af848c</errorID>
      <errorWord>）</errorWord>
      <group>L1_Format</group>
      <groupName>格式问题</groupName>
      <ability>L2_HalfPunc_CN</ability>
      <abilityName/>
      <candidateList>
        <item>)</item>
      </candidateList>
      <explain>文本全半角错误。</explain>
      <paraID>760497B1</paraID>
      <start>7</start>
      <end>8</end>
      <status>unmodified</status>
      <modifiedWord/>
      <trackRevisions>false</trackRevisions>
    </reviewItem>
    <reviewItem>
      <errorID>65b17498-671c-4956-9315-415db1bfe7f6</errorID>
      <errorWord>）</errorWord>
      <group>L1_Punc</group>
      <groupName>标点问题</groupName>
      <ability>L2_Punc_CN</ability>
      <abilityName/>
      <candidateList/>
      <explain>此处标点可能未正确匹配，请检查句子中是否存在标点冗余、缺失或使用错误的情况。</explain>
      <paraID>4AF1931E</paraID>
      <start>3</start>
      <end>4</end>
      <status>unmodified</status>
      <modifiedWord/>
      <trackRevisions>false</trackRevisions>
    </reviewItem>
    <reviewItem>
      <errorID>86ccb6b0-756d-4382-9a7c-5c565bdb5443</errorID>
      <errorWord>(</errorWord>
      <group>L1_Format</group>
      <groupName>格式问题</groupName>
      <ability>L2_HalfPunc_CN</ability>
      <abilityName/>
      <candidateList>
        <item>（</item>
      </candidateList>
      <explain>文本全半角错误。</explain>
      <paraID>1D4381B9</paraID>
      <start>42</start>
      <end>43</end>
      <status>unmodified</status>
      <modifiedWord/>
      <trackRevisions>false</trackRevisions>
    </reviewItem>
    <reviewItem>
      <errorID>cf0c2635-e835-4149-94f8-1cc98b1c810b</errorID>
      <errorWord>)</errorWord>
      <group>L1_Format</group>
      <groupName>格式问题</groupName>
      <ability>L2_HalfPunc_CN</ability>
      <abilityName/>
      <candidateList>
        <item>）</item>
      </candidateList>
      <explain>文本全半角错误。</explain>
      <paraID>1D4381B9</paraID>
      <start>55</start>
      <end>56</end>
      <status>unmodified</status>
      <modifiedWord/>
      <trackRevisions>false</trackRevisions>
    </reviewItem>
    <reviewItem>
      <errorID>ee8e3e18-2b82-4253-982a-516e7efc0203</errorID>
      <errorWord>(</errorWord>
      <group>L1_Format</group>
      <groupName>格式问题</groupName>
      <ability>L2_HalfPunc_CN</ability>
      <abilityName/>
      <candidateList>
        <item>（</item>
      </candidateList>
      <explain>文本全半角错误。</explain>
      <paraID>363D711C</paraID>
      <start>6</start>
      <end>7</end>
      <status>unmodified</status>
      <modifiedWord/>
      <trackRevisions>false</trackRevisions>
    </reviewItem>
    <reviewItem>
      <errorID>08efd47e-de08-47da-a6f0-d449cd0593d4</errorID>
      <errorWord>)</errorWord>
      <group>L1_Format</group>
      <groupName>格式问题</groupName>
      <ability>L2_HalfPunc_CN</ability>
      <abilityName/>
      <candidateList>
        <item>）</item>
      </candidateList>
      <explain>文本全半角错误。</explain>
      <paraID>363D711C</paraID>
      <start>10</start>
      <end>11</end>
      <status>unmodified</status>
      <modifiedWord/>
      <trackRevisions>false</trackRevisions>
    </reviewItem>
    <reviewItem>
      <errorID>529577dd-efec-4028-b82b-60e4e0d3b2bc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197F7CFB</paraID>
      <start>0</start>
      <end>2</end>
      <status>unmodified</status>
      <modifiedWord/>
      <trackRevisions>false</trackRevisions>
    </reviewItem>
    <reviewItem>
      <errorID>95f25968-fe9c-4b1c-92a6-307bcd6aea7e</errorID>
      <errorWord>国</errorWord>
      <group>L1_Word</group>
      <groupName>字词问题</groupName>
      <ability>L2_Typo</ability>
      <abilityName>字词错误</abilityName>
      <candidateList>
        <item>国家</item>
      </candidateList>
      <explain/>
      <paraID>197F7CFB</paraID>
      <start>9</start>
      <end>10</end>
      <status>unmodified</status>
      <modifiedWord/>
      <trackRevisions>false</trackRevisions>
    </reviewItem>
    <reviewItem>
      <errorID>6009bb9e-88c5-4d5f-9480-645ce2d68470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3089CDD0</paraID>
      <start>0</start>
      <end>2</end>
      <status>unmodified</status>
      <modifiedWord/>
      <trackRevisions>false</trackRevisions>
    </reviewItem>
    <reviewItem>
      <errorID>b9953550-fae4-4785-b2b0-954f434275fb</errorID>
      <errorWord>需</errorWord>
      <group>L1_Word</group>
      <groupName>字词问题</groupName>
      <ability>L2_Typo</ability>
      <abilityName>字词错误</abilityName>
      <candidateList>
        <item>须</item>
      </candidateList>
      <explain>存在发音相同字词的误用。</explain>
      <paraID>50DE0BB2</paraID>
      <start>37</start>
      <end>38</end>
      <status>modified</status>
      <modifiedWord>须</modifiedWord>
      <trackRevisions>false</trackRevisions>
    </reviewItem>
    <reviewItem>
      <errorID>90d6da8b-498f-4661-8da7-7d559251dfa5</errorID>
      <errorWord>（</errorWord>
      <group>L1_Format</group>
      <groupName>格式问题</groupName>
      <ability>L2_HalfPunc_CN</ability>
      <abilityName/>
      <candidateList>
        <item>(</item>
      </candidateList>
      <explain>文本全半角错误。</explain>
      <paraID>4D866D69</paraID>
      <start>5</start>
      <end>6</end>
      <status>unmodified</status>
      <modifiedWord/>
      <trackRevisions>false</trackRevisions>
    </reviewItem>
    <reviewItem>
      <errorID>aeb7eb99-907a-45c9-b31a-12c6282070fc</errorID>
      <errorWord>）</errorWord>
      <group>L1_Format</group>
      <groupName>格式问题</groupName>
      <ability>L2_HalfPunc_CN</ability>
      <abilityName/>
      <candidateList>
        <item>)</item>
      </candidateList>
      <explain>文本全半角错误。</explain>
      <paraID>4D866D69</paraID>
      <start>7</start>
      <end>8</end>
      <status>unmodified</status>
      <modifiedWord/>
      <trackRevisions>false</trackRevisions>
    </reviewItem>
    <reviewItem>
      <errorID>7c37ef8a-eb88-40d6-88af-62995378519e</errorID>
      <errorWord>(</errorWord>
      <group>L1_Format</group>
      <groupName>格式问题</groupName>
      <ability>L2_HalfPunc_CN</ability>
      <abilityName/>
      <candidateList>
        <item>（</item>
      </candidateList>
      <explain>文本全半角错误。</explain>
      <paraID>39D3FC56</paraID>
      <start>0</start>
      <end>1</end>
      <status>unmodified</status>
      <modifiedWord/>
      <trackRevisions>false</trackRevisions>
    </reviewItem>
    <reviewItem>
      <errorID>0248960f-5823-4a65-bbb8-fd43d206dada</errorID>
      <errorWord>(</errorWord>
      <group>L1_Format</group>
      <groupName>格式问题</groupName>
      <ability>L2_HalfPunc_CN</ability>
      <abilityName/>
      <candidateList>
        <item>（</item>
      </candidateList>
      <explain>文本全半角错误。</explain>
      <paraID>429AE96C</paraID>
      <start>0</start>
      <end>1</end>
      <status>unmodified</status>
      <modifiedWord/>
      <trackRevisions>false</trackRevisions>
    </reviewItem>
    <reviewItem>
      <errorID>fdbf77a6-ba0e-40c4-8db0-634dcf5a0db3</errorID>
      <errorWord>措施的</errorWord>
      <group>L1_Word</group>
      <groupName>字词问题</groupName>
      <ability>L2_Typo</ability>
      <abilityName>字词错误</abilityName>
      <candidateList>
        <item>措施</item>
      </candidateList>
      <explain>〈名〉针对某种情况而采取的处理办法（用于较大的事情）：计划已经订出，～应该跟上。</explain>
      <paraID>3E31F03E</paraID>
      <start>17</start>
      <end>19</end>
      <status>modified</status>
      <modifiedWord>措施</modifiedWord>
      <trackRevisions>false</trackRevisions>
    </reviewItem>
    <reviewItem>
      <errorID>5e9ad8fe-078b-4222-882a-ef99fc9b319f</errorID>
      <errorWord>(</errorWord>
      <group>L1_Format</group>
      <groupName>格式问题</groupName>
      <ability>L2_HalfPunc_CN</ability>
      <abilityName/>
      <candidateList>
        <item>（</item>
      </candidateList>
      <explain>文本全半角错误。</explain>
      <paraID>4218CF35</paraID>
      <start>0</start>
      <end>1</end>
      <status>unmodified</status>
      <modifiedWord/>
      <trackRevisions>false</trackRevisions>
    </reviewItem>
    <reviewItem>
      <errorID>d24831d3-f34e-401a-a35e-4790f0c6ef9f</errorID>
      <errorWord>(</errorWord>
      <group>L1_Format</group>
      <groupName>格式问题</groupName>
      <ability>L2_HalfPunc_CN</ability>
      <abilityName/>
      <candidateList>
        <item>（</item>
      </candidateList>
      <explain>文本全半角错误。</explain>
      <paraID>390CE3AB</paraID>
      <start>0</start>
      <end>1</end>
      <status>unmodified</status>
      <modifiedWord/>
      <trackRevisions>false</trackRevisions>
    </reviewItem>
    <reviewItem>
      <errorID>32472685-d3b2-439e-a5b6-e7981f24d1b6</errorID>
      <errorWord>(</errorWord>
      <group>L1_Format</group>
      <groupName>格式问题</groupName>
      <ability>L2_HalfPunc_CN</ability>
      <abilityName/>
      <candidateList>
        <item>（</item>
      </candidateList>
      <explain>文本全半角错误。</explain>
      <paraID> 2568E58</paraID>
      <start>0</start>
      <end>1</end>
      <status>unmodified</status>
      <modifiedWord/>
      <trackRevisions>false</trackRevisions>
    </reviewItem>
    <reviewItem>
      <errorID>59356e0d-fb89-427c-8c06-2928fcd33369</errorID>
      <errorWord>(</errorWord>
      <group>L1_Format</group>
      <groupName>格式问题</groupName>
      <ability>L2_HalfPunc_CN</ability>
      <abilityName/>
      <candidateList>
        <item>（</item>
      </candidateList>
      <explain>文本全半角错误。</explain>
      <paraID>107A29EB</paraID>
      <start>0</start>
      <end>1</end>
      <status>unmodified</status>
      <modifiedWord/>
      <trackRevisions>false</trackRevisions>
    </reviewItem>
    <reviewItem>
      <errorID>2cfbdf25-d933-469f-b42f-b5d3f2868bc8</errorID>
      <errorWord>(</errorWord>
      <group>L1_Format</group>
      <groupName>格式问题</groupName>
      <ability>L2_HalfPunc_CN</ability>
      <abilityName/>
      <candidateList>
        <item>（</item>
      </candidateList>
      <explain>文本全半角错误。</explain>
      <paraID>79ED5D51</paraID>
      <start>0</start>
      <end>1</end>
      <status>unmodified</status>
      <modifiedWord/>
      <trackRevisions>false</trackRevisions>
    </reviewItem>
    <reviewItem>
      <errorID>ef0b2a2d-7cd3-4b1e-8639-1de8dac08c64</errorID>
      <errorWord>（</errorWord>
      <group>L1_Format</group>
      <groupName>格式问题</groupName>
      <ability>L2_HalfPunc_CN</ability>
      <abilityName/>
      <candidateList>
        <item>(</item>
      </candidateList>
      <explain>文本全半角错误。</explain>
      <paraID> E5D21E8</paraID>
      <start>5</start>
      <end>6</end>
      <status>unmodified</status>
      <modifiedWord/>
      <trackRevisions>false</trackRevisions>
    </reviewItem>
    <reviewItem>
      <errorID>0c2099d2-3182-4466-ac9a-d959634466de</errorID>
      <errorWord>）</errorWord>
      <group>L1_Format</group>
      <groupName>格式问题</groupName>
      <ability>L2_HalfPunc_CN</ability>
      <abilityName/>
      <candidateList>
        <item>)</item>
      </candidateList>
      <explain>文本全半角错误。</explain>
      <paraID> E5D21E8</paraID>
      <start>7</start>
      <end>8</end>
      <status>unmodified</status>
      <modifiedWord/>
      <trackRevisions>false</trackRevisions>
    </reviewItem>
    <reviewItem>
      <errorID>d2439cb5-400d-4a6a-9f73-48160f969792</errorID>
      <errorWord>,</errorWord>
      <group>L1_Format</group>
      <groupName>格式问题</groupName>
      <ability>L2_HalfPunc_CN</ability>
      <abilityName/>
      <candidateList>
        <item>，</item>
      </candidateList>
      <explain>文本全半角错误。</explain>
      <paraID>14848993</paraID>
      <start>27</start>
      <end>28</end>
      <status>unmodified</status>
      <modifiedWord/>
      <trackRevisions>false</trackRevisions>
    </reviewItem>
    <reviewItem>
      <errorID>76c4c08a-00b3-4eec-b334-aa9d0a4f4401</errorID>
      <errorWord>亦</errorWord>
      <group>L1_Word</group>
      <groupName>字词问题</groupName>
      <ability>L2_Typo</ability>
      <abilityName>字词错误</abilityName>
      <candidateList>
        <item>已</item>
      </candidateList>
      <explain>存在发音相同字词的误用。</explain>
      <paraID>693C4FD9</paraID>
      <start>137</start>
      <end>138</end>
      <status>modified</status>
      <modifiedWord>已</modifiedWord>
      <trackRevisions>false</trackRevisions>
    </reviewItem>
    <reviewItem>
      <errorID>c508b001-78ea-44f7-8a8b-6ab065f1da24</errorID>
      <errorWord>己</errorWord>
      <group>L1_Word</group>
      <groupName>字词问题</groupName>
      <ability>L2_Typo</ability>
      <abilityName>字词错误</abilityName>
      <candidateList>
        <item>已</item>
      </candidateList>
      <explain>存在字形相近字词的误用。</explain>
      <paraID> DBD7EF6</paraID>
      <start>7</start>
      <end>8</end>
      <status>modified</status>
      <modifiedWord>已</modifiedWord>
      <trackRevisions>false</trackRevisions>
    </reviewItem>
    <reviewItem>
      <errorID>bca7dac5-73de-427e-a3d1-cc0fd4839092</errorID>
      <errorWord>作</errorWord>
      <group>L1_Word</group>
      <groupName>字词问题</groupName>
      <ability>L2_Typo</ability>
      <abilityName>字词错误</abilityName>
      <candidateList>
        <item>做</item>
      </candidateList>
      <explain>存在发音相同字词的误用。</explain>
      <paraID>2BFBCDFD</paraID>
      <start>55</start>
      <end>56</end>
      <status>modified</status>
      <modifiedWord>做</modifiedWord>
      <trackRevisions>false</trackRevisions>
    </reviewItem>
    <reviewItem>
      <errorID>77545ffc-a976-4898-b599-a4d7e92f972b</errorID>
      <errorWord>上签字并盖单位</errorWord>
      <group>L1_Word</group>
      <groupName>字词问题</groupName>
      <ability>L2_Typo</ability>
      <abilityName>字词错误</abilityName>
      <candidateList>
        <item>上签字并加盖单位</item>
      </candidateList>
      <explain/>
      <paraID>2AD088EC</paraID>
      <start>68</start>
      <end>76</end>
      <status>modified</status>
      <modifiedWord>上签字并加盖单位</modifiedWord>
      <trackRevisions>false</trackRevisions>
    </reviewItem>
    <reviewItem>
      <errorID>6076fba8-59c4-4144-9764-22e700039873</errorID>
      <errorWord>扣压</errorWord>
      <group>L1_Word</group>
      <groupName>字词问题</groupName>
      <ability>L2_Typo</ability>
      <abilityName>字词错误</abilityName>
      <candidateList>
        <item>扣押</item>
      </candidateList>
      <explain/>
      <paraID>5DB27E62</paraID>
      <start>31</start>
      <end>33</end>
      <status>modified</status>
      <modifiedWord>扣押</modifiedWord>
      <trackRevisions>false</trackRevisions>
    </reviewItem>
    <reviewItem>
      <errorID>348eacf4-0e9e-462d-923d-d5011a19a5f1</errorID>
      <errorWord>权力</errorWord>
      <group>L1_Word</group>
      <groupName>字词问题</groupName>
      <ability>L2_Typo</ability>
      <abilityName>字词错误</abilityName>
      <candidateList>
        <item>权利</item>
      </candidateList>
      <explain/>
      <paraID>77EB1458</paraID>
      <start>23</start>
      <end>25</end>
      <status>modified</status>
      <modifiedWord>权利</modifiedWord>
      <trackRevisions>false</trackRevisions>
    </reviewItem>
    <reviewItem>
      <errorID>43c0c491-21ae-404e-b77a-d502db5094ff</errorID>
      <errorWord>获</errorWord>
      <group>L1_Word</group>
      <groupName>字词问题</groupName>
      <ability>L2_Typo</ability>
      <abilityName>字词错误</abilityName>
      <candidateList>
        <item>获得</item>
      </candidateList>
      <explain>〈动〉取得；得到（多用于抽象事物）：～好评｜～宝贵的经验｜～显著的成绩。</explain>
      <paraID>58A18AE7</paraID>
      <start>56</start>
      <end>58</end>
      <status>modified</status>
      <modifiedWord>获得</modifiedWord>
      <trackRevisions>false</trackRevisions>
    </reviewItem>
    <reviewItem>
      <errorID>485a33f6-efeb-4263-bff0-77b676e811d6</errorID>
      <errorWord>第巧条</errorWord>
      <group>L1_Word</group>
      <groupName>字词问题</groupName>
      <ability>L2_Typo</ability>
      <abilityName>字词错误</abilityName>
      <candidateList>
        <item>第七条</item>
      </candidateList>
      <explain/>
      <paraID>5379A34C</paraID>
      <start>43</start>
      <end>46</end>
      <status>modified</status>
      <modifiedWord>第七条</modifiedWord>
      <trackRevisions>false</trackRevisions>
    </reviewItem>
    <reviewItem>
      <errorID>5739b6f0-191e-40b5-8ac4-f27eb2f29efc</errorID>
      <errorWord>准确胜</errorWord>
      <group>L1_Word</group>
      <groupName>字词问题</groupName>
      <ability>L2_Typo</ability>
      <abilityName>字词错误</abilityName>
      <candidateList>
        <item>准确性</item>
      </candidateList>
      <explain/>
      <paraID>76E43A04</paraID>
      <start>40</start>
      <end>43</end>
      <status>modified</status>
      <modifiedWord>准确性</modifiedWord>
      <trackRevisions>false</trackRevisions>
    </reviewItem>
    <reviewItem>
      <errorID>222badf5-8066-48b4-8248-4ac2c0c1a5d1</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1EBA7162</paraID>
      <start>84</start>
      <end>85</end>
      <status>modified</status>
      <modifiedWord>已</modifiedWord>
      <trackRevisions>false</trackRevisions>
    </reviewItem>
    <reviewItem>
      <errorID>1f01a746-2550-4b8a-b9fd-0df4c403cad7</errorID>
      <errorWord>涵义</errorWord>
      <group>L1_Word</group>
      <groupName>字词问题</groupName>
      <ability>L2_Alias</ability>
      <abilityName>也作/曾用词</abilityName>
      <candidateList>
        <item>含义</item>
      </candidateList>
      <explain>词汇[涵义]为不规范表述或旧称，其规范书面表述为[含义]。</explain>
      <paraID>64A330D0</paraID>
      <start>31</start>
      <end>33</end>
      <status>modified</status>
      <modifiedWord>含义</modifiedWord>
      <trackRevisions>false</trackRevisions>
    </reviewItem>
    <reviewItem>
      <errorID>36fb6af1-07d7-4ecf-9d9f-67afe692ec83</errorID>
      <errorWord>涯义</errorWord>
      <group>L1_Word</group>
      <groupName>字词问题</groupName>
      <ability>L2_Typo</ability>
      <abilityName>字词错误</abilityName>
      <candidateList>
        <item>含义</item>
      </candidateList>
      <explain>〈名〉（词句等）所包含的意义：～深奥。也作涵义。</explain>
      <paraID>64A330D0</paraID>
      <start>77</start>
      <end>79</end>
      <status>modified</status>
      <modifiedWord>含义</modifiedWord>
      <trackRevisions>false</trackRevisions>
    </reviewItem>
    <reviewItem>
      <errorID>ae2d6b1d-2ce4-4b88-9098-d80f5bcd36df</errorID>
      <errorWord>法律、法规</errorWord>
      <group>L1_Word</group>
      <groupName>字词问题</groupName>
      <ability>L2_Typo</ability>
      <abilityName>字词错误</abilityName>
      <candidateList>
        <item>法律法规</item>
      </candidateList>
      <explain/>
      <paraID> A0CDF68</paraID>
      <start>38</start>
      <end>42</end>
      <status>modified</status>
      <modifiedWord>法律法规</modifiedWord>
      <trackRevisions>false</trackRevisions>
    </reviewItem>
    <reviewItem>
      <errorID>1bbe20b8-0d2d-4a81-a506-143b2ce7ce04</errorID>
      <errorWord>二天</errorWord>
      <group>L1_Word</group>
      <groupName>字词问题</groupName>
      <ability>L2_Typo</ability>
      <abilityName>字词错误</abilityName>
      <candidateList>
        <item>两天</item>
      </candidateList>
      <explain/>
      <paraID>62B93798</paraID>
      <start>22</start>
      <end>24</end>
      <status>modified</status>
      <modifiedWord>两天</modifiedWord>
      <trackRevisions>false</trackRevisions>
    </reviewItem>
    <reviewItem>
      <errorID>fd095d7d-e913-4a52-a07d-998ad65afa32</errorID>
      <errorWord>．</errorWord>
      <group>L1_Format</group>
      <groupName>格式问题</groupName>
      <ability>L2_HalfPunc_CN</ability>
      <abilityName/>
      <candidateList>
        <item>。</item>
      </candidateList>
      <explain>文本全半角错误。</explain>
      <paraID>60782C00</paraID>
      <start>143</start>
      <end>144</end>
      <status>modified</status>
      <modifiedWord>。</modifiedWord>
      <trackRevisions>false</trackRevisions>
    </reviewItem>
    <reviewItem>
      <errorID>ab1f64a6-f720-4d0e-86bd-829cbfd343ca</errorID>
      <errorWord>应</errorWord>
      <group>L1_Word</group>
      <groupName>字词问题</groupName>
      <ability>L2_Typo</ability>
      <abilityName>字词错误</abilityName>
      <candidateList>
        <item>应包</item>
      </candidateList>
      <explain/>
      <paraID>1AD5D42E</paraID>
      <start>41</start>
      <end>43</end>
      <status>modified</status>
      <modifiedWord>应包</modifiedWord>
      <trackRevisions>false</trackRevisions>
    </reviewItem>
    <reviewItem>
      <errorID>cd21a91d-d575-4083-a718-be8dafe63877</errorID>
      <errorWord>作</errorWord>
      <group>L1_Word</group>
      <groupName>字词问题</groupName>
      <ability>L2_Typo</ability>
      <abilityName>字词错误</abilityName>
      <candidateList>
        <item>做</item>
      </candidateList>
      <explain>存在发音相同字词的误用。</explain>
      <paraID>  36DA5D</paraID>
      <start>47</start>
      <end>48</end>
      <status>modified</status>
      <modifiedWord>做</modifiedWord>
      <trackRevisions>false</trackRevisions>
    </reviewItem>
    <reviewItem>
      <errorID>5db36875-59bf-4582-82a4-35e896ac7852</errorID>
      <errorWord>己</errorWord>
      <group>L1_Word</group>
      <groupName>字词问题</groupName>
      <ability>L2_Typo</ability>
      <abilityName>字词错误</abilityName>
      <candidateList>
        <item>已</item>
      </candidateList>
      <explain>存在字形相近字词的误用。</explain>
      <paraID>474CB784</paraID>
      <start>6</start>
      <end>7</end>
      <status>modified</status>
      <modifiedWord>已</modifiedWord>
      <trackRevisions>false</trackRevisions>
    </reviewItem>
    <reviewItem>
      <errorID>af143890-17fd-4e49-a2de-b5101b2f80bf</errorID>
      <errorWord>己</errorWord>
      <group>L1_Word</group>
      <groupName>字词问题</groupName>
      <ability>L2_Typo</ability>
      <abilityName>字词错误</abilityName>
      <candidateList>
        <item>已</item>
      </candidateList>
      <explain>存在字形相近字词的误用。</explain>
      <paraID>43E350BA</paraID>
      <start>6</start>
      <end>7</end>
      <status>modified</status>
      <modifiedWord>已</modifiedWord>
      <trackRevisions>false</trackRevisions>
    </reviewItem>
    <reviewItem>
      <errorID>a15920b2-28d8-43b6-ba70-c4f22da51665</errorID>
      <errorWord>己</errorWord>
      <group>L1_Word</group>
      <groupName>字词问题</groupName>
      <ability>L2_Typo</ability>
      <abilityName>字词错误</abilityName>
      <candidateList>
        <item>已</item>
      </candidateList>
      <explain>存在字形相近字词的误用。</explain>
      <paraID>255417C9</paraID>
      <start>6</start>
      <end>7</end>
      <status>modified</status>
      <modifiedWord>已</modifiedWord>
      <trackRevisions>false</trackRevisions>
    </reviewItem>
    <reviewItem>
      <errorID>130eb527-e408-4c1b-8993-4c0a5a5340d8</errorID>
      <errorWord>．</errorWord>
      <group>L1_Format</group>
      <groupName>格式问题</groupName>
      <ability>L2_HalfPunc_CN</ability>
      <abilityName/>
      <candidateList>
        <item>。</item>
      </candidateList>
      <explain>文本全半角错误。</explain>
      <paraID> 7BF0A18</paraID>
      <start>72</start>
      <end>73</end>
      <status>modified</status>
      <modifiedWord>。</modifiedWord>
      <trackRevisions>false</trackRevisions>
    </reviewItem>
    <reviewItem>
      <errorID>1f4a2506-a5bd-4023-a9f6-3de1ff393761</errorID>
      <errorWord>数</errorWord>
      <group>L1_Word</group>
      <groupName>字词问题</groupName>
      <ability>L2_Typo</ability>
      <abilityName>字词错误</abilityName>
      <candidateList>
        <item>数量</item>
      </candidateList>
      <explain/>
      <paraID>3134B375</paraID>
      <start>131</start>
      <end>133</end>
      <status>modified</status>
      <modifiedWord>数量</modifiedWord>
      <trackRevisions>false</trackRevisions>
    </reviewItem>
    <reviewItem>
      <errorID>fbb6fc44-7815-453f-8270-81a0c6ad2135</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7FFF786A</paraID>
      <start>22</start>
      <end>23</end>
      <status>modified</status>
      <modifiedWord>已</modifiedWord>
      <trackRevisions>false</trackRevisions>
    </reviewItem>
    <reviewItem>
      <errorID>c67b0a3b-2dad-47d1-a7c1-90736e87f0bb</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690588C5</paraID>
      <start>159</start>
      <end>160</end>
      <status>unmodified</status>
      <modifiedWord/>
      <trackRevisions>false</trackRevisions>
    </reviewItem>
    <reviewItem>
      <errorID>be49f3c6-6cf0-43e2-b24b-db166ff39dd3</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58E80D9C</paraID>
      <start>18</start>
      <end>19</end>
      <status>modified</status>
      <modifiedWord>已</modifiedWord>
      <trackRevisions>false</trackRevisions>
    </reviewItem>
    <reviewItem>
      <errorID>6c958a59-d2df-4a2f-b76d-9c2b83606fb2</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3ACC0B93</paraID>
      <start>17</start>
      <end>18</end>
      <status>modified</status>
      <modifiedWord>已</modifiedWord>
      <trackRevisions>false</trackRevisions>
    </reviewItem>
    <reviewItem>
      <errorID>ba4f9eca-fbdb-4acb-9ee4-f7cf60e2492e</errorID>
      <errorWord>己</errorWord>
      <group>L1_Word</group>
      <groupName>字词问题</groupName>
      <ability>L2_Typo</ability>
      <abilityName>字词错误</abilityName>
      <candidateList>
        <item>已</item>
      </candidateList>
      <explain>存在字形相近字词的误用。</explain>
      <paraID>3ACC0B93</paraID>
      <start>46</start>
      <end>47</end>
      <status>modified</status>
      <modifiedWord>已</modifiedWord>
      <trackRevisions>false</trackRevisions>
    </reviewItem>
    <reviewItem>
      <errorID>a0af7dae-506a-4701-a44f-5a8f4e6b3ed0</errorID>
      <errorWord>．</errorWord>
      <group>L1_Format</group>
      <groupName>格式问题</groupName>
      <ability>L2_HalfPunc_CN</ability>
      <abilityName/>
      <candidateList>
        <item>。</item>
      </candidateList>
      <explain>文本全半角错误。</explain>
      <paraID>7B4A1E1A</paraID>
      <start>30</start>
      <end>31</end>
      <status>modified</status>
      <modifiedWord>。</modifiedWord>
      <trackRevisions>false</trackRevisions>
    </reviewItem>
    <reviewItem>
      <errorID>7712861e-250e-40a0-b08c-95020386cecc</errorID>
      <errorWord>己</errorWord>
      <group>L1_Word</group>
      <groupName>字词问题</groupName>
      <ability>L2_Typo</ability>
      <abilityName>字词错误</abilityName>
      <candidateList>
        <item>已</item>
      </candidateList>
      <explain>存在字形相近字词的误用。</explain>
      <paraID>4B2B184E</paraID>
      <start>10</start>
      <end>11</end>
      <status>modified</status>
      <modifiedWord>已</modifiedWord>
      <trackRevisions>false</trackRevisions>
    </reviewItem>
    <reviewItem>
      <errorID>3fe65028-27c6-46ea-8dfc-36b2beee7be9</errorID>
      <errorWord>己</errorWord>
      <group>L1_Word</group>
      <groupName>字词问题</groupName>
      <ability>L2_Typo</ability>
      <abilityName>字词错误</abilityName>
      <candidateList>
        <item>已</item>
      </candidateList>
      <explain>存在字形相近字词的误用。</explain>
      <paraID>71CCAB54</paraID>
      <start>41</start>
      <end>42</end>
      <status>modified</status>
      <modifiedWord>已</modifiedWord>
      <trackRevisions>false</trackRevisions>
    </reviewItem>
    <reviewItem>
      <errorID>bdd63181-b1f5-4fa6-b9ae-80d58d1cf2e1</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7CBFC4EA</paraID>
      <start>32</start>
      <end>33</end>
      <status>modified</status>
      <modifiedWord>已</modifiedWord>
      <trackRevisions>false</trackRevisions>
    </reviewItem>
    <reviewItem>
      <errorID>6bc8272d-1eb8-4422-86d0-3130fc0c8ab6</errorID>
      <errorWord>己</errorWord>
      <group>L1_Word</group>
      <groupName>字词问题</groupName>
      <ability>L2_Typo</ability>
      <abilityName>字词错误</abilityName>
      <candidateList>
        <item>已</item>
      </candidateList>
      <explain>存在字形相近字词的误用。</explain>
      <paraID>42C06011</paraID>
      <start>27</start>
      <end>28</end>
      <status>modified</status>
      <modifiedWord>已</modifiedWord>
      <trackRevisions>false</trackRevisions>
    </reviewItem>
    <reviewItem>
      <errorID>6a2ddc2a-99cf-4a6c-a1a7-069a0d445028</errorID>
      <errorWord>：/。</errorWord>
      <group>L1_Punc</group>
      <groupName>标点问题</groupName>
      <ability>L2_Punc_CN</ability>
      <abilityName/>
      <candidateList>
        <item>：</item>
      </candidateList>
      <explain/>
      <paraID>5A71D034</paraID>
      <start>10</start>
      <end>13</end>
      <status>unmodified</status>
      <modifiedWord/>
      <trackRevisions>false</trackRevisions>
    </reviewItem>
    <reviewItem>
      <errorID>3886623c-a49c-4017-868f-df6483c90516</errorID>
      <errorWord>：/。</errorWord>
      <group>L1_Punc</group>
      <groupName>标点问题</groupName>
      <ability>L2_Punc_CN</ability>
      <abilityName/>
      <candidateList>
        <item>：</item>
      </candidateList>
      <explain/>
      <paraID>18337C03</paraID>
      <start>10</start>
      <end>13</end>
      <status>unmodified</status>
      <modifiedWord/>
      <trackRevisions>false</trackRevisions>
    </reviewItem>
    <reviewItem>
      <errorID>5f326e29-7725-47c0-8702-8a3b1ee819c4</errorID>
      <errorWord>：/</errorWord>
      <group>L1_Punc</group>
      <groupName>标点问题</groupName>
      <ability>L2_Punc_CN</ability>
      <abilityName/>
      <candidateList>
        <item>：</item>
      </candidateList>
      <explain/>
      <paraID>6B352BBE</paraID>
      <start>21</start>
      <end>23</end>
      <status>unmodified</status>
      <modifiedWord/>
      <trackRevisions>false</trackRevisions>
    </reviewItem>
    <reviewItem>
      <errorID>6709aa72-d8d5-486f-b821-272da1e0814a</errorID>
      <errorWord>(</errorWord>
      <group>L1_Format</group>
      <groupName>格式问题</groupName>
      <ability>L2_HalfPunc_CN</ability>
      <abilityName/>
      <candidateList>
        <item>（</item>
      </candidateList>
      <explain>文本全半角错误。</explain>
      <paraID>675CD565</paraID>
      <start>5</start>
      <end>6</end>
      <status>unmodified</status>
      <modifiedWord/>
      <trackRevisions>false</trackRevisions>
    </reviewItem>
    <reviewItem>
      <errorID>127e6761-4099-4dba-9190-a0d54ff531ba</errorID>
      <errorWord>：/。</errorWord>
      <group>L1_Punc</group>
      <groupName>标点问题</groupName>
      <ability>L2_Punc_CN</ability>
      <abilityName/>
      <candidateList>
        <item>：</item>
      </candidateList>
      <explain/>
      <paraID>33EE14BA</paraID>
      <start>15</start>
      <end>18</end>
      <status>unmodified</status>
      <modifiedWord/>
      <trackRevisions>false</trackRevisions>
    </reviewItem>
    <reviewItem>
      <errorID>93f40cc0-7d6e-4a1c-8129-a22b2684e636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32FE87FA</paraID>
      <start>0</start>
      <end>2</end>
      <status>unmodified</status>
      <modifiedWord/>
      <trackRevisions>false</trackRevisions>
    </reviewItem>
    <reviewItem>
      <errorID>7d47a9c9-735d-4eed-99ad-7ddc6e4083be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51AB85AC</paraID>
      <start>0</start>
      <end>2</end>
      <status>unmodified</status>
      <modifiedWord/>
      <trackRevisions>false</trackRevisions>
    </reviewItem>
    <reviewItem>
      <errorID>bb1da512-f769-4157-ba9a-bf56a3da24a3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23510C4A</paraID>
      <start>0</start>
      <end>2</end>
      <status>unmodified</status>
      <modifiedWord/>
      <trackRevisions>false</trackRevisions>
    </reviewItem>
    <reviewItem>
      <errorID>946b6e01-4312-43e0-8ca0-e771b991f6e5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74FBDE71</paraID>
      <start>0</start>
      <end>2</end>
      <status>unmodified</status>
      <modifiedWord/>
      <trackRevisions>false</trackRevisions>
    </reviewItem>
    <reviewItem>
      <errorID>f9f07b87-50eb-49b2-bc83-b6eccff2ce72</errorID>
      <errorWord>5%-8%</errorWord>
      <group>L1_Knowledge</group>
      <groupName>知识性问题</groupName>
      <ability>L2_Knowledge</ability>
      <abilityName>其他知识</abilityName>
      <candidateList>
        <item>5%—8%</item>
      </candidateList>
      <explain>1. “5%-8%”中的单位“%”仅出现在后一个数字上，容易引起歧义；根据《现代汉语标点符号数字用法规范手册》，数字表示范围两边需要使用统一的格式。2. 根据标点国标 4.13 中的规则，数字、时间或地域连接符应使用（视觉上更长的）“—”或“～”。</explain>
      <paraID>74FBDE71</paraID>
      <start>46</start>
      <end>51</end>
      <status>unmodified</status>
      <modifiedWord/>
      <trackRevisions>false</trackRevisions>
    </reviewItem>
    <reviewItem>
      <errorID>fbca4994-4898-4bea-8921-0aad586ba868</errorID>
      <errorWord>请况</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3FF33A48</paraID>
      <start>42</start>
      <end>44</end>
      <status>modified</status>
      <modifiedWord>情况</modifiedWord>
      <trackRevisions>false</trackRevisions>
    </reviewItem>
    <reviewItem>
      <errorID>0b2b1146-6242-4977-82ba-bea4ba2e7733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6CBC15B8</paraID>
      <start>27</start>
      <end>28</end>
      <status>modified</status>
      <modifiedWord>或</modifiedWord>
      <trackRevisions>false</trackRevisions>
    </reviewItem>
    <reviewItem>
      <errorID>b913f78a-715c-4164-82e5-f154f67be207</errorID>
      <errorWord>除外</errorWord>
      <group>L1_Word</group>
      <groupName>字词问题</groupName>
      <ability>L2_Typo</ability>
      <abilityName>字词错误</abilityName>
      <candidateList>
        <item>除</item>
      </candidateList>
      <explain/>
      <paraID>6CBC15B8</paraID>
      <start>35</start>
      <end>36</end>
      <status>modified</status>
      <modifiedWord>除</modifiedWord>
      <trackRevisions>false</trackRevisions>
    </reviewItem>
    <reviewItem>
      <errorID>ffff7a65-08d6-4421-b89f-3a3bb3437705</errorID>
      <errorWord>和做</errorWord>
      <group>L1_Word</group>
      <groupName>字词问题</groupName>
      <ability>L2_Typo</ability>
      <abilityName>字词错误</abilityName>
      <candidateList>
        <item>和</item>
      </candidateList>
      <explain>〈量〉用于洗东西换水的次数或一剂药煎的次数：衣裳已经洗了三～｜二～药。</explain>
      <paraID>1DA2872E</paraID>
      <start>64</start>
      <end>65</end>
      <status>modified</status>
      <modifiedWord>和</modifiedWord>
      <trackRevisions>false</trackRevisions>
    </reviewItem>
    <reviewItem>
      <errorID>18c4c477-2a6f-42d9-b1f0-08095d4db24e</errorID>
      <errorWord>任何的</errorWord>
      <group>L1_Word</group>
      <groupName>字词问题</groupName>
      <ability>L2_Typo</ability>
      <abilityName>字词错误</abilityName>
      <candidateList>
        <item>任何</item>
      </candidateList>
      <explain>〈代〉指示代词。不论什么：～人都要遵纪守法｜我们能够战胜～困难。</explain>
      <paraID>67AB22E2</paraID>
      <start>128</start>
      <end>130</end>
      <status>modified</status>
      <modifiedWord>任何</modifiedWord>
      <trackRevisions>false</trackRevisions>
    </reviewItem>
    <reviewItem>
      <errorID>80deb28b-28a5-4d7a-a351-46415d45cc75</errorID>
      <errorWord>ｍ</errorWord>
      <group>L1_Format</group>
      <groupName>格式问题</groupName>
      <ability>L2_HalfPunc_CN</ability>
      <abilityName/>
      <candidateList>
        <item>m</item>
      </candidateList>
      <explain>文本全半角错误。</explain>
      <paraID>1D8196D7</paraID>
      <start>8</start>
      <end>9</end>
      <status>unmodified</status>
      <modifiedWord/>
      <trackRevisions>false</trackRevisions>
    </reviewItem>
    <reviewItem>
      <errorID>2b5deec8-f429-43a3-85fa-4b1bf57167b0</errorID>
      <errorWord>ｓ</errorWord>
      <group>L1_Format</group>
      <groupName>格式问题</groupName>
      <ability>L2_HalfPunc_CN</ability>
      <abilityName/>
      <candidateList>
        <item>s</item>
      </candidateList>
      <explain>文本全半角错误。</explain>
      <paraID>1D8196D7</paraID>
      <start>10</start>
      <end>11</end>
      <status>unmodified</status>
      <modifiedWord/>
      <trackRevisions>false</trackRevisions>
    </reviewItem>
    <reviewItem>
      <errorID>dd1b3033-d026-4ce4-af78-c92ca17e3014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27FBB81A</paraID>
      <start>26</start>
      <end>29</end>
      <status>unmodified</status>
      <modifiedWord/>
      <trackRevisions>false</trackRevisions>
    </reviewItem>
    <reviewItem>
      <errorID>3bcb3a20-e392-4509-ae99-9176fcbc325c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27FBB81A</paraID>
      <start>35</start>
      <end>38</end>
      <status>unmodified</status>
      <modifiedWord/>
      <trackRevisions>false</trackRevisions>
    </reviewItem>
    <reviewItem>
      <errorID>903992e4-5f41-45aa-9fae-f77f36e6feeb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27FBB81A</paraID>
      <start>54</start>
      <end>57</end>
      <status>unmodified</status>
      <modifiedWord/>
      <trackRevisions>false</trackRevisions>
    </reviewItem>
    <reviewItem>
      <errorID>3eeebd56-baad-4552-8351-2d742b724923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27FBB81A</paraID>
      <start>65</start>
      <end>68</end>
      <status>unmodified</status>
      <modifiedWord/>
      <trackRevisions>false</trackRevisions>
    </reviewItem>
    <reviewItem>
      <errorID>487699f0-d15a-4bea-933a-0689b8ddc9da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27FBB81A</paraID>
      <start>79</start>
      <end>82</end>
      <status>unmodified</status>
      <modifiedWord/>
      <trackRevisions>false</trackRevisions>
    </reviewItem>
    <reviewItem>
      <errorID>0f5f2eb6-6fbb-40d0-b7ca-05f677e1c020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27FBB81A</paraID>
      <start>92</start>
      <end>95</end>
      <status>unmodified</status>
      <modifiedWord/>
      <trackRevisions>false</trackRevisions>
    </reviewItem>
    <reviewItem>
      <errorID>60fa9c6a-4564-4762-a04a-077c3a0c1f7e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27FBB81A</paraID>
      <start>106</start>
      <end>109</end>
      <status>unmodified</status>
      <modifiedWord/>
      <trackRevisions>false</trackRevisions>
    </reviewItem>
    <reviewItem>
      <errorID>1734485f-ba85-4d57-8f9d-b5afb614a91e</errorID>
      <errorWord>达</errorWord>
      <group>L1_Word</group>
      <groupName>字词问题</groupName>
      <ability>L2_Typo</ability>
      <abilityName>字词错误</abilityName>
      <candidateList>
        <item>达到</item>
      </candidateList>
      <explain>〈动〉到（多指抽象事物或程度）：达得到｜达不到｜目的没有～｜～国际水平。</explain>
      <paraID>3477D07F</paraID>
      <start>51</start>
      <end>52</end>
      <status>unmodified</status>
      <modifiedWord/>
      <trackRevisions>false</trackRevisions>
    </reviewItem>
    <reviewItem>
      <errorID>c4b24efd-59e0-4089-80c9-6c0a3639ce65</errorID>
      <errorWord>3～5万</errorWord>
      <group>L1_Knowledge</group>
      <groupName>知识性问题</groupName>
      <ability>L2_Knowledge</ability>
      <abilityName>其他知识</abilityName>
      <candidateList>
        <item>3万～5万</item>
      </candidateList>
      <explain>1. “3～5万”中的单位“万”仅出现在后一个数字上，容易引起歧义；根据《现代汉语标点符号数字用法规范手册》，数字表示范围两边需要使用统一的格式。2.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714CAFEB</paraID>
      <start>91</start>
      <end>95</end>
      <status>unmodified</status>
      <modifiedWord/>
      <trackRevisions>false</trackRevisions>
    </reviewItem>
    <reviewItem>
      <errorID>8da2a2ff-0e2c-4599-97ab-7d8d63b3ded9</errorID>
      <errorWord>预付款预付款</errorWord>
      <group>L1_Word</group>
      <groupName>字词问题</groupName>
      <ability>L2_Typo</ability>
      <abilityName>字词错误</abilityName>
      <candidateList>
        <item>预付款</item>
      </candidateList>
      <explain/>
      <paraID>4EA8CFAE</paraID>
      <start>5</start>
      <end>8</end>
      <status>modified</status>
      <modifiedWord>预付款</modifiedWord>
      <trackRevisions>false</trackRevisions>
    </reviewItem>
    <reviewItem>
      <errorID>ff05db92-1d87-4496-8e20-e62da8a33314</errorID>
      <errorWord>扣</errorWord>
      <group>L1_Word</group>
      <groupName>字词问题</groupName>
      <ability>L2_Typo</ability>
      <abilityName>字词错误</abilityName>
      <candidateList>
        <item>扣除</item>
      </candidateList>
      <explain/>
      <paraID>2D6B6C87</paraID>
      <start>24</start>
      <end>26</end>
      <status>modified</status>
      <modifiedWord>扣除</modifiedWord>
      <trackRevisions>false</trackRevisions>
    </reviewItem>
    <reviewItem>
      <errorID>d53e61c4-3429-48cb-85a3-9ac69a709422</errorID>
      <errorWord>(</errorWord>
      <group>L1_Format</group>
      <groupName>格式问题</groupName>
      <ability>L2_HalfPunc_CN</ability>
      <abilityName/>
      <candidateList>
        <item>（</item>
      </candidateList>
      <explain>文本全半角错误。</explain>
      <paraID>6C82462C</paraID>
      <start>1</start>
      <end>2</end>
      <status>unmodified</status>
      <modifiedWord/>
      <trackRevisions>false</trackRevisions>
    </reviewItem>
    <reviewItem>
      <errorID>aecdd15e-a060-4a7e-89d7-cf15e912b249</errorID>
      <errorWord>)</errorWord>
      <group>L1_Format</group>
      <groupName>格式问题</groupName>
      <ability>L2_HalfPunc_CN</ability>
      <abilityName/>
      <candidateList>
        <item>）</item>
      </candidateList>
      <explain>文本全半角错误。</explain>
      <paraID>6C82462C</paraID>
      <start>3</start>
      <end>4</end>
      <status>unmodified</status>
      <modifiedWord/>
      <trackRevisions>false</trackRevisions>
    </reviewItem>
    <reviewItem>
      <errorID>d5e93848-dfed-463d-86c6-de4b7a043e92</errorID>
      <errorWord>(</errorWord>
      <group>L1_Format</group>
      <groupName>格式问题</groupName>
      <ability>L2_HalfPunc_CN</ability>
      <abilityName/>
      <candidateList>
        <item>（</item>
      </candidateList>
      <explain>文本全半角错误。</explain>
      <paraID>6C82462C</paraID>
      <start>9</start>
      <end>10</end>
      <status>unmodified</status>
      <modifiedWord/>
      <trackRevisions>false</trackRevisions>
    </reviewItem>
    <reviewItem>
      <errorID>865522ec-7f07-410d-960f-087b04778af1</errorID>
      <errorWord>)</errorWord>
      <group>L1_Format</group>
      <groupName>格式问题</groupName>
      <ability>L2_HalfPunc_CN</ability>
      <abilityName/>
      <candidateList>
        <item>）</item>
      </candidateList>
      <explain>文本全半角错误。</explain>
      <paraID>6C82462C</paraID>
      <start>11</start>
      <end>12</end>
      <status>unmodified</status>
      <modifiedWord/>
      <trackRevisions>false</trackRevisions>
    </reviewItem>
    <reviewItem>
      <errorID>456c9e40-a9bb-407e-8f89-0231e4620621</errorID>
      <errorWord>(</errorWord>
      <group>L1_Format</group>
      <groupName>格式问题</groupName>
      <ability>L2_HalfPunc_CN</ability>
      <abilityName/>
      <candidateList>
        <item>（</item>
      </candidateList>
      <explain>文本全半角错误。</explain>
      <paraID>46DF2166</paraID>
      <start>2</start>
      <end>3</end>
      <status>unmodified</status>
      <modifiedWord/>
      <trackRevisions>false</trackRevisions>
    </reviewItem>
    <reviewItem>
      <errorID>3c162d4b-e2fa-4494-b52b-31f16e08f06b</errorID>
      <errorWord>)</errorWord>
      <group>L1_Format</group>
      <groupName>格式问题</groupName>
      <ability>L2_HalfPunc_CN</ability>
      <abilityName/>
      <candidateList>
        <item>）</item>
      </candidateList>
      <explain>文本全半角错误。</explain>
      <paraID>46DF2166</paraID>
      <start>4</start>
      <end>5</end>
      <status>unmodified</status>
      <modifiedWord/>
      <trackRevisions>false</trackRevisions>
    </reviewItem>
    <reviewItem>
      <errorID>23d62e5f-bbee-4c41-8f7b-724df5bfddbb</errorID>
      <errorWord>(</errorWord>
      <group>L1_Format</group>
      <groupName>格式问题</groupName>
      <ability>L2_HalfPunc_CN</ability>
      <abilityName/>
      <candidateList>
        <item>（</item>
      </candidateList>
      <explain>文本全半角错误。</explain>
      <paraID>46DF2166</paraID>
      <start>6</start>
      <end>7</end>
      <status>unmodified</status>
      <modifiedWord/>
      <trackRevisions>false</trackRevisions>
    </reviewItem>
    <reviewItem>
      <errorID>8ddea95f-b6e9-403a-81ef-2710824addc1</errorID>
      <errorWord>有有</errorWord>
      <group>L1_Word</group>
      <groupName>字词问题</groupName>
      <ability>L2_Typo</ability>
      <abilityName>字词错误</abilityName>
      <candidateList>
        <item>有</item>
      </candidateList>
      <explain>〈书〉同“又”▲：三十～八年。</explain>
      <paraID>59C017FE</paraID>
      <start>50</start>
      <end>51</end>
      <status>modified</status>
      <modifiedWord>有</modifiedWord>
      <trackRevisions>false</trackRevisions>
    </reviewItem>
    <reviewItem>
      <errorID>9f01b01c-aa62-4eee-8879-e3d88dea8464</errorID>
      <errorWord>/，</errorWord>
      <group>L1_Punc</group>
      <groupName>标点问题</groupName>
      <ability>L2_Punc_CN</ability>
      <abilityName/>
      <candidateList>
        <item>/</item>
      </candidateList>
      <explain/>
      <paraID>5BFB9151</paraID>
      <start>23</start>
      <end>25</end>
      <status>unmodified</status>
      <modifiedWord/>
      <trackRevisions>false</trackRevisions>
    </reviewItem>
    <reviewItem>
      <errorID>f0bc44c9-cbb8-484d-87b8-76ebf57a21f3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54B96920</paraID>
      <start>38</start>
      <end>41</end>
      <status>unmodified</status>
      <modifiedWord/>
      <trackRevisions>false</trackRevisions>
    </reviewItem>
    <reviewItem>
      <errorID>0c703d2b-b428-482f-a1d8-6c8b0475716d</errorID>
      <errorWord>：/；</errorWord>
      <group>L1_Punc</group>
      <groupName>标点问题</groupName>
      <ability>L2_Punc_CN</ability>
      <abilityName/>
      <candidateList>
        <item>：</item>
      </candidateList>
      <explain/>
      <paraID>4740EFD4</paraID>
      <start>16</start>
      <end>19</end>
      <status>unmodified</status>
      <modifiedWord/>
      <trackRevisions>false</trackRevisions>
    </reviewItem>
    <reviewItem>
      <errorID>de3cb70d-6363-46f4-8a74-92c17169e1bc</errorID>
      <errorWord>：/。</errorWord>
      <group>L1_Punc</group>
      <groupName>标点问题</groupName>
      <ability>L2_Punc_CN</ability>
      <abilityName/>
      <candidateList>
        <item>：</item>
      </candidateList>
      <explain/>
      <paraID>49503123</paraID>
      <start>10</start>
      <end>13</end>
      <status>unmodified</status>
      <modifiedWord/>
      <trackRevisions>false</trackRevisions>
    </reviewItem>
    <reviewItem>
      <errorID>c480c0ad-0105-4719-ae60-cb099b93d1c8</errorID>
      <errorWord>：/。</errorWord>
      <group>L1_Punc</group>
      <groupName>标点问题</groupName>
      <ability>L2_Punc_CN</ability>
      <abilityName/>
      <candidateList>
        <item>：</item>
      </candidateList>
      <explain/>
      <paraID>2054B266</paraID>
      <start>12</start>
      <end>15</end>
      <status>unmodified</status>
      <modifiedWord/>
      <trackRevisions>false</trackRevisions>
    </reviewItem>
    <reviewItem>
      <errorID>e14eefbf-6dc0-4e40-a34a-67a6a917bb66</errorID>
      <errorWord>：/；</errorWord>
      <group>L1_Punc</group>
      <groupName>标点问题</groupName>
      <ability>L2_Punc_CN</ability>
      <abilityName/>
      <candidateList>
        <item>：</item>
      </candidateList>
      <explain/>
      <paraID>450E905C</paraID>
      <start>4</start>
      <end>7</end>
      <status>unmodified</status>
      <modifiedWord/>
      <trackRevisions>false</trackRevisions>
    </reviewItem>
    <reviewItem>
      <errorID>e0ef03f2-c77d-4c4b-be4c-28bd661c666c</errorID>
      <errorWord>/；</errorWord>
      <group>L1_Punc</group>
      <groupName>标点问题</groupName>
      <ability>L2_Punc_CN</ability>
      <abilityName/>
      <candidateList>
        <item>/</item>
      </candidateList>
      <explain/>
      <paraID>437E50D5</paraID>
      <start>13</start>
      <end>15</end>
      <status>unmodified</status>
      <modifiedWord/>
      <trackRevisions>false</trackRevisions>
    </reviewItem>
    <reviewItem>
      <errorID>a10e0b7b-a83a-4a2b-86e4-ed4b29e5d5c8</errorID>
      <errorWord>/。</errorWord>
      <group>L1_Punc</group>
      <groupName>标点问题</groupName>
      <ability>L2_Punc_CN</ability>
      <abilityName/>
      <candidateList>
        <item>/</item>
      </candidateList>
      <explain/>
      <paraID>40AA857A</paraID>
      <start>13</start>
      <end>15</end>
      <status>unmodified</status>
      <modifiedWord/>
      <trackRevisions>false</trackRevisions>
    </reviewItem>
    <reviewItem>
      <errorID>043b660b-b377-41c4-9ff6-06d92ebfd514</errorID>
      <errorWord>万</errorWord>
      <group>L1_Word</group>
      <groupName>字词问题</groupName>
      <ability>L2_Typo</ability>
      <abilityName>字词错误</abilityName>
      <candidateList>
        <item>万元</item>
      </candidateList>
      <explain/>
      <paraID>72DB2CBB</paraID>
      <start>55</start>
      <end>57</end>
      <status>modified</status>
      <modifiedWord>万元</modifiedWord>
      <trackRevisions>false</trackRevisions>
    </reviewItem>
    <reviewItem>
      <errorID>38ffa10f-07ae-409a-ac6f-7d21b948492a</errorID>
      <errorWord>(</errorWord>
      <group>L1_Format</group>
      <groupName>格式问题</groupName>
      <ability>L2_HalfPunc_CN</ability>
      <abilityName/>
      <candidateList>
        <item>（</item>
      </candidateList>
      <explain>文本全半角错误。</explain>
      <paraID> AA122E2</paraID>
      <start>72</start>
      <end>73</end>
      <status>unmodified</status>
      <modifiedWord/>
      <trackRevisions>false</trackRevisions>
    </reviewItem>
    <reviewItem>
      <errorID>9e714451-d303-4de4-94f7-84573a97578a</errorID>
      <errorWord>)</errorWord>
      <group>L1_Format</group>
      <groupName>格式问题</groupName>
      <ability>L2_HalfPunc_CN</ability>
      <abilityName/>
      <candidateList>
        <item>）</item>
      </candidateList>
      <explain>文本全半角错误。</explain>
      <paraID> AA122E2</paraID>
      <start>84</start>
      <end>85</end>
      <status>unmodified</status>
      <modifiedWord/>
      <trackRevisions>false</trackRevisions>
    </reviewItem>
    <reviewItem>
      <errorID>7b1c6b71-333d-4586-abf5-155dec06d056</errorID>
      <errorWord>:</errorWord>
      <group>L1_Format</group>
      <groupName>格式问题</groupName>
      <ability>L2_HalfPunc_CN</ability>
      <abilityName/>
      <candidateList>
        <item>：</item>
      </candidateList>
      <explain>文本全半角错误。</explain>
      <paraID> AA122E2</paraID>
      <start>87</start>
      <end>88</end>
      <status>unmodified</status>
      <modifiedWord/>
      <trackRevisions>false</trackRevisions>
    </reviewItem>
    <reviewItem>
      <errorID>d3b7a750-b4f8-40b5-9fce-e583f5a1b677</errorID>
      <errorWord>(</errorWord>
      <group>L1_Format</group>
      <groupName>格式问题</groupName>
      <ability>L2_HalfPunc_CN</ability>
      <abilityName/>
      <candidateList>
        <item>（</item>
      </candidateList>
      <explain>文本全半角错误。</explain>
      <paraID> AA122E2</paraID>
      <start>182</start>
      <end>183</end>
      <status>unmodified</status>
      <modifiedWord/>
      <trackRevisions>false</trackRevisions>
    </reviewItem>
    <reviewItem>
      <errorID>6c97e52a-b062-43b1-8945-ee906a40ccfa</errorID>
      <errorWord>万</errorWord>
      <group>L1_Word</group>
      <groupName>字词问题</groupName>
      <ability>L2_Typo</ability>
      <abilityName>字词错误</abilityName>
      <candidateList>
        <item>万元</item>
      </candidateList>
      <explain/>
      <paraID> AA122E2</paraID>
      <start>189</start>
      <end>191</end>
      <status>modified</status>
      <modifiedWord>万元</modifiedWord>
      <trackRevisions>false</trackRevisions>
    </reviewItem>
    <reviewItem>
      <errorID>6efb9578-dcdd-409f-b82d-c3fd3107f6b8</errorID>
      <errorWord>)</errorWord>
      <group>L1_Format</group>
      <groupName>格式问题</groupName>
      <ability>L2_HalfPunc_CN</ability>
      <abilityName/>
      <candidateList>
        <item>）</item>
      </candidateList>
      <explain>文本全半角错误。</explain>
      <paraID> AA122E2</paraID>
      <start>191</start>
      <end>192</end>
      <status>unmodified</status>
      <modifiedWord/>
      <trackRevisions>false</trackRevisions>
    </reviewItem>
    <reviewItem>
      <errorID>962f57ff-d750-448e-8481-a940852f0769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10D2E51D</paraID>
      <start>0</start>
      <end>2</end>
      <status>unmodified</status>
      <modifiedWord/>
      <trackRevisions>false</trackRevisions>
    </reviewItem>
    <reviewItem>
      <errorID>b5ef28ec-0e81-4f97-a25e-6754a52ef0e9</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11CC294A</paraID>
      <start>0</start>
      <end>3</end>
      <status>unmodified</status>
      <modifiedWord/>
      <trackRevisions>false</trackRevisions>
    </reviewItem>
    <reviewItem>
      <errorID>adaa8aea-581e-4767-9d0a-c565340752fa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431D4FEC</paraID>
      <start>0</start>
      <end>3</end>
      <status>unmodified</status>
      <modifiedWord/>
      <trackRevisions>false</trackRevisions>
    </reviewItem>
    <reviewItem>
      <errorID>7937814a-ccf2-49b5-973e-8ff697036b66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29E01B72</paraID>
      <start>0</start>
      <end>3</end>
      <status>unmodified</status>
      <modifiedWord/>
      <trackRevisions>false</trackRevisions>
    </reviewItem>
    <reviewItem>
      <errorID>779d5b59-7712-4be3-9d73-cd138c74a1de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26BAB3A4</paraID>
      <start>0</start>
      <end>3</end>
      <status>unmodified</status>
      <modifiedWord/>
      <trackRevisions>false</trackRevisions>
    </reviewItem>
    <reviewItem>
      <errorID>436c360c-0c7d-4e64-afcb-cd1cab0a3743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1B08AA67</paraID>
      <start>0</start>
      <end>3</end>
      <status>unmodified</status>
      <modifiedWord/>
      <trackRevisions>false</trackRevisions>
    </reviewItem>
    <reviewItem>
      <errorID>56fa1789-0132-4b60-86ae-7590ee702fd5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3EECA0CA</paraID>
      <start>0</start>
      <end>3</end>
      <status>unmodified</status>
      <modifiedWord/>
      <trackRevisions>false</trackRevisions>
    </reviewItem>
    <reviewItem>
      <errorID>3f3beef0-e405-4379-9249-16854467ac47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4BFEEE5D</paraID>
      <start>0</start>
      <end>3</end>
      <status>unmodified</status>
      <modifiedWord/>
      <trackRevisions>false</trackRevisions>
    </reviewItem>
    <reviewItem>
      <errorID>e1e86d3f-43f4-4092-a94d-0442a0e8d809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1A024DF6</paraID>
      <start>0</start>
      <end>2</end>
      <status>unmodified</status>
      <modifiedWord/>
      <trackRevisions>false</trackRevisions>
    </reviewItem>
    <reviewItem>
      <errorID>e77f3d8f-4d91-48e4-bd5b-e9145f366e1a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4F1BEC01</paraID>
      <start>0</start>
      <end>2</end>
      <status>unmodified</status>
      <modifiedWord/>
      <trackRevisions>false</trackRevisions>
    </reviewItem>
    <reviewItem>
      <errorID>4f7e1884-8543-4021-890c-9d03770f535b</errorID>
      <errorWord>（</errorWord>
      <group>L1_Punc</group>
      <groupName>标点问题</groupName>
      <ability>L2_Punc_CN</ability>
      <abilityName/>
      <candidateList/>
      <explain>此处标点可能未正确匹配，请检查句子中是否存在标点冗余、缺失或使用错误的情况。</explain>
      <paraID>53004934</paraID>
      <start>15</start>
      <end>16</end>
      <status>unmodified</status>
      <modifiedWord/>
      <trackRevisions>false</trackRevisions>
    </reviewItem>
    <reviewItem>
      <errorID>fad3639e-26db-4c11-9ec4-18dd9b79e59b</errorID>
      <errorWord>-</errorWord>
      <group>L1_Format</group>
      <groupName>格式问题</groupName>
      <ability>L2_HalfPunc_CN</ability>
      <abilityName/>
      <candidateList>
        <item>－</item>
      </candidateList>
      <explain>文本全半角错误。</explain>
      <paraID>53004934</paraID>
      <start>32</start>
      <end>33</end>
      <status>unmodified</status>
      <modifiedWord/>
      <trackRevisions>false</trackRevisions>
    </reviewItem>
    <reviewItem>
      <errorID>be21446b-0296-47e1-a62c-3351192f9d5e</errorID>
      <errorWord>-</errorWord>
      <group>L1_Format</group>
      <groupName>格式问题</groupName>
      <ability>L2_HalfPunc_CN</ability>
      <abilityName/>
      <candidateList>
        <item>－</item>
      </candidateList>
      <explain>文本全半角错误。</explain>
      <paraID>53004934</paraID>
      <start>59</start>
      <end>60</end>
      <status>unmodified</status>
      <modifiedWord/>
      <trackRevisions>false</trackRevisions>
    </reviewItem>
    <reviewItem>
      <errorID>1753b465-e31f-48c9-a1a2-b9bae38e20f1</errorID>
      <errorWord>-</errorWord>
      <group>L1_Format</group>
      <groupName>格式问题</groupName>
      <ability>L2_HalfPunc_CN</ability>
      <abilityName/>
      <candidateList>
        <item>－</item>
      </candidateList>
      <explain>文本全半角错误。</explain>
      <paraID>53004934</paraID>
      <start>79</start>
      <end>80</end>
      <status>unmodified</status>
      <modifiedWord/>
      <trackRevisions>false</trackRevisions>
    </reviewItem>
    <reviewItem>
      <errorID>0615830b-efeb-4a0d-add8-9a7cf3e8d325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1F43EEFA</paraID>
      <start>0</start>
      <end>2</end>
      <status>unmodified</status>
      <modifiedWord/>
      <trackRevisions>false</trackRevisions>
    </reviewItem>
    <reviewItem>
      <errorID>5fbff01b-56e4-4aa3-a61a-fb34259420a9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7ABE1629</paraID>
      <start>0</start>
      <end>2</end>
      <status>unmodified</status>
      <modifiedWord/>
      <trackRevisions>false</trackRevisions>
    </reviewItem>
    <reviewItem>
      <errorID>023b6396-ce63-494d-9be4-ea52ce12b603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350DCF46</paraID>
      <start>0</start>
      <end>2</end>
      <status>unmodified</status>
      <modifiedWord/>
      <trackRevisions>false</trackRevisions>
    </reviewItem>
    <reviewItem>
      <errorID>c6899d76-466a-4bba-9375-e88e276363c4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2859B002</paraID>
      <start>0</start>
      <end>2</end>
      <status>unmodified</status>
      <modifiedWord/>
      <trackRevisions>false</trackRevisions>
    </reviewItem>
    <reviewItem>
      <errorID>ffd73e41-1dc9-4a54-ab54-e26636949f0a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53B56554</paraID>
      <start>0</start>
      <end>2</end>
      <status>unmodified</status>
      <modifiedWord/>
      <trackRevisions>false</trackRevisions>
    </reviewItem>
    <reviewItem>
      <errorID>f839e295-6c42-4365-a2d0-54a12b684db3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369444AB</paraID>
      <start>0</start>
      <end>2</end>
      <status>unmodified</status>
      <modifiedWord/>
      <trackRevisions>false</trackRevisions>
    </reviewItem>
    <reviewItem>
      <errorID>986471bc-8748-4709-848d-55f8559b5634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482BB4B9</paraID>
      <start>0</start>
      <end>3</end>
      <status>unmodified</status>
      <modifiedWord/>
      <trackRevisions>false</trackRevisions>
    </reviewItem>
    <reviewItem>
      <errorID>9801e560-23fd-43c8-86bc-16fca7faf54e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7E576838</paraID>
      <start>0</start>
      <end>2</end>
      <status>unmodified</status>
      <modifiedWord/>
      <trackRevisions>false</trackRevisions>
    </reviewItem>
    <reviewItem>
      <errorID>baa1ce61-c3ed-4994-bf71-b896b84821b6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54C0A4DD</paraID>
      <start>0</start>
      <end>2</end>
      <status>unmodified</status>
      <modifiedWord/>
      <trackRevisions>false</trackRevisions>
    </reviewItem>
    <reviewItem>
      <errorID>fbb1e4e7-f66b-4519-84c5-f1a136586c70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2083E3B7</paraID>
      <start>0</start>
      <end>2</end>
      <status>unmodified</status>
      <modifiedWord/>
      <trackRevisions>false</trackRevisions>
    </reviewItem>
    <reviewItem>
      <errorID>78f6f6c4-ea29-4cbe-b5b9-b429014ddd88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6408D65A</paraID>
      <start>0</start>
      <end>2</end>
      <status>unmodified</status>
      <modifiedWord/>
      <trackRevisions>false</trackRevisions>
    </reviewItem>
    <reviewItem>
      <errorID>701b0275-88be-42bd-ba3d-0975918eb05e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A2684FA</paraID>
      <start>0</start>
      <end>2</end>
      <status>unmodified</status>
      <modifiedWord/>
      <trackRevisions>false</trackRevisions>
    </reviewItem>
    <reviewItem>
      <errorID>498ea71e-9e14-4aef-9961-72d55d17984b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6E09F32C</paraID>
      <start>0</start>
      <end>2</end>
      <status>unmodified</status>
      <modifiedWord/>
      <trackRevisions>false</trackRevisions>
    </reviewItem>
    <reviewItem>
      <errorID>971c617c-4316-4003-a84c-87a3d94d93e5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393BC21F</paraID>
      <start>0</start>
      <end>2</end>
      <status>unmodified</status>
      <modifiedWord/>
      <trackRevisions>false</trackRevisions>
    </reviewItem>
    <reviewItem>
      <errorID>c2fcc07e-74c4-44ea-9ef9-6050d7f03972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51B17202</paraID>
      <start>0</start>
      <end>2</end>
      <status>unmodified</status>
      <modifiedWord/>
      <trackRevisions>false</trackRevisions>
    </reviewItem>
    <reviewItem>
      <errorID>e08b9396-90cd-4c1b-873d-1a0c6359bdee</errorID>
      <errorWord>的</errorWord>
      <group>L1_Word</group>
      <groupName>字词问题</groupName>
      <ability>L2_Typo</ability>
      <abilityName>字词错误</abilityName>
      <candidateList>
        <item>的农</item>
      </candidateList>
      <explain/>
      <paraID>51B17202</paraID>
      <start>38</start>
      <end>40</end>
      <status>modified</status>
      <modifiedWord>的农</modifiedWord>
      <trackRevisions>false</trackRevisions>
    </reviewItem>
    <reviewItem>
      <errorID>71e6bd96-f583-460e-86ee-3d6ced27b67e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A9D7CA6</paraID>
      <start>0</start>
      <end>2</end>
      <status>unmodified</status>
      <modifiedWord/>
      <trackRevisions>false</trackRevisions>
    </reviewItem>
    <reviewItem>
      <errorID>ff783cbb-1c89-4ab9-a669-177cd7ce62d7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1E1B8ADB</paraID>
      <start>0</start>
      <end>2</end>
      <status>unmodified</status>
      <modifiedWord/>
      <trackRevisions>false</trackRevisions>
    </reviewItem>
    <reviewItem>
      <errorID>16837287-7a8c-4649-9d0c-696098d4d13e</errorID>
      <errorWord>如现</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1E1B8ADB</paraID>
      <start>174</start>
      <end>176</end>
      <status>modified</status>
      <modifiedWord>出现</modifiedWord>
      <trackRevisions>false</trackRevisions>
    </reviewItem>
    <reviewItem>
      <errorID>297d338c-91d4-40a0-9975-638050c7ba26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60F5506C</paraID>
      <start>0</start>
      <end>2</end>
      <status>unmodified</status>
      <modifiedWord/>
      <trackRevisions>false</trackRevisions>
    </reviewItem>
    <reviewItem>
      <errorID>4f15d4b8-d067-46cb-9f1b-993383eeeb5a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65764EFD</paraID>
      <start>0</start>
      <end>2</end>
      <status>unmodified</status>
      <modifiedWord/>
      <trackRevisions>false</trackRevisions>
    </reviewItem>
    <reviewItem>
      <errorID>67eec3a1-461c-45eb-b5ac-02e22412ad83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57AEFEA7</paraID>
      <start>0</start>
      <end>2</end>
      <status>unmodified</status>
      <modifiedWord/>
      <trackRevisions>false</trackRevisions>
    </reviewItem>
    <reviewItem>
      <errorID>119c9d60-feb9-485e-9ef5-7ea137268c31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2D37377D</paraID>
      <start>0</start>
      <end>2</end>
      <status>unmodified</status>
      <modifiedWord/>
      <trackRevisions>false</trackRevisions>
    </reviewItem>
    <reviewItem>
      <errorID>f6c77085-c1c6-4d61-8d0d-1735f6d77a25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75716ADF</paraID>
      <start>0</start>
      <end>3</end>
      <status>unmodified</status>
      <modifiedWord/>
      <trackRevisions>false</trackRevisions>
    </reviewItem>
    <reviewItem>
      <errorID>8fc96f8c-9662-4838-a63f-f489ee0badd2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3AE46FF7</paraID>
      <start>0</start>
      <end>3</end>
      <status>unmodified</status>
      <modifiedWord/>
      <trackRevisions>false</trackRevisions>
    </reviewItem>
    <reviewItem>
      <errorID>bcf0e9d0-d583-495e-8107-57b7feb68dbf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2C6818F3</paraID>
      <start>0</start>
      <end>3</end>
      <status>unmodified</status>
      <modifiedWord/>
      <trackRevisions>false</trackRevisions>
    </reviewItem>
    <reviewItem>
      <errorID>172bfb2a-5a6f-48ea-b1d9-2557397784c2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481CA874</paraID>
      <start>0</start>
      <end>2</end>
      <status>unmodified</status>
      <modifiedWord/>
      <trackRevisions>false</trackRevisions>
    </reviewItem>
    <reviewItem>
      <errorID>af68e18b-4f19-4c90-9d97-d35e052b9d07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7C826C93</paraID>
      <start>0</start>
      <end>2</end>
      <status>unmodified</status>
      <modifiedWord/>
      <trackRevisions>false</trackRevisions>
    </reviewItem>
    <reviewItem>
      <errorID>7ab64905-f4bc-4727-9872-c91c33ddf5a7</errorID>
      <errorWord>入到</errorWord>
      <group>L1_Word</group>
      <groupName>字词问题</groupName>
      <ability>L2_Typo</ability>
      <abilityName>字词错误</abilityName>
      <candidateList>
        <item>入</item>
      </candidateList>
      <explain>❶〈动〉进来或进去（跟“出”相对）：投～｜～冬｜由浅～深｜纳～正轨。❷〈动〉参加到某种组织中，成为它的成员：～学｜～团｜～伍。❸收入：岁～｜～不敷出｜量～为出。❹合乎：～时｜～情～理。❺入声：平上去～。</explain>
      <paraID>4DDB4E15</paraID>
      <start>47</start>
      <end>48</end>
      <status>modified</status>
      <modifiedWord>入</modifiedWord>
      <trackRevisions>false</trackRevisions>
    </reviewItem>
    <reviewItem>
      <errorID>756ecc5d-dda1-433f-b3d9-9699f6d741e4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7C8DB636</paraID>
      <start>0</start>
      <end>2</end>
      <status>unmodified</status>
      <modifiedWord/>
      <trackRevisions>false</trackRevisions>
    </reviewItem>
    <reviewItem>
      <errorID>5dfed1b5-6d73-454f-aeee-3e9c4583e1e0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443B92DA</paraID>
      <start>0</start>
      <end>2</end>
      <status>unmodified</status>
      <modifiedWord/>
      <trackRevisions>false</trackRevisions>
    </reviewItem>
    <reviewItem>
      <errorID>0e7748de-6895-4e91-b722-386888e9e851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10D737A3</paraID>
      <start>0</start>
      <end>2</end>
      <status>unmodified</status>
      <modifiedWord/>
      <trackRevisions>false</trackRevisions>
    </reviewItem>
    <reviewItem>
      <errorID>1990c591-a0a5-4271-8bed-9f0c1b868180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29301DE4</paraID>
      <start>0</start>
      <end>2</end>
      <status>unmodified</status>
      <modifiedWord/>
      <trackRevisions>false</trackRevisions>
    </reviewItem>
    <reviewItem>
      <errorID>16cec8ae-8e1f-4db4-a21a-18e025e0cf5b</errorID>
      <errorWord>:</errorWord>
      <group>L1_Format</group>
      <groupName>格式问题</groupName>
      <ability>L2_HalfPunc_CN</ability>
      <abilityName/>
      <candidateList>
        <item>：</item>
      </candidateList>
      <explain>文本全半角错误。</explain>
      <paraID>6B41EB8D</paraID>
      <start>7</start>
      <end>8</end>
      <status>unmodified</status>
      <modifiedWord/>
      <trackRevisions>false</trackRevisions>
    </reviewItem>
    <reviewItem>
      <errorID>3efd7b8b-fb9b-4053-b38a-c8c9c05d4486</errorID>
      <errorWord>证</errorWord>
      <group>L1_Word</group>
      <groupName>字词问题</groupName>
      <ability>L2_Typo</ability>
      <abilityName>字词错误</abilityName>
      <candidateList>
        <item>证金</item>
      </candidateList>
      <explain/>
      <paraID>22FD695C</paraID>
      <start>7</start>
      <end>9</end>
      <status>modified</status>
      <modifiedWord>证金</modifiedWord>
      <trackRevisions>false</trackRevisions>
    </reviewItem>
    <reviewItem>
      <errorID>618c65d6-d077-4612-ab66-80daa152bb39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51B36F5B</paraID>
      <start>0</start>
      <end>2</end>
      <status>unmodified</status>
      <modifiedWord/>
      <trackRevisions>false</trackRevisions>
    </reviewItem>
    <reviewItem>
      <errorID>125989ed-912c-40ed-a253-6784a2d9a4f0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D41A1EC</paraID>
      <start>0</start>
      <end>2</end>
      <status>unmodified</status>
      <modifiedWord/>
      <trackRevisions>false</trackRevisions>
    </reviewItem>
    <reviewItem>
      <errorID>8a047081-106e-4b23-922c-3cb16082c17c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3DBC0AE5</paraID>
      <start>0</start>
      <end>2</end>
      <status>unmodified</status>
      <modifiedWord/>
      <trackRevisions>false</trackRevisions>
    </reviewItem>
    <reviewItem>
      <errorID>28cd37c3-eef9-4ffd-9f73-c3fdade68f21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55D4CF5F</paraID>
      <start>0</start>
      <end>2</end>
      <status>unmodified</status>
      <modifiedWord/>
      <trackRevisions>false</trackRevisions>
    </reviewItem>
    <reviewItem>
      <errorID>d37c24bd-fd28-44e1-8cb3-0c3d34c4f041</errorID>
      <errorWord>【2013】43号</errorWord>
      <group>L1_Knowledge</group>
      <groupName>知识性问题</groupName>
      <ability>L2_Knowledge</ability>
      <abilityName>其他知识</abilityName>
      <candidateList>
        <item>〔2013〕43号</item>
      </candidateList>
      <explain>发文字号格式错误。</explain>
      <paraID>55D4CF5F</paraID>
      <start>75</start>
      <end>84</end>
      <status>modified</status>
      <modifiedWord>〔2013〕43号</modifiedWord>
      <trackRevisions>false</trackRevisions>
    </reviewItem>
    <reviewItem>
      <errorID>efdabe1e-97b5-4121-ae70-e5bcb17f872d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18A08FB2</paraID>
      <start>0</start>
      <end>2</end>
      <status>unmodified</status>
      <modifiedWord/>
      <trackRevisions>false</trackRevisions>
    </reviewItem>
    <reviewItem>
      <errorID>e4a25628-50f0-487f-9158-456de51efd85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31F26239</paraID>
      <start>0</start>
      <end>2</end>
      <status>unmodified</status>
      <modifiedWord/>
      <trackRevisions>false</trackRevisions>
    </reviewItem>
    <reviewItem>
      <errorID>0ddc9a85-0d62-4514-87f6-992491cbb998</errorID>
      <errorWord>(</errorWord>
      <group>L1_Format</group>
      <groupName>格式问题</groupName>
      <ability>L2_HalfPunc_CN</ability>
      <abilityName/>
      <candidateList>
        <item>（</item>
      </candidateList>
      <explain>文本全半角错误。</explain>
      <paraID>6F414EE9</paraID>
      <start>65</start>
      <end>66</end>
      <status>unmodified</status>
      <modifiedWord/>
      <trackRevisions>false</trackRevisions>
    </reviewItem>
    <reviewItem>
      <errorID>3146642e-12c5-4273-94d2-3597db9efe57</errorID>
      <errorWord>)</errorWord>
      <group>L1_Format</group>
      <groupName>格式问题</groupName>
      <ability>L2_HalfPunc_CN</ability>
      <abilityName/>
      <candidateList>
        <item>）</item>
      </candidateList>
      <explain>文本全半角错误。</explain>
      <paraID>6F414EE9</paraID>
      <start>78</start>
      <end>79</end>
      <status>unmodified</status>
      <modifiedWord/>
      <trackRevisions>false</trackRevisions>
    </reviewItem>
    <reviewItem>
      <errorID>a6a79c74-e63a-471d-beb0-2242fb107a92</errorID>
      <errorWord>证</errorWord>
      <group>L1_Word</group>
      <groupName>字词问题</groupName>
      <ability>L2_Typo</ability>
      <abilityName>字词错误</abilityName>
      <candidateList>
        <item>证金</item>
      </candidateList>
      <explain/>
      <paraID>476459A8</paraID>
      <start>8</start>
      <end>9</end>
      <status>unmodified</status>
      <modifiedWord/>
      <trackRevisions>false</trackRevisions>
    </reviewItem>
    <reviewItem>
      <errorID>e446a55b-4e23-495d-82f1-8eb0ef291fb5</errorID>
      <errorWord>证</errorWord>
      <group>L1_Word</group>
      <groupName>字词问题</groupName>
      <ability>L2_Typo</ability>
      <abilityName>字词错误</abilityName>
      <candidateList>
        <item>证金</item>
      </candidateList>
      <explain/>
      <paraID>6DC7FF5C</paraID>
      <start>3</start>
      <end>4</end>
      <status>unmodified</status>
      <modifiedWord/>
      <trackRevisions>false</trackRevisions>
    </reviewItem>
    <reviewItem>
      <errorID>bbc1ba2f-aca4-49e7-ad66-400487cb2c9e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5A80AEBF</paraID>
      <start>0</start>
      <end>3</end>
      <status>unmodified</status>
      <modifiedWord/>
      <trackRevisions>false</trackRevisions>
    </reviewItem>
    <reviewItem>
      <errorID>56fd5ef5-2c04-4bfc-8aa1-5e10b469f18d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C1A9799</paraID>
      <start>0</start>
      <end>3</end>
      <status>unmodified</status>
      <modifiedWord/>
      <trackRevisions>false</trackRevisions>
    </reviewItem>
    <reviewItem>
      <errorID>f05c1574-f455-4086-af6c-a1b4ccd2f6d8</errorID>
      <errorWord>长驻</errorWord>
      <group>L1_Word</group>
      <groupName>字词问题</groupName>
      <ability>L2_Typo</ability>
      <abilityName>字词错误</abilityName>
      <candidateList>
        <item>常驻</item>
      </candidateList>
      <explain/>
      <paraID> C1A9799</paraID>
      <start>18</start>
      <end>20</end>
      <status>modified</status>
      <modifiedWord>常驻</modifiedWord>
      <trackRevisions>false</trackRevisions>
    </reviewItem>
    <reviewItem>
      <errorID>31d74702-3f44-45fb-9e2d-71e6b8e73e69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4E4677DC</paraID>
      <start>0</start>
      <end>3</end>
      <status>unmodified</status>
      <modifiedWord/>
      <trackRevisions>false</trackRevisions>
    </reviewItem>
    <reviewItem>
      <errorID>5625ef67-8083-4fbb-976e-ab8301fe881c</errorID>
      <errorWord>所到</errorWord>
      <group>L1_Word</group>
      <groupName>字词问题</groupName>
      <ability>L2_Typo</ability>
      <abilityName>字词错误</abilityName>
      <candidateList>
        <item>所载</item>
      </candidateList>
      <explain/>
      <paraID>4E4677DC</paraID>
      <start>24</start>
      <end>26</end>
      <status>unmodified</status>
      <modifiedWord/>
      <trackRevisions>false</trackRevisions>
    </reviewItem>
    <reviewItem>
      <errorID>95f68f84-be92-44d2-9261-f51818ed11e6</errorID>
      <errorWord>主管部门作</errorWord>
      <group>L1_Word</group>
      <groupName>字词问题</groupName>
      <ability>L2_Alias</ability>
      <abilityName>也作/曾用词</abilityName>
      <candidateList>
        <item>主管部门做</item>
      </candidateList>
      <explain>词汇[主管部门作]为不规范表述或旧称，其规范书面表述为[主管部门做]。</explain>
      <paraID>27B67D70</paraID>
      <start>50</start>
      <end>55</end>
      <status>modified</status>
      <modifiedWord>主管部门做</modifiedWord>
      <trackRevisions>false</trackRevisions>
    </reviewItem>
    <reviewItem>
      <errorID>4b2355f8-21e6-4117-9bb9-65f84b0439af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5F106667</paraID>
      <start>0</start>
      <end>3</end>
      <status>unmodified</status>
      <modifiedWord/>
      <trackRevisions>false</trackRevisions>
    </reviewItem>
    <reviewItem>
      <errorID>22b27c85-82d0-488d-91ed-36e99c0eaffb</errorID>
      <errorWord>专用</errorWord>
      <group>L1_Word</group>
      <groupName>字词问题</groupName>
      <ability>L2_Typo</ability>
      <abilityName>字词错误</abilityName>
      <candidateList>
        <item>专业</item>
      </candidateList>
      <explain/>
      <paraID>5F106667</paraID>
      <start>15</start>
      <end>17</end>
      <status>modified</status>
      <modifiedWord>专业</modifiedWord>
      <trackRevisions>false</trackRevisions>
    </reviewItem>
    <reviewItem>
      <errorID>e90db0ad-9aaa-4cde-be65-7be67f172013</errorID>
      <errorWord>，</errorWord>
      <group>L1_Word</group>
      <groupName>字词问题</groupName>
      <ability>L2_Typo</ability>
      <abilityName>字词错误</abilityName>
      <candidateList>
        <item>，并</item>
      </candidateList>
      <explain/>
      <paraID>5840BEEA</paraID>
      <start>52</start>
      <end>54</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e90db-0a17-4002-8ca4-e0022f840152}">
  <ds:schemaRefs/>
</ds:datastoreItem>
</file>

<file path=docProps/app.xml><?xml version="1.0" encoding="utf-8"?>
<Properties xmlns="http://schemas.openxmlformats.org/officeDocument/2006/extended-properties" xmlns:vt="http://schemas.openxmlformats.org/officeDocument/2006/docPropsVTypes">
  <Template>Normal</Template>
  <Pages>125</Pages>
  <Words>19496</Words>
  <Characters>21311</Characters>
  <Lines>641</Lines>
  <Paragraphs>180</Paragraphs>
  <TotalTime>5</TotalTime>
  <ScaleCrop>false</ScaleCrop>
  <LinksUpToDate>false</LinksUpToDate>
  <CharactersWithSpaces>21560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2024-06-27T18:04:00Z</dcterms:created>
  <dc:creator>Administrator</dc:creator>
  <cp:lastModifiedBy>明正</cp:lastModifiedBy>
  <cp:lastPrinted>2026-04-24T08:18:00Z</cp:lastPrinted>
  <dcterms:modified xsi:type="dcterms:W3CDTF">2026-06-04T03:33:43Z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973ACDCB8EA7496792601C18510767F6_13</vt:lpwstr>
  </property>
  <property fmtid="{D5CDD505-2E9C-101B-9397-08002B2CF9AE}" pid="4" name="ribbonExt">
    <vt:lpwstr>{"WPSExtOfficeTab":{"OnGetEnabled":false,"OnGetVisible":false}}</vt:lpwstr>
  </property>
  <property fmtid="{D5CDD505-2E9C-101B-9397-08002B2CF9AE}" pid="5" name="KSOTemplateDocerSaveRecord">
    <vt:lpwstr>eyJoZGlkIjoiY2ZiMzI0MGUwZmU4OTk2OGQwYTNlYmNmYzRlNTVkMmIiLCJ1c2VySWQiOiIzMjI4NDYzOTkifQ==</vt:lpwstr>
  </property>
</Properties>
</file>