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13D3F51">
      <w:pPr>
        <w:pStyle w:val="139"/>
        <w:wordWrap w:val="0"/>
        <w:adjustRightInd w:val="0"/>
        <w:snapToGrid w:val="0"/>
        <w:spacing w:line="360" w:lineRule="auto"/>
        <w:jc w:val="both"/>
        <w:rPr>
          <w:rFonts w:hint="eastAsia" w:ascii="Times New Roman" w:hAnsi="Times New Roman" w:eastAsia="宋体" w:cs="Times New Roman"/>
          <w:b/>
          <w:snapToGrid w:val="0"/>
          <w:color w:val="auto"/>
          <w:kern w:val="0"/>
          <w:sz w:val="44"/>
          <w:szCs w:val="44"/>
          <w:highlight w:val="none"/>
          <w:lang w:eastAsia="zh-CN"/>
        </w:rPr>
      </w:pPr>
      <w:r>
        <w:rPr>
          <w:rFonts w:hint="eastAsia" w:ascii="Times New Roman" w:hAnsi="Times New Roman" w:eastAsia="宋体" w:cs="Times New Roman"/>
          <w:b/>
          <w:snapToGrid w:val="0"/>
          <w:color w:val="auto"/>
          <w:kern w:val="0"/>
          <w:sz w:val="44"/>
          <w:szCs w:val="44"/>
          <w:highlight w:val="none"/>
          <w:lang w:eastAsia="zh-CN"/>
        </w:rPr>
        <w:drawing>
          <wp:inline distT="0" distB="0" distL="114300" distR="114300">
            <wp:extent cx="6342380" cy="8972550"/>
            <wp:effectExtent l="0" t="0" r="1270" b="0"/>
            <wp:docPr id="2" name="图片 2" descr="14、监理招标文件封面（已盖章）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4、监理招标文件封面（已盖章）_01"/>
                    <pic:cNvPicPr>
                      <a:picLocks noChangeAspect="1"/>
                    </pic:cNvPicPr>
                  </pic:nvPicPr>
                  <pic:blipFill>
                    <a:blip r:embed="rId9"/>
                    <a:stretch>
                      <a:fillRect/>
                    </a:stretch>
                  </pic:blipFill>
                  <pic:spPr>
                    <a:xfrm>
                      <a:off x="0" y="0"/>
                      <a:ext cx="6342380" cy="8972550"/>
                    </a:xfrm>
                    <a:prstGeom prst="rect">
                      <a:avLst/>
                    </a:prstGeom>
                  </pic:spPr>
                </pic:pic>
              </a:graphicData>
            </a:graphic>
          </wp:inline>
        </w:drawing>
      </w:r>
    </w:p>
    <w:p w14:paraId="08990CEB">
      <w:pPr>
        <w:tabs>
          <w:tab w:val="left" w:pos="4935"/>
        </w:tabs>
        <w:wordWrap w:val="0"/>
        <w:adjustRightInd w:val="0"/>
        <w:snapToGrid w:val="0"/>
        <w:jc w:val="center"/>
        <w:rPr>
          <w:rFonts w:hint="eastAsia" w:ascii="Times New Roman"/>
          <w:b/>
          <w:snapToGrid w:val="0"/>
          <w:color w:val="auto"/>
          <w:kern w:val="0"/>
          <w:sz w:val="28"/>
          <w:szCs w:val="28"/>
          <w:highlight w:val="none"/>
        </w:rPr>
        <w:sectPr>
          <w:footerReference r:id="rId5" w:type="default"/>
          <w:endnotePr>
            <w:numFmt w:val="decimal"/>
          </w:endnotePr>
          <w:pgSz w:w="11906" w:h="16838"/>
          <w:pgMar w:top="1361" w:right="1247" w:bottom="1361" w:left="1247" w:header="850" w:footer="992" w:gutter="0"/>
          <w:pgBorders>
            <w:top w:val="none" w:sz="0" w:space="0"/>
            <w:left w:val="none" w:sz="0" w:space="0"/>
            <w:bottom w:val="none" w:sz="0" w:space="0"/>
            <w:right w:val="none" w:sz="0" w:space="0"/>
          </w:pgBorders>
          <w:pgNumType w:start="1"/>
          <w:cols w:space="720" w:num="1"/>
          <w:rtlGutter w:val="0"/>
          <w:docGrid w:linePitch="327" w:charSpace="0"/>
        </w:sectPr>
      </w:pPr>
    </w:p>
    <w:p w14:paraId="65C97C1D">
      <w:pPr>
        <w:spacing w:line="240" w:lineRule="auto"/>
        <w:jc w:val="center"/>
        <w:rPr>
          <w:b/>
          <w:bCs/>
          <w:color w:val="auto"/>
          <w:sz w:val="44"/>
          <w:szCs w:val="32"/>
          <w:highlight w:val="none"/>
        </w:rPr>
      </w:pPr>
      <w:r>
        <w:rPr>
          <w:rFonts w:hAnsi="宋体"/>
          <w:b/>
          <w:bCs/>
          <w:color w:val="auto"/>
          <w:sz w:val="36"/>
          <w:szCs w:val="32"/>
          <w:highlight w:val="none"/>
        </w:rPr>
        <w:t>目</w:t>
      </w:r>
      <w:r>
        <w:rPr>
          <w:rFonts w:hint="eastAsia" w:hAnsi="宋体"/>
          <w:b/>
          <w:bCs/>
          <w:color w:val="auto"/>
          <w:sz w:val="36"/>
          <w:szCs w:val="32"/>
          <w:highlight w:val="none"/>
        </w:rPr>
        <w:t xml:space="preserve">  </w:t>
      </w:r>
      <w:r>
        <w:rPr>
          <w:rFonts w:hAnsi="宋体"/>
          <w:b/>
          <w:bCs/>
          <w:color w:val="auto"/>
          <w:sz w:val="36"/>
          <w:szCs w:val="32"/>
          <w:highlight w:val="none"/>
        </w:rPr>
        <w:t>录</w:t>
      </w:r>
    </w:p>
    <w:p w14:paraId="406E1CA9">
      <w:pPr>
        <w:pStyle w:val="20"/>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b/>
          <w:bCs/>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TOC \o "1-3" \h \u </w:instrText>
      </w:r>
      <w:r>
        <w:rPr>
          <w:rFonts w:hint="eastAsia" w:hAnsi="宋体" w:cs="宋体"/>
          <w:color w:val="auto"/>
          <w:szCs w:val="24"/>
          <w:highlight w:val="none"/>
        </w:rPr>
        <w:fldChar w:fldCharType="separate"/>
      </w:r>
      <w:r>
        <w:rPr>
          <w:rFonts w:hint="eastAsia" w:hAnsi="宋体" w:cs="宋体"/>
          <w:b/>
          <w:bCs/>
          <w:color w:val="auto"/>
          <w:szCs w:val="24"/>
          <w:highlight w:val="none"/>
        </w:rPr>
        <w:fldChar w:fldCharType="begin"/>
      </w:r>
      <w:r>
        <w:rPr>
          <w:rFonts w:hint="eastAsia" w:hAnsi="宋体" w:cs="宋体"/>
          <w:b/>
          <w:bCs/>
          <w:color w:val="auto"/>
          <w:szCs w:val="24"/>
          <w:highlight w:val="none"/>
        </w:rPr>
        <w:instrText xml:space="preserve"> HYPERLINK \l _Toc10652 </w:instrText>
      </w:r>
      <w:r>
        <w:rPr>
          <w:rFonts w:hint="eastAsia" w:hAnsi="宋体" w:cs="宋体"/>
          <w:b/>
          <w:bCs/>
          <w:color w:val="auto"/>
          <w:szCs w:val="24"/>
          <w:highlight w:val="none"/>
        </w:rPr>
        <w:fldChar w:fldCharType="separate"/>
      </w:r>
      <w:r>
        <w:rPr>
          <w:rFonts w:hint="eastAsia" w:ascii="Times New Roman"/>
          <w:b/>
          <w:bCs/>
          <w:snapToGrid w:val="0"/>
          <w:color w:val="auto"/>
          <w:szCs w:val="22"/>
          <w:highlight w:val="none"/>
        </w:rPr>
        <w:t>第一章 投标人须知</w:t>
      </w:r>
      <w:r>
        <w:rPr>
          <w:b/>
          <w:bCs/>
          <w:color w:val="auto"/>
          <w:highlight w:val="none"/>
        </w:rPr>
        <w:tab/>
      </w:r>
      <w:r>
        <w:rPr>
          <w:b/>
          <w:bCs/>
          <w:color w:val="auto"/>
          <w:highlight w:val="none"/>
        </w:rPr>
        <w:fldChar w:fldCharType="begin"/>
      </w:r>
      <w:r>
        <w:rPr>
          <w:b/>
          <w:bCs/>
          <w:color w:val="auto"/>
          <w:highlight w:val="none"/>
        </w:rPr>
        <w:instrText xml:space="preserve"> PAGEREF _Toc10652 \h </w:instrText>
      </w:r>
      <w:r>
        <w:rPr>
          <w:b/>
          <w:bCs/>
          <w:color w:val="auto"/>
          <w:highlight w:val="none"/>
        </w:rPr>
        <w:fldChar w:fldCharType="separate"/>
      </w:r>
      <w:r>
        <w:rPr>
          <w:b/>
          <w:bCs/>
          <w:color w:val="auto"/>
          <w:highlight w:val="none"/>
        </w:rPr>
        <w:t>3</w:t>
      </w:r>
      <w:r>
        <w:rPr>
          <w:b/>
          <w:bCs/>
          <w:color w:val="auto"/>
          <w:highlight w:val="none"/>
        </w:rPr>
        <w:fldChar w:fldCharType="end"/>
      </w:r>
      <w:r>
        <w:rPr>
          <w:rFonts w:hint="eastAsia" w:hAnsi="宋体" w:cs="宋体"/>
          <w:b/>
          <w:bCs/>
          <w:color w:val="auto"/>
          <w:szCs w:val="24"/>
          <w:highlight w:val="none"/>
        </w:rPr>
        <w:fldChar w:fldCharType="end"/>
      </w:r>
    </w:p>
    <w:p w14:paraId="342E1925">
      <w:pPr>
        <w:pStyle w:val="24"/>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_Toc5307 </w:instrText>
      </w:r>
      <w:r>
        <w:rPr>
          <w:rFonts w:hint="eastAsia" w:hAnsi="宋体" w:cs="宋体"/>
          <w:color w:val="auto"/>
          <w:szCs w:val="24"/>
          <w:highlight w:val="none"/>
        </w:rPr>
        <w:fldChar w:fldCharType="separate"/>
      </w:r>
      <w:r>
        <w:rPr>
          <w:rFonts w:hint="eastAsia" w:ascii="Times New Roman"/>
          <w:snapToGrid w:val="0"/>
          <w:color w:val="auto"/>
          <w:highlight w:val="none"/>
        </w:rPr>
        <w:t>第一节 投标人须知前附表</w:t>
      </w:r>
      <w:r>
        <w:rPr>
          <w:color w:val="auto"/>
          <w:highlight w:val="none"/>
        </w:rPr>
        <w:tab/>
      </w:r>
      <w:r>
        <w:rPr>
          <w:color w:val="auto"/>
          <w:highlight w:val="none"/>
        </w:rPr>
        <w:fldChar w:fldCharType="begin"/>
      </w:r>
      <w:r>
        <w:rPr>
          <w:color w:val="auto"/>
          <w:highlight w:val="none"/>
        </w:rPr>
        <w:instrText xml:space="preserve"> PAGEREF _Toc5307 \h </w:instrText>
      </w:r>
      <w:r>
        <w:rPr>
          <w:color w:val="auto"/>
          <w:highlight w:val="none"/>
        </w:rPr>
        <w:fldChar w:fldCharType="separate"/>
      </w:r>
      <w:r>
        <w:rPr>
          <w:color w:val="auto"/>
          <w:highlight w:val="none"/>
        </w:rPr>
        <w:t>3</w:t>
      </w:r>
      <w:r>
        <w:rPr>
          <w:color w:val="auto"/>
          <w:highlight w:val="none"/>
        </w:rPr>
        <w:fldChar w:fldCharType="end"/>
      </w:r>
      <w:r>
        <w:rPr>
          <w:rFonts w:hint="eastAsia" w:hAnsi="宋体" w:cs="宋体"/>
          <w:color w:val="auto"/>
          <w:szCs w:val="24"/>
          <w:highlight w:val="none"/>
        </w:rPr>
        <w:fldChar w:fldCharType="end"/>
      </w:r>
    </w:p>
    <w:p w14:paraId="3F5C8FF3">
      <w:pPr>
        <w:pStyle w:val="24"/>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_Toc32223 </w:instrText>
      </w:r>
      <w:r>
        <w:rPr>
          <w:rFonts w:hint="eastAsia" w:hAnsi="宋体" w:cs="宋体"/>
          <w:color w:val="auto"/>
          <w:szCs w:val="24"/>
          <w:highlight w:val="none"/>
        </w:rPr>
        <w:fldChar w:fldCharType="separate"/>
      </w:r>
      <w:r>
        <w:rPr>
          <w:rFonts w:hint="eastAsia" w:ascii="Times New Roman"/>
          <w:snapToGrid w:val="0"/>
          <w:color w:val="auto"/>
          <w:highlight w:val="none"/>
        </w:rPr>
        <w:t>第二节 重要事项时间地点一览表</w:t>
      </w:r>
      <w:r>
        <w:rPr>
          <w:color w:val="auto"/>
          <w:highlight w:val="none"/>
        </w:rPr>
        <w:tab/>
      </w:r>
      <w:r>
        <w:rPr>
          <w:color w:val="auto"/>
          <w:highlight w:val="none"/>
        </w:rPr>
        <w:fldChar w:fldCharType="begin"/>
      </w:r>
      <w:r>
        <w:rPr>
          <w:color w:val="auto"/>
          <w:highlight w:val="none"/>
        </w:rPr>
        <w:instrText xml:space="preserve"> PAGEREF _Toc32223 \h </w:instrText>
      </w:r>
      <w:r>
        <w:rPr>
          <w:color w:val="auto"/>
          <w:highlight w:val="none"/>
        </w:rPr>
        <w:fldChar w:fldCharType="separate"/>
      </w:r>
      <w:r>
        <w:rPr>
          <w:color w:val="auto"/>
          <w:highlight w:val="none"/>
        </w:rPr>
        <w:t>9</w:t>
      </w:r>
      <w:r>
        <w:rPr>
          <w:color w:val="auto"/>
          <w:highlight w:val="none"/>
        </w:rPr>
        <w:fldChar w:fldCharType="end"/>
      </w:r>
      <w:r>
        <w:rPr>
          <w:rFonts w:hint="eastAsia" w:hAnsi="宋体" w:cs="宋体"/>
          <w:color w:val="auto"/>
          <w:szCs w:val="24"/>
          <w:highlight w:val="none"/>
        </w:rPr>
        <w:fldChar w:fldCharType="end"/>
      </w:r>
    </w:p>
    <w:p w14:paraId="544AB4EB">
      <w:pPr>
        <w:pStyle w:val="24"/>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_Toc9819 </w:instrText>
      </w:r>
      <w:r>
        <w:rPr>
          <w:rFonts w:hint="eastAsia" w:hAnsi="宋体" w:cs="宋体"/>
          <w:color w:val="auto"/>
          <w:szCs w:val="24"/>
          <w:highlight w:val="none"/>
        </w:rPr>
        <w:fldChar w:fldCharType="separate"/>
      </w:r>
      <w:r>
        <w:rPr>
          <w:rFonts w:hint="eastAsia"/>
          <w:bCs/>
          <w:color w:val="auto"/>
          <w:highlight w:val="none"/>
        </w:rPr>
        <w:t>第三节 投标人须知正文</w:t>
      </w:r>
      <w:r>
        <w:rPr>
          <w:color w:val="auto"/>
          <w:highlight w:val="none"/>
        </w:rPr>
        <w:tab/>
      </w:r>
      <w:r>
        <w:rPr>
          <w:color w:val="auto"/>
          <w:highlight w:val="none"/>
        </w:rPr>
        <w:fldChar w:fldCharType="begin"/>
      </w:r>
      <w:r>
        <w:rPr>
          <w:color w:val="auto"/>
          <w:highlight w:val="none"/>
        </w:rPr>
        <w:instrText xml:space="preserve"> PAGEREF _Toc9819 \h </w:instrText>
      </w:r>
      <w:r>
        <w:rPr>
          <w:color w:val="auto"/>
          <w:highlight w:val="none"/>
        </w:rPr>
        <w:fldChar w:fldCharType="separate"/>
      </w:r>
      <w:r>
        <w:rPr>
          <w:color w:val="auto"/>
          <w:highlight w:val="none"/>
        </w:rPr>
        <w:t>10</w:t>
      </w:r>
      <w:r>
        <w:rPr>
          <w:color w:val="auto"/>
          <w:highlight w:val="none"/>
        </w:rPr>
        <w:fldChar w:fldCharType="end"/>
      </w:r>
      <w:r>
        <w:rPr>
          <w:rFonts w:hint="eastAsia" w:hAnsi="宋体" w:cs="宋体"/>
          <w:color w:val="auto"/>
          <w:szCs w:val="24"/>
          <w:highlight w:val="none"/>
        </w:rPr>
        <w:fldChar w:fldCharType="end"/>
      </w:r>
    </w:p>
    <w:p w14:paraId="349F4C6E">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_Toc5851 </w:instrText>
      </w:r>
      <w:r>
        <w:rPr>
          <w:rFonts w:hint="eastAsia" w:hAnsi="宋体" w:cs="宋体"/>
          <w:color w:val="auto"/>
          <w:szCs w:val="24"/>
          <w:highlight w:val="none"/>
        </w:rPr>
        <w:fldChar w:fldCharType="separate"/>
      </w:r>
      <w:r>
        <w:rPr>
          <w:rFonts w:hint="eastAsia"/>
          <w:bCs/>
          <w:snapToGrid w:val="0"/>
          <w:color w:val="auto"/>
          <w:kern w:val="0"/>
          <w:highlight w:val="none"/>
        </w:rPr>
        <w:t>1．项目概况、招标范围和标段划分、投标费用</w:t>
      </w:r>
      <w:r>
        <w:rPr>
          <w:color w:val="auto"/>
          <w:highlight w:val="none"/>
        </w:rPr>
        <w:tab/>
      </w:r>
      <w:r>
        <w:rPr>
          <w:color w:val="auto"/>
          <w:highlight w:val="none"/>
        </w:rPr>
        <w:fldChar w:fldCharType="begin"/>
      </w:r>
      <w:r>
        <w:rPr>
          <w:color w:val="auto"/>
          <w:highlight w:val="none"/>
        </w:rPr>
        <w:instrText xml:space="preserve"> PAGEREF _Toc5851 \h </w:instrText>
      </w:r>
      <w:r>
        <w:rPr>
          <w:color w:val="auto"/>
          <w:highlight w:val="none"/>
        </w:rPr>
        <w:fldChar w:fldCharType="separate"/>
      </w:r>
      <w:r>
        <w:rPr>
          <w:color w:val="auto"/>
          <w:highlight w:val="none"/>
        </w:rPr>
        <w:t>10</w:t>
      </w:r>
      <w:r>
        <w:rPr>
          <w:color w:val="auto"/>
          <w:highlight w:val="none"/>
        </w:rPr>
        <w:fldChar w:fldCharType="end"/>
      </w:r>
      <w:r>
        <w:rPr>
          <w:rFonts w:hint="eastAsia" w:hAnsi="宋体" w:cs="宋体"/>
          <w:color w:val="auto"/>
          <w:szCs w:val="24"/>
          <w:highlight w:val="none"/>
        </w:rPr>
        <w:fldChar w:fldCharType="end"/>
      </w:r>
    </w:p>
    <w:p w14:paraId="7DC497C6">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_Toc1649 </w:instrText>
      </w:r>
      <w:r>
        <w:rPr>
          <w:rFonts w:hint="eastAsia" w:hAnsi="宋体" w:cs="宋体"/>
          <w:color w:val="auto"/>
          <w:szCs w:val="24"/>
          <w:highlight w:val="none"/>
        </w:rPr>
        <w:fldChar w:fldCharType="separate"/>
      </w:r>
      <w:r>
        <w:rPr>
          <w:rFonts w:hint="eastAsia"/>
          <w:bCs/>
          <w:snapToGrid w:val="0"/>
          <w:color w:val="auto"/>
          <w:kern w:val="0"/>
          <w:highlight w:val="none"/>
        </w:rPr>
        <w:t>2．投标人资格要求</w:t>
      </w:r>
      <w:r>
        <w:rPr>
          <w:color w:val="auto"/>
          <w:highlight w:val="none"/>
        </w:rPr>
        <w:tab/>
      </w:r>
      <w:r>
        <w:rPr>
          <w:color w:val="auto"/>
          <w:highlight w:val="none"/>
        </w:rPr>
        <w:fldChar w:fldCharType="begin"/>
      </w:r>
      <w:r>
        <w:rPr>
          <w:color w:val="auto"/>
          <w:highlight w:val="none"/>
        </w:rPr>
        <w:instrText xml:space="preserve"> PAGEREF _Toc1649 \h </w:instrText>
      </w:r>
      <w:r>
        <w:rPr>
          <w:color w:val="auto"/>
          <w:highlight w:val="none"/>
        </w:rPr>
        <w:fldChar w:fldCharType="separate"/>
      </w:r>
      <w:r>
        <w:rPr>
          <w:color w:val="auto"/>
          <w:highlight w:val="none"/>
        </w:rPr>
        <w:t>10</w:t>
      </w:r>
      <w:r>
        <w:rPr>
          <w:color w:val="auto"/>
          <w:highlight w:val="none"/>
        </w:rPr>
        <w:fldChar w:fldCharType="end"/>
      </w:r>
      <w:r>
        <w:rPr>
          <w:rFonts w:hint="eastAsia" w:hAnsi="宋体" w:cs="宋体"/>
          <w:color w:val="auto"/>
          <w:szCs w:val="24"/>
          <w:highlight w:val="none"/>
        </w:rPr>
        <w:fldChar w:fldCharType="end"/>
      </w:r>
    </w:p>
    <w:p w14:paraId="7EDD6BC9">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_Toc14234 </w:instrText>
      </w:r>
      <w:r>
        <w:rPr>
          <w:rFonts w:hint="eastAsia" w:hAnsi="宋体" w:cs="宋体"/>
          <w:color w:val="auto"/>
          <w:szCs w:val="24"/>
          <w:highlight w:val="none"/>
        </w:rPr>
        <w:fldChar w:fldCharType="separate"/>
      </w:r>
      <w:r>
        <w:rPr>
          <w:rFonts w:hint="eastAsia" w:ascii="宋体" w:hAnsi="宋体" w:cs="宋体"/>
          <w:bCs/>
          <w:snapToGrid w:val="0"/>
          <w:color w:val="auto"/>
          <w:kern w:val="0"/>
          <w:highlight w:val="none"/>
        </w:rPr>
        <w:t>3．获取招标文件</w:t>
      </w:r>
      <w:r>
        <w:rPr>
          <w:color w:val="auto"/>
          <w:highlight w:val="none"/>
        </w:rPr>
        <w:tab/>
      </w:r>
      <w:r>
        <w:rPr>
          <w:color w:val="auto"/>
          <w:highlight w:val="none"/>
        </w:rPr>
        <w:fldChar w:fldCharType="begin"/>
      </w:r>
      <w:r>
        <w:rPr>
          <w:color w:val="auto"/>
          <w:highlight w:val="none"/>
        </w:rPr>
        <w:instrText xml:space="preserve"> PAGEREF _Toc14234 \h </w:instrText>
      </w:r>
      <w:r>
        <w:rPr>
          <w:color w:val="auto"/>
          <w:highlight w:val="none"/>
        </w:rPr>
        <w:fldChar w:fldCharType="separate"/>
      </w:r>
      <w:r>
        <w:rPr>
          <w:color w:val="auto"/>
          <w:highlight w:val="none"/>
        </w:rPr>
        <w:t>12</w:t>
      </w:r>
      <w:r>
        <w:rPr>
          <w:color w:val="auto"/>
          <w:highlight w:val="none"/>
        </w:rPr>
        <w:fldChar w:fldCharType="end"/>
      </w:r>
      <w:r>
        <w:rPr>
          <w:rFonts w:hint="eastAsia" w:hAnsi="宋体" w:cs="宋体"/>
          <w:color w:val="auto"/>
          <w:szCs w:val="24"/>
          <w:highlight w:val="none"/>
        </w:rPr>
        <w:fldChar w:fldCharType="end"/>
      </w:r>
    </w:p>
    <w:p w14:paraId="3B029518">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_Toc6862 </w:instrText>
      </w:r>
      <w:r>
        <w:rPr>
          <w:rFonts w:hint="eastAsia" w:hAnsi="宋体" w:cs="宋体"/>
          <w:color w:val="auto"/>
          <w:szCs w:val="24"/>
          <w:highlight w:val="none"/>
        </w:rPr>
        <w:fldChar w:fldCharType="separate"/>
      </w:r>
      <w:r>
        <w:rPr>
          <w:rFonts w:hint="eastAsia" w:hAnsi="宋体" w:cs="宋体"/>
          <w:bCs/>
          <w:snapToGrid w:val="0"/>
          <w:color w:val="auto"/>
          <w:kern w:val="0"/>
          <w:highlight w:val="none"/>
        </w:rPr>
        <w:t>4．服务期限</w:t>
      </w:r>
      <w:r>
        <w:rPr>
          <w:color w:val="auto"/>
          <w:highlight w:val="none"/>
        </w:rPr>
        <w:tab/>
      </w:r>
      <w:r>
        <w:rPr>
          <w:color w:val="auto"/>
          <w:highlight w:val="none"/>
        </w:rPr>
        <w:fldChar w:fldCharType="begin"/>
      </w:r>
      <w:r>
        <w:rPr>
          <w:color w:val="auto"/>
          <w:highlight w:val="none"/>
        </w:rPr>
        <w:instrText xml:space="preserve"> PAGEREF _Toc6862 \h </w:instrText>
      </w:r>
      <w:r>
        <w:rPr>
          <w:color w:val="auto"/>
          <w:highlight w:val="none"/>
        </w:rPr>
        <w:fldChar w:fldCharType="separate"/>
      </w:r>
      <w:r>
        <w:rPr>
          <w:color w:val="auto"/>
          <w:highlight w:val="none"/>
        </w:rPr>
        <w:t>14</w:t>
      </w:r>
      <w:r>
        <w:rPr>
          <w:color w:val="auto"/>
          <w:highlight w:val="none"/>
        </w:rPr>
        <w:fldChar w:fldCharType="end"/>
      </w:r>
      <w:r>
        <w:rPr>
          <w:rFonts w:hint="eastAsia" w:hAnsi="宋体" w:cs="宋体"/>
          <w:color w:val="auto"/>
          <w:szCs w:val="24"/>
          <w:highlight w:val="none"/>
        </w:rPr>
        <w:fldChar w:fldCharType="end"/>
      </w:r>
    </w:p>
    <w:p w14:paraId="36EC463B">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_Toc15565 </w:instrText>
      </w:r>
      <w:r>
        <w:rPr>
          <w:rFonts w:hint="eastAsia" w:hAnsi="宋体" w:cs="宋体"/>
          <w:color w:val="auto"/>
          <w:szCs w:val="24"/>
          <w:highlight w:val="none"/>
        </w:rPr>
        <w:fldChar w:fldCharType="separate"/>
      </w:r>
      <w:r>
        <w:rPr>
          <w:rFonts w:hint="eastAsia" w:hAnsi="宋体" w:cs="宋体"/>
          <w:snapToGrid w:val="0"/>
          <w:color w:val="auto"/>
          <w:highlight w:val="none"/>
        </w:rPr>
        <w:t>5．服务标准</w:t>
      </w:r>
      <w:r>
        <w:rPr>
          <w:color w:val="auto"/>
          <w:highlight w:val="none"/>
        </w:rPr>
        <w:tab/>
      </w:r>
      <w:r>
        <w:rPr>
          <w:color w:val="auto"/>
          <w:highlight w:val="none"/>
        </w:rPr>
        <w:fldChar w:fldCharType="begin"/>
      </w:r>
      <w:r>
        <w:rPr>
          <w:color w:val="auto"/>
          <w:highlight w:val="none"/>
        </w:rPr>
        <w:instrText xml:space="preserve"> PAGEREF _Toc15565 \h </w:instrText>
      </w:r>
      <w:r>
        <w:rPr>
          <w:color w:val="auto"/>
          <w:highlight w:val="none"/>
        </w:rPr>
        <w:fldChar w:fldCharType="separate"/>
      </w:r>
      <w:r>
        <w:rPr>
          <w:color w:val="auto"/>
          <w:highlight w:val="none"/>
        </w:rPr>
        <w:t>14</w:t>
      </w:r>
      <w:r>
        <w:rPr>
          <w:color w:val="auto"/>
          <w:highlight w:val="none"/>
        </w:rPr>
        <w:fldChar w:fldCharType="end"/>
      </w:r>
      <w:r>
        <w:rPr>
          <w:rFonts w:hint="eastAsia" w:hAnsi="宋体" w:cs="宋体"/>
          <w:color w:val="auto"/>
          <w:szCs w:val="24"/>
          <w:highlight w:val="none"/>
        </w:rPr>
        <w:fldChar w:fldCharType="end"/>
      </w:r>
    </w:p>
    <w:p w14:paraId="50534992">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_Toc17907 </w:instrText>
      </w:r>
      <w:r>
        <w:rPr>
          <w:rFonts w:hint="eastAsia" w:hAnsi="宋体" w:cs="宋体"/>
          <w:color w:val="auto"/>
          <w:szCs w:val="24"/>
          <w:highlight w:val="none"/>
        </w:rPr>
        <w:fldChar w:fldCharType="separate"/>
      </w:r>
      <w:r>
        <w:rPr>
          <w:rFonts w:hint="eastAsia" w:hAnsi="宋体" w:cs="宋体"/>
          <w:snapToGrid w:val="0"/>
          <w:color w:val="auto"/>
          <w:highlight w:val="none"/>
        </w:rPr>
        <w:t>6．现场踏勘</w:t>
      </w:r>
      <w:r>
        <w:rPr>
          <w:color w:val="auto"/>
          <w:highlight w:val="none"/>
        </w:rPr>
        <w:tab/>
      </w:r>
      <w:r>
        <w:rPr>
          <w:color w:val="auto"/>
          <w:highlight w:val="none"/>
        </w:rPr>
        <w:fldChar w:fldCharType="begin"/>
      </w:r>
      <w:r>
        <w:rPr>
          <w:color w:val="auto"/>
          <w:highlight w:val="none"/>
        </w:rPr>
        <w:instrText xml:space="preserve"> PAGEREF _Toc17907 \h </w:instrText>
      </w:r>
      <w:r>
        <w:rPr>
          <w:color w:val="auto"/>
          <w:highlight w:val="none"/>
        </w:rPr>
        <w:fldChar w:fldCharType="separate"/>
      </w:r>
      <w:r>
        <w:rPr>
          <w:color w:val="auto"/>
          <w:highlight w:val="none"/>
        </w:rPr>
        <w:t>14</w:t>
      </w:r>
      <w:r>
        <w:rPr>
          <w:color w:val="auto"/>
          <w:highlight w:val="none"/>
        </w:rPr>
        <w:fldChar w:fldCharType="end"/>
      </w:r>
      <w:r>
        <w:rPr>
          <w:rFonts w:hint="eastAsia" w:hAnsi="宋体" w:cs="宋体"/>
          <w:color w:val="auto"/>
          <w:szCs w:val="24"/>
          <w:highlight w:val="none"/>
        </w:rPr>
        <w:fldChar w:fldCharType="end"/>
      </w:r>
    </w:p>
    <w:p w14:paraId="13150FE7">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_Toc7619 </w:instrText>
      </w:r>
      <w:r>
        <w:rPr>
          <w:rFonts w:hint="eastAsia" w:hAnsi="宋体" w:cs="宋体"/>
          <w:color w:val="auto"/>
          <w:szCs w:val="24"/>
          <w:highlight w:val="none"/>
        </w:rPr>
        <w:fldChar w:fldCharType="separate"/>
      </w:r>
      <w:r>
        <w:rPr>
          <w:rFonts w:hint="eastAsia" w:hAnsi="宋体" w:cs="宋体"/>
          <w:snapToGrid w:val="0"/>
          <w:color w:val="auto"/>
          <w:highlight w:val="none"/>
        </w:rPr>
        <w:t>7．招标文件的提问和答疑</w:t>
      </w:r>
      <w:r>
        <w:rPr>
          <w:color w:val="auto"/>
          <w:highlight w:val="none"/>
        </w:rPr>
        <w:tab/>
      </w:r>
      <w:r>
        <w:rPr>
          <w:color w:val="auto"/>
          <w:highlight w:val="none"/>
        </w:rPr>
        <w:fldChar w:fldCharType="begin"/>
      </w:r>
      <w:r>
        <w:rPr>
          <w:color w:val="auto"/>
          <w:highlight w:val="none"/>
        </w:rPr>
        <w:instrText xml:space="preserve"> PAGEREF _Toc7619 \h </w:instrText>
      </w:r>
      <w:r>
        <w:rPr>
          <w:color w:val="auto"/>
          <w:highlight w:val="none"/>
        </w:rPr>
        <w:fldChar w:fldCharType="separate"/>
      </w:r>
      <w:r>
        <w:rPr>
          <w:color w:val="auto"/>
          <w:highlight w:val="none"/>
        </w:rPr>
        <w:t>15</w:t>
      </w:r>
      <w:r>
        <w:rPr>
          <w:color w:val="auto"/>
          <w:highlight w:val="none"/>
        </w:rPr>
        <w:fldChar w:fldCharType="end"/>
      </w:r>
      <w:r>
        <w:rPr>
          <w:rFonts w:hint="eastAsia" w:hAnsi="宋体" w:cs="宋体"/>
          <w:color w:val="auto"/>
          <w:szCs w:val="24"/>
          <w:highlight w:val="none"/>
        </w:rPr>
        <w:fldChar w:fldCharType="end"/>
      </w:r>
    </w:p>
    <w:p w14:paraId="47AA9694">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_Toc4159 </w:instrText>
      </w:r>
      <w:r>
        <w:rPr>
          <w:rFonts w:hint="eastAsia" w:hAnsi="宋体" w:cs="宋体"/>
          <w:color w:val="auto"/>
          <w:szCs w:val="24"/>
          <w:highlight w:val="none"/>
        </w:rPr>
        <w:fldChar w:fldCharType="separate"/>
      </w:r>
      <w:r>
        <w:rPr>
          <w:rFonts w:hint="eastAsia" w:hAnsi="宋体" w:cs="宋体"/>
          <w:snapToGrid w:val="0"/>
          <w:color w:val="auto"/>
          <w:highlight w:val="none"/>
        </w:rPr>
        <w:t>8．最高投标限价</w:t>
      </w:r>
      <w:r>
        <w:rPr>
          <w:color w:val="auto"/>
          <w:highlight w:val="none"/>
        </w:rPr>
        <w:tab/>
      </w:r>
      <w:r>
        <w:rPr>
          <w:color w:val="auto"/>
          <w:highlight w:val="none"/>
        </w:rPr>
        <w:fldChar w:fldCharType="begin"/>
      </w:r>
      <w:r>
        <w:rPr>
          <w:color w:val="auto"/>
          <w:highlight w:val="none"/>
        </w:rPr>
        <w:instrText xml:space="preserve"> PAGEREF _Toc4159 \h </w:instrText>
      </w:r>
      <w:r>
        <w:rPr>
          <w:color w:val="auto"/>
          <w:highlight w:val="none"/>
        </w:rPr>
        <w:fldChar w:fldCharType="separate"/>
      </w:r>
      <w:r>
        <w:rPr>
          <w:color w:val="auto"/>
          <w:highlight w:val="none"/>
        </w:rPr>
        <w:t>15</w:t>
      </w:r>
      <w:r>
        <w:rPr>
          <w:color w:val="auto"/>
          <w:highlight w:val="none"/>
        </w:rPr>
        <w:fldChar w:fldCharType="end"/>
      </w:r>
      <w:r>
        <w:rPr>
          <w:rFonts w:hint="eastAsia" w:hAnsi="宋体" w:cs="宋体"/>
          <w:color w:val="auto"/>
          <w:szCs w:val="24"/>
          <w:highlight w:val="none"/>
        </w:rPr>
        <w:fldChar w:fldCharType="end"/>
      </w:r>
    </w:p>
    <w:p w14:paraId="2B714D99">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_Toc4086 </w:instrText>
      </w:r>
      <w:r>
        <w:rPr>
          <w:rFonts w:hint="eastAsia" w:hAnsi="宋体" w:cs="宋体"/>
          <w:color w:val="auto"/>
          <w:szCs w:val="24"/>
          <w:highlight w:val="none"/>
        </w:rPr>
        <w:fldChar w:fldCharType="separate"/>
      </w:r>
      <w:r>
        <w:rPr>
          <w:rFonts w:hint="eastAsia" w:hAnsi="宋体" w:cs="宋体"/>
          <w:snapToGrid w:val="0"/>
          <w:color w:val="auto"/>
          <w:highlight w:val="none"/>
        </w:rPr>
        <w:t>9．投标报价</w:t>
      </w:r>
      <w:r>
        <w:rPr>
          <w:color w:val="auto"/>
          <w:highlight w:val="none"/>
        </w:rPr>
        <w:tab/>
      </w:r>
      <w:r>
        <w:rPr>
          <w:color w:val="auto"/>
          <w:highlight w:val="none"/>
        </w:rPr>
        <w:fldChar w:fldCharType="begin"/>
      </w:r>
      <w:r>
        <w:rPr>
          <w:color w:val="auto"/>
          <w:highlight w:val="none"/>
        </w:rPr>
        <w:instrText xml:space="preserve"> PAGEREF _Toc4086 \h </w:instrText>
      </w:r>
      <w:r>
        <w:rPr>
          <w:color w:val="auto"/>
          <w:highlight w:val="none"/>
        </w:rPr>
        <w:fldChar w:fldCharType="separate"/>
      </w:r>
      <w:r>
        <w:rPr>
          <w:color w:val="auto"/>
          <w:highlight w:val="none"/>
        </w:rPr>
        <w:t>15</w:t>
      </w:r>
      <w:r>
        <w:rPr>
          <w:color w:val="auto"/>
          <w:highlight w:val="none"/>
        </w:rPr>
        <w:fldChar w:fldCharType="end"/>
      </w:r>
      <w:r>
        <w:rPr>
          <w:rFonts w:hint="eastAsia" w:hAnsi="宋体" w:cs="宋体"/>
          <w:color w:val="auto"/>
          <w:szCs w:val="24"/>
          <w:highlight w:val="none"/>
        </w:rPr>
        <w:fldChar w:fldCharType="end"/>
      </w:r>
    </w:p>
    <w:p w14:paraId="2962CCBB">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_Toc31873 </w:instrText>
      </w:r>
      <w:r>
        <w:rPr>
          <w:rFonts w:hint="eastAsia" w:hAnsi="宋体" w:cs="宋体"/>
          <w:color w:val="auto"/>
          <w:szCs w:val="24"/>
          <w:highlight w:val="none"/>
        </w:rPr>
        <w:fldChar w:fldCharType="separate"/>
      </w:r>
      <w:r>
        <w:rPr>
          <w:rFonts w:hint="eastAsia" w:hAnsi="宋体" w:cs="宋体"/>
          <w:snapToGrid w:val="0"/>
          <w:color w:val="auto"/>
          <w:szCs w:val="24"/>
          <w:highlight w:val="none"/>
        </w:rPr>
        <w:t>10．投标文件的编制要求</w:t>
      </w:r>
      <w:r>
        <w:rPr>
          <w:color w:val="auto"/>
          <w:highlight w:val="none"/>
        </w:rPr>
        <w:tab/>
      </w:r>
      <w:r>
        <w:rPr>
          <w:color w:val="auto"/>
          <w:highlight w:val="none"/>
        </w:rPr>
        <w:fldChar w:fldCharType="begin"/>
      </w:r>
      <w:r>
        <w:rPr>
          <w:color w:val="auto"/>
          <w:highlight w:val="none"/>
        </w:rPr>
        <w:instrText xml:space="preserve"> PAGEREF _Toc31873 \h </w:instrText>
      </w:r>
      <w:r>
        <w:rPr>
          <w:color w:val="auto"/>
          <w:highlight w:val="none"/>
        </w:rPr>
        <w:fldChar w:fldCharType="separate"/>
      </w:r>
      <w:r>
        <w:rPr>
          <w:color w:val="auto"/>
          <w:highlight w:val="none"/>
        </w:rPr>
        <w:t>16</w:t>
      </w:r>
      <w:r>
        <w:rPr>
          <w:color w:val="auto"/>
          <w:highlight w:val="none"/>
        </w:rPr>
        <w:fldChar w:fldCharType="end"/>
      </w:r>
      <w:r>
        <w:rPr>
          <w:rFonts w:hint="eastAsia" w:hAnsi="宋体" w:cs="宋体"/>
          <w:color w:val="auto"/>
          <w:szCs w:val="24"/>
          <w:highlight w:val="none"/>
        </w:rPr>
        <w:fldChar w:fldCharType="end"/>
      </w:r>
    </w:p>
    <w:p w14:paraId="2084D90E">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_Toc24639 </w:instrText>
      </w:r>
      <w:r>
        <w:rPr>
          <w:rFonts w:hint="eastAsia" w:hAnsi="宋体" w:cs="宋体"/>
          <w:color w:val="auto"/>
          <w:szCs w:val="24"/>
          <w:highlight w:val="none"/>
        </w:rPr>
        <w:fldChar w:fldCharType="separate"/>
      </w:r>
      <w:r>
        <w:rPr>
          <w:rFonts w:hint="eastAsia" w:hAnsi="宋体" w:cs="宋体"/>
          <w:snapToGrid w:val="0"/>
          <w:color w:val="auto"/>
          <w:szCs w:val="24"/>
          <w:highlight w:val="none"/>
        </w:rPr>
        <w:t>11．电子投标</w:t>
      </w:r>
      <w:r>
        <w:rPr>
          <w:color w:val="auto"/>
          <w:highlight w:val="none"/>
        </w:rPr>
        <w:tab/>
      </w:r>
      <w:r>
        <w:rPr>
          <w:color w:val="auto"/>
          <w:highlight w:val="none"/>
        </w:rPr>
        <w:fldChar w:fldCharType="begin"/>
      </w:r>
      <w:r>
        <w:rPr>
          <w:color w:val="auto"/>
          <w:highlight w:val="none"/>
        </w:rPr>
        <w:instrText xml:space="preserve"> PAGEREF _Toc24639 \h </w:instrText>
      </w:r>
      <w:r>
        <w:rPr>
          <w:color w:val="auto"/>
          <w:highlight w:val="none"/>
        </w:rPr>
        <w:fldChar w:fldCharType="separate"/>
      </w:r>
      <w:r>
        <w:rPr>
          <w:color w:val="auto"/>
          <w:highlight w:val="none"/>
        </w:rPr>
        <w:t>19</w:t>
      </w:r>
      <w:r>
        <w:rPr>
          <w:color w:val="auto"/>
          <w:highlight w:val="none"/>
        </w:rPr>
        <w:fldChar w:fldCharType="end"/>
      </w:r>
      <w:r>
        <w:rPr>
          <w:rFonts w:hint="eastAsia" w:hAnsi="宋体" w:cs="宋体"/>
          <w:color w:val="auto"/>
          <w:szCs w:val="24"/>
          <w:highlight w:val="none"/>
        </w:rPr>
        <w:fldChar w:fldCharType="end"/>
      </w:r>
    </w:p>
    <w:p w14:paraId="082B4234">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_Toc13209 </w:instrText>
      </w:r>
      <w:r>
        <w:rPr>
          <w:rFonts w:hint="eastAsia" w:hAnsi="宋体" w:cs="宋体"/>
          <w:color w:val="auto"/>
          <w:szCs w:val="24"/>
          <w:highlight w:val="none"/>
        </w:rPr>
        <w:fldChar w:fldCharType="separate"/>
      </w:r>
      <w:r>
        <w:rPr>
          <w:rFonts w:hint="eastAsia" w:hAnsi="宋体" w:cs="宋体"/>
          <w:snapToGrid w:val="0"/>
          <w:color w:val="auto"/>
          <w:szCs w:val="24"/>
          <w:highlight w:val="none"/>
        </w:rPr>
        <w:t>12. 投标文件的提交</w:t>
      </w:r>
      <w:r>
        <w:rPr>
          <w:color w:val="auto"/>
          <w:highlight w:val="none"/>
        </w:rPr>
        <w:tab/>
      </w:r>
      <w:r>
        <w:rPr>
          <w:color w:val="auto"/>
          <w:highlight w:val="none"/>
        </w:rPr>
        <w:fldChar w:fldCharType="begin"/>
      </w:r>
      <w:r>
        <w:rPr>
          <w:color w:val="auto"/>
          <w:highlight w:val="none"/>
        </w:rPr>
        <w:instrText xml:space="preserve"> PAGEREF _Toc13209 \h </w:instrText>
      </w:r>
      <w:r>
        <w:rPr>
          <w:color w:val="auto"/>
          <w:highlight w:val="none"/>
        </w:rPr>
        <w:fldChar w:fldCharType="separate"/>
      </w:r>
      <w:r>
        <w:rPr>
          <w:color w:val="auto"/>
          <w:highlight w:val="none"/>
        </w:rPr>
        <w:t>20</w:t>
      </w:r>
      <w:r>
        <w:rPr>
          <w:color w:val="auto"/>
          <w:highlight w:val="none"/>
        </w:rPr>
        <w:fldChar w:fldCharType="end"/>
      </w:r>
      <w:r>
        <w:rPr>
          <w:rFonts w:hint="eastAsia" w:hAnsi="宋体" w:cs="宋体"/>
          <w:color w:val="auto"/>
          <w:szCs w:val="24"/>
          <w:highlight w:val="none"/>
        </w:rPr>
        <w:fldChar w:fldCharType="end"/>
      </w:r>
    </w:p>
    <w:p w14:paraId="7F86AD0B">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_Toc3521 </w:instrText>
      </w:r>
      <w:r>
        <w:rPr>
          <w:rFonts w:hint="eastAsia" w:hAnsi="宋体" w:cs="宋体"/>
          <w:color w:val="auto"/>
          <w:szCs w:val="24"/>
          <w:highlight w:val="none"/>
        </w:rPr>
        <w:fldChar w:fldCharType="separate"/>
      </w:r>
      <w:r>
        <w:rPr>
          <w:rFonts w:hint="eastAsia" w:hAnsi="宋体" w:cs="宋体"/>
          <w:snapToGrid w:val="0"/>
          <w:color w:val="auto"/>
          <w:kern w:val="0"/>
          <w:szCs w:val="24"/>
          <w:highlight w:val="none"/>
        </w:rPr>
        <w:t>13．投标有效期</w:t>
      </w:r>
      <w:r>
        <w:rPr>
          <w:color w:val="auto"/>
          <w:highlight w:val="none"/>
        </w:rPr>
        <w:tab/>
      </w:r>
      <w:r>
        <w:rPr>
          <w:color w:val="auto"/>
          <w:highlight w:val="none"/>
        </w:rPr>
        <w:fldChar w:fldCharType="begin"/>
      </w:r>
      <w:r>
        <w:rPr>
          <w:color w:val="auto"/>
          <w:highlight w:val="none"/>
        </w:rPr>
        <w:instrText xml:space="preserve"> PAGEREF _Toc3521 \h </w:instrText>
      </w:r>
      <w:r>
        <w:rPr>
          <w:color w:val="auto"/>
          <w:highlight w:val="none"/>
        </w:rPr>
        <w:fldChar w:fldCharType="separate"/>
      </w:r>
      <w:r>
        <w:rPr>
          <w:color w:val="auto"/>
          <w:highlight w:val="none"/>
        </w:rPr>
        <w:t>20</w:t>
      </w:r>
      <w:r>
        <w:rPr>
          <w:color w:val="auto"/>
          <w:highlight w:val="none"/>
        </w:rPr>
        <w:fldChar w:fldCharType="end"/>
      </w:r>
      <w:r>
        <w:rPr>
          <w:rFonts w:hint="eastAsia" w:hAnsi="宋体" w:cs="宋体"/>
          <w:color w:val="auto"/>
          <w:szCs w:val="24"/>
          <w:highlight w:val="none"/>
        </w:rPr>
        <w:fldChar w:fldCharType="end"/>
      </w:r>
    </w:p>
    <w:p w14:paraId="56C01C22">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_Toc21206 </w:instrText>
      </w:r>
      <w:r>
        <w:rPr>
          <w:rFonts w:hint="eastAsia" w:hAnsi="宋体" w:cs="宋体"/>
          <w:color w:val="auto"/>
          <w:szCs w:val="24"/>
          <w:highlight w:val="none"/>
        </w:rPr>
        <w:fldChar w:fldCharType="separate"/>
      </w:r>
      <w:r>
        <w:rPr>
          <w:rFonts w:hint="eastAsia" w:hAnsi="宋体" w:cs="宋体"/>
          <w:snapToGrid w:val="0"/>
          <w:color w:val="auto"/>
          <w:kern w:val="0"/>
          <w:szCs w:val="24"/>
          <w:highlight w:val="none"/>
        </w:rPr>
        <w:t>14．开标</w:t>
      </w:r>
      <w:r>
        <w:rPr>
          <w:color w:val="auto"/>
          <w:highlight w:val="none"/>
        </w:rPr>
        <w:tab/>
      </w:r>
      <w:r>
        <w:rPr>
          <w:color w:val="auto"/>
          <w:highlight w:val="none"/>
        </w:rPr>
        <w:fldChar w:fldCharType="begin"/>
      </w:r>
      <w:r>
        <w:rPr>
          <w:color w:val="auto"/>
          <w:highlight w:val="none"/>
        </w:rPr>
        <w:instrText xml:space="preserve"> PAGEREF _Toc21206 \h </w:instrText>
      </w:r>
      <w:r>
        <w:rPr>
          <w:color w:val="auto"/>
          <w:highlight w:val="none"/>
        </w:rPr>
        <w:fldChar w:fldCharType="separate"/>
      </w:r>
      <w:r>
        <w:rPr>
          <w:color w:val="auto"/>
          <w:highlight w:val="none"/>
        </w:rPr>
        <w:t>20</w:t>
      </w:r>
      <w:r>
        <w:rPr>
          <w:color w:val="auto"/>
          <w:highlight w:val="none"/>
        </w:rPr>
        <w:fldChar w:fldCharType="end"/>
      </w:r>
      <w:r>
        <w:rPr>
          <w:rFonts w:hint="eastAsia" w:hAnsi="宋体" w:cs="宋体"/>
          <w:color w:val="auto"/>
          <w:szCs w:val="24"/>
          <w:highlight w:val="none"/>
        </w:rPr>
        <w:fldChar w:fldCharType="end"/>
      </w:r>
    </w:p>
    <w:p w14:paraId="213D562C">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_Toc22622 </w:instrText>
      </w:r>
      <w:r>
        <w:rPr>
          <w:rFonts w:hint="eastAsia" w:hAnsi="宋体" w:cs="宋体"/>
          <w:color w:val="auto"/>
          <w:szCs w:val="24"/>
          <w:highlight w:val="none"/>
        </w:rPr>
        <w:fldChar w:fldCharType="separate"/>
      </w:r>
      <w:r>
        <w:rPr>
          <w:rFonts w:hint="eastAsia" w:hAnsi="宋体" w:cs="宋体"/>
          <w:snapToGrid w:val="0"/>
          <w:color w:val="auto"/>
          <w:kern w:val="0"/>
          <w:highlight w:val="none"/>
        </w:rPr>
        <w:t>15．评标</w:t>
      </w:r>
      <w:r>
        <w:rPr>
          <w:color w:val="auto"/>
          <w:highlight w:val="none"/>
        </w:rPr>
        <w:tab/>
      </w:r>
      <w:r>
        <w:rPr>
          <w:color w:val="auto"/>
          <w:highlight w:val="none"/>
        </w:rPr>
        <w:fldChar w:fldCharType="begin"/>
      </w:r>
      <w:r>
        <w:rPr>
          <w:color w:val="auto"/>
          <w:highlight w:val="none"/>
        </w:rPr>
        <w:instrText xml:space="preserve"> PAGEREF _Toc22622 \h </w:instrText>
      </w:r>
      <w:r>
        <w:rPr>
          <w:color w:val="auto"/>
          <w:highlight w:val="none"/>
        </w:rPr>
        <w:fldChar w:fldCharType="separate"/>
      </w:r>
      <w:r>
        <w:rPr>
          <w:color w:val="auto"/>
          <w:highlight w:val="none"/>
        </w:rPr>
        <w:t>22</w:t>
      </w:r>
      <w:r>
        <w:rPr>
          <w:color w:val="auto"/>
          <w:highlight w:val="none"/>
        </w:rPr>
        <w:fldChar w:fldCharType="end"/>
      </w:r>
      <w:r>
        <w:rPr>
          <w:rFonts w:hint="eastAsia" w:hAnsi="宋体" w:cs="宋体"/>
          <w:color w:val="auto"/>
          <w:szCs w:val="24"/>
          <w:highlight w:val="none"/>
        </w:rPr>
        <w:fldChar w:fldCharType="end"/>
      </w:r>
    </w:p>
    <w:p w14:paraId="6C04E15D">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_Toc6939 </w:instrText>
      </w:r>
      <w:r>
        <w:rPr>
          <w:rFonts w:hint="eastAsia" w:hAnsi="宋体" w:cs="宋体"/>
          <w:color w:val="auto"/>
          <w:szCs w:val="24"/>
          <w:highlight w:val="none"/>
        </w:rPr>
        <w:fldChar w:fldCharType="separate"/>
      </w:r>
      <w:r>
        <w:rPr>
          <w:rFonts w:hint="eastAsia" w:ascii="宋体" w:hAnsi="宋体" w:eastAsia="宋体" w:cs="宋体"/>
          <w:bCs/>
          <w:color w:val="auto"/>
          <w:szCs w:val="22"/>
          <w:highlight w:val="none"/>
        </w:rPr>
        <w:t>表1 综合评分表</w:t>
      </w:r>
      <w:r>
        <w:rPr>
          <w:color w:val="auto"/>
          <w:highlight w:val="none"/>
        </w:rPr>
        <w:tab/>
      </w:r>
      <w:r>
        <w:rPr>
          <w:color w:val="auto"/>
          <w:highlight w:val="none"/>
        </w:rPr>
        <w:fldChar w:fldCharType="begin"/>
      </w:r>
      <w:r>
        <w:rPr>
          <w:color w:val="auto"/>
          <w:highlight w:val="none"/>
        </w:rPr>
        <w:instrText xml:space="preserve"> PAGEREF _Toc6939 \h </w:instrText>
      </w:r>
      <w:r>
        <w:rPr>
          <w:color w:val="auto"/>
          <w:highlight w:val="none"/>
        </w:rPr>
        <w:fldChar w:fldCharType="separate"/>
      </w:r>
      <w:r>
        <w:rPr>
          <w:color w:val="auto"/>
          <w:highlight w:val="none"/>
        </w:rPr>
        <w:t>26</w:t>
      </w:r>
      <w:r>
        <w:rPr>
          <w:color w:val="auto"/>
          <w:highlight w:val="none"/>
        </w:rPr>
        <w:fldChar w:fldCharType="end"/>
      </w:r>
      <w:r>
        <w:rPr>
          <w:rFonts w:hint="eastAsia" w:hAnsi="宋体" w:cs="宋体"/>
          <w:color w:val="auto"/>
          <w:szCs w:val="24"/>
          <w:highlight w:val="none"/>
        </w:rPr>
        <w:fldChar w:fldCharType="end"/>
      </w:r>
    </w:p>
    <w:p w14:paraId="53DB6FAB">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_Toc9172 </w:instrText>
      </w:r>
      <w:r>
        <w:rPr>
          <w:rFonts w:hint="eastAsia" w:hAnsi="宋体" w:cs="宋体"/>
          <w:color w:val="auto"/>
          <w:szCs w:val="24"/>
          <w:highlight w:val="none"/>
        </w:rPr>
        <w:fldChar w:fldCharType="separate"/>
      </w:r>
      <w:r>
        <w:rPr>
          <w:rFonts w:hint="eastAsia" w:hAnsi="宋体" w:cs="宋体"/>
          <w:snapToGrid w:val="0"/>
          <w:color w:val="auto"/>
          <w:kern w:val="0"/>
          <w:szCs w:val="24"/>
          <w:highlight w:val="none"/>
        </w:rPr>
        <w:t>16．推荐</w:t>
      </w:r>
      <w:r>
        <w:rPr>
          <w:rFonts w:hint="eastAsia" w:hAnsi="宋体" w:cs="宋体"/>
          <w:snapToGrid w:val="0"/>
          <w:color w:val="auto"/>
          <w:kern w:val="0"/>
          <w:szCs w:val="24"/>
          <w:highlight w:val="none"/>
          <w:lang w:val="en-US" w:eastAsia="zh-CN"/>
        </w:rPr>
        <w:t>定标</w:t>
      </w:r>
      <w:r>
        <w:rPr>
          <w:rFonts w:hint="eastAsia" w:hAnsi="宋体" w:cs="宋体"/>
          <w:snapToGrid w:val="0"/>
          <w:color w:val="auto"/>
          <w:kern w:val="0"/>
          <w:szCs w:val="24"/>
          <w:highlight w:val="none"/>
        </w:rPr>
        <w:t>候选人</w:t>
      </w:r>
      <w:r>
        <w:rPr>
          <w:color w:val="auto"/>
          <w:highlight w:val="none"/>
        </w:rPr>
        <w:tab/>
      </w:r>
      <w:r>
        <w:rPr>
          <w:color w:val="auto"/>
          <w:highlight w:val="none"/>
        </w:rPr>
        <w:fldChar w:fldCharType="begin"/>
      </w:r>
      <w:r>
        <w:rPr>
          <w:color w:val="auto"/>
          <w:highlight w:val="none"/>
        </w:rPr>
        <w:instrText xml:space="preserve"> PAGEREF _Toc9172 \h </w:instrText>
      </w:r>
      <w:r>
        <w:rPr>
          <w:color w:val="auto"/>
          <w:highlight w:val="none"/>
        </w:rPr>
        <w:fldChar w:fldCharType="separate"/>
      </w:r>
      <w:r>
        <w:rPr>
          <w:color w:val="auto"/>
          <w:highlight w:val="none"/>
        </w:rPr>
        <w:t>31</w:t>
      </w:r>
      <w:r>
        <w:rPr>
          <w:color w:val="auto"/>
          <w:highlight w:val="none"/>
        </w:rPr>
        <w:fldChar w:fldCharType="end"/>
      </w:r>
      <w:r>
        <w:rPr>
          <w:rFonts w:hint="eastAsia" w:hAnsi="宋体" w:cs="宋体"/>
          <w:color w:val="auto"/>
          <w:szCs w:val="24"/>
          <w:highlight w:val="none"/>
        </w:rPr>
        <w:fldChar w:fldCharType="end"/>
      </w:r>
    </w:p>
    <w:p w14:paraId="60D10E82">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_Toc30223 </w:instrText>
      </w:r>
      <w:r>
        <w:rPr>
          <w:rFonts w:hint="eastAsia" w:hAnsi="宋体" w:cs="宋体"/>
          <w:color w:val="auto"/>
          <w:szCs w:val="24"/>
          <w:highlight w:val="none"/>
        </w:rPr>
        <w:fldChar w:fldCharType="separate"/>
      </w:r>
      <w:r>
        <w:rPr>
          <w:rFonts w:hint="eastAsia" w:hAnsi="宋体" w:cs="宋体"/>
          <w:snapToGrid w:val="0"/>
          <w:color w:val="auto"/>
          <w:kern w:val="0"/>
          <w:szCs w:val="24"/>
          <w:highlight w:val="none"/>
        </w:rPr>
        <w:t>17．评标结果公示</w:t>
      </w:r>
      <w:r>
        <w:rPr>
          <w:color w:val="auto"/>
          <w:highlight w:val="none"/>
        </w:rPr>
        <w:tab/>
      </w:r>
      <w:r>
        <w:rPr>
          <w:color w:val="auto"/>
          <w:highlight w:val="none"/>
        </w:rPr>
        <w:fldChar w:fldCharType="begin"/>
      </w:r>
      <w:r>
        <w:rPr>
          <w:color w:val="auto"/>
          <w:highlight w:val="none"/>
        </w:rPr>
        <w:instrText xml:space="preserve"> PAGEREF _Toc30223 \h </w:instrText>
      </w:r>
      <w:r>
        <w:rPr>
          <w:color w:val="auto"/>
          <w:highlight w:val="none"/>
        </w:rPr>
        <w:fldChar w:fldCharType="separate"/>
      </w:r>
      <w:r>
        <w:rPr>
          <w:color w:val="auto"/>
          <w:highlight w:val="none"/>
        </w:rPr>
        <w:t>31</w:t>
      </w:r>
      <w:r>
        <w:rPr>
          <w:color w:val="auto"/>
          <w:highlight w:val="none"/>
        </w:rPr>
        <w:fldChar w:fldCharType="end"/>
      </w:r>
      <w:r>
        <w:rPr>
          <w:rFonts w:hint="eastAsia" w:hAnsi="宋体" w:cs="宋体"/>
          <w:color w:val="auto"/>
          <w:szCs w:val="24"/>
          <w:highlight w:val="none"/>
        </w:rPr>
        <w:fldChar w:fldCharType="end"/>
      </w:r>
    </w:p>
    <w:p w14:paraId="5C6A6274">
      <w:pPr>
        <w:pStyle w:val="24"/>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_Toc23707 </w:instrText>
      </w:r>
      <w:r>
        <w:rPr>
          <w:rFonts w:hint="eastAsia" w:hAnsi="宋体" w:cs="宋体"/>
          <w:color w:val="auto"/>
          <w:szCs w:val="24"/>
          <w:highlight w:val="none"/>
        </w:rPr>
        <w:fldChar w:fldCharType="separate"/>
      </w:r>
      <w:r>
        <w:rPr>
          <w:rFonts w:hint="eastAsia" w:hAnsi="宋体" w:cs="宋体"/>
          <w:bCs/>
          <w:snapToGrid w:val="0"/>
          <w:color w:val="auto"/>
          <w:kern w:val="0"/>
          <w:highlight w:val="none"/>
        </w:rPr>
        <w:t>第四节 否决投标条件</w:t>
      </w:r>
      <w:r>
        <w:rPr>
          <w:color w:val="auto"/>
          <w:highlight w:val="none"/>
        </w:rPr>
        <w:tab/>
      </w:r>
      <w:r>
        <w:rPr>
          <w:color w:val="auto"/>
          <w:highlight w:val="none"/>
        </w:rPr>
        <w:fldChar w:fldCharType="begin"/>
      </w:r>
      <w:r>
        <w:rPr>
          <w:color w:val="auto"/>
          <w:highlight w:val="none"/>
        </w:rPr>
        <w:instrText xml:space="preserve"> PAGEREF _Toc23707 \h </w:instrText>
      </w:r>
      <w:r>
        <w:rPr>
          <w:color w:val="auto"/>
          <w:highlight w:val="none"/>
        </w:rPr>
        <w:fldChar w:fldCharType="separate"/>
      </w:r>
      <w:r>
        <w:rPr>
          <w:color w:val="auto"/>
          <w:highlight w:val="none"/>
        </w:rPr>
        <w:t>33</w:t>
      </w:r>
      <w:r>
        <w:rPr>
          <w:color w:val="auto"/>
          <w:highlight w:val="none"/>
        </w:rPr>
        <w:fldChar w:fldCharType="end"/>
      </w:r>
      <w:r>
        <w:rPr>
          <w:rFonts w:hint="eastAsia" w:hAnsi="宋体" w:cs="宋体"/>
          <w:color w:val="auto"/>
          <w:szCs w:val="24"/>
          <w:highlight w:val="none"/>
        </w:rPr>
        <w:fldChar w:fldCharType="end"/>
      </w:r>
    </w:p>
    <w:p w14:paraId="1DF450CC">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_Toc27116 </w:instrText>
      </w:r>
      <w:r>
        <w:rPr>
          <w:rFonts w:hint="eastAsia" w:hAnsi="宋体" w:cs="宋体"/>
          <w:color w:val="auto"/>
          <w:szCs w:val="24"/>
          <w:highlight w:val="none"/>
        </w:rPr>
        <w:fldChar w:fldCharType="separate"/>
      </w:r>
      <w:r>
        <w:rPr>
          <w:rFonts w:hint="eastAsia" w:hAnsi="宋体" w:cs="宋体"/>
          <w:bCs/>
          <w:snapToGrid w:val="0"/>
          <w:color w:val="auto"/>
          <w:kern w:val="0"/>
          <w:highlight w:val="none"/>
        </w:rPr>
        <w:t>1．资格评审环节</w:t>
      </w:r>
      <w:r>
        <w:rPr>
          <w:color w:val="auto"/>
          <w:highlight w:val="none"/>
        </w:rPr>
        <w:tab/>
      </w:r>
      <w:r>
        <w:rPr>
          <w:color w:val="auto"/>
          <w:highlight w:val="none"/>
        </w:rPr>
        <w:fldChar w:fldCharType="begin"/>
      </w:r>
      <w:r>
        <w:rPr>
          <w:color w:val="auto"/>
          <w:highlight w:val="none"/>
        </w:rPr>
        <w:instrText xml:space="preserve"> PAGEREF _Toc27116 \h </w:instrText>
      </w:r>
      <w:r>
        <w:rPr>
          <w:color w:val="auto"/>
          <w:highlight w:val="none"/>
        </w:rPr>
        <w:fldChar w:fldCharType="separate"/>
      </w:r>
      <w:r>
        <w:rPr>
          <w:color w:val="auto"/>
          <w:highlight w:val="none"/>
        </w:rPr>
        <w:t>33</w:t>
      </w:r>
      <w:r>
        <w:rPr>
          <w:color w:val="auto"/>
          <w:highlight w:val="none"/>
        </w:rPr>
        <w:fldChar w:fldCharType="end"/>
      </w:r>
      <w:r>
        <w:rPr>
          <w:rFonts w:hint="eastAsia" w:hAnsi="宋体" w:cs="宋体"/>
          <w:color w:val="auto"/>
          <w:szCs w:val="24"/>
          <w:highlight w:val="none"/>
        </w:rPr>
        <w:fldChar w:fldCharType="end"/>
      </w:r>
    </w:p>
    <w:p w14:paraId="3CE65E75">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_Toc13579 </w:instrText>
      </w:r>
      <w:r>
        <w:rPr>
          <w:rFonts w:hint="eastAsia" w:hAnsi="宋体" w:cs="宋体"/>
          <w:color w:val="auto"/>
          <w:szCs w:val="24"/>
          <w:highlight w:val="none"/>
        </w:rPr>
        <w:fldChar w:fldCharType="separate"/>
      </w:r>
      <w:r>
        <w:rPr>
          <w:rFonts w:hint="eastAsia" w:hAnsi="宋体" w:cs="宋体"/>
          <w:bCs/>
          <w:snapToGrid w:val="0"/>
          <w:color w:val="auto"/>
          <w:kern w:val="0"/>
          <w:highlight w:val="none"/>
        </w:rPr>
        <w:t>2．形式评审环节</w:t>
      </w:r>
      <w:r>
        <w:rPr>
          <w:color w:val="auto"/>
          <w:highlight w:val="none"/>
        </w:rPr>
        <w:tab/>
      </w:r>
      <w:r>
        <w:rPr>
          <w:color w:val="auto"/>
          <w:highlight w:val="none"/>
        </w:rPr>
        <w:fldChar w:fldCharType="begin"/>
      </w:r>
      <w:r>
        <w:rPr>
          <w:color w:val="auto"/>
          <w:highlight w:val="none"/>
        </w:rPr>
        <w:instrText xml:space="preserve"> PAGEREF _Toc13579 \h </w:instrText>
      </w:r>
      <w:r>
        <w:rPr>
          <w:color w:val="auto"/>
          <w:highlight w:val="none"/>
        </w:rPr>
        <w:fldChar w:fldCharType="separate"/>
      </w:r>
      <w:r>
        <w:rPr>
          <w:color w:val="auto"/>
          <w:highlight w:val="none"/>
        </w:rPr>
        <w:t>34</w:t>
      </w:r>
      <w:r>
        <w:rPr>
          <w:color w:val="auto"/>
          <w:highlight w:val="none"/>
        </w:rPr>
        <w:fldChar w:fldCharType="end"/>
      </w:r>
      <w:r>
        <w:rPr>
          <w:rFonts w:hint="eastAsia" w:hAnsi="宋体" w:cs="宋体"/>
          <w:color w:val="auto"/>
          <w:szCs w:val="24"/>
          <w:highlight w:val="none"/>
        </w:rPr>
        <w:fldChar w:fldCharType="end"/>
      </w:r>
    </w:p>
    <w:p w14:paraId="07F0D63A">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_Toc6314 </w:instrText>
      </w:r>
      <w:r>
        <w:rPr>
          <w:rFonts w:hint="eastAsia" w:hAnsi="宋体" w:cs="宋体"/>
          <w:color w:val="auto"/>
          <w:szCs w:val="24"/>
          <w:highlight w:val="none"/>
        </w:rPr>
        <w:fldChar w:fldCharType="separate"/>
      </w:r>
      <w:r>
        <w:rPr>
          <w:rFonts w:hint="eastAsia" w:hAnsi="宋体" w:cs="宋体"/>
          <w:bCs/>
          <w:snapToGrid w:val="0"/>
          <w:color w:val="auto"/>
          <w:kern w:val="0"/>
          <w:highlight w:val="none"/>
        </w:rPr>
        <w:t>3．响应性评审环节</w:t>
      </w:r>
      <w:r>
        <w:rPr>
          <w:color w:val="auto"/>
          <w:highlight w:val="none"/>
        </w:rPr>
        <w:tab/>
      </w:r>
      <w:r>
        <w:rPr>
          <w:color w:val="auto"/>
          <w:highlight w:val="none"/>
        </w:rPr>
        <w:fldChar w:fldCharType="begin"/>
      </w:r>
      <w:r>
        <w:rPr>
          <w:color w:val="auto"/>
          <w:highlight w:val="none"/>
        </w:rPr>
        <w:instrText xml:space="preserve"> PAGEREF _Toc6314 \h </w:instrText>
      </w:r>
      <w:r>
        <w:rPr>
          <w:color w:val="auto"/>
          <w:highlight w:val="none"/>
        </w:rPr>
        <w:fldChar w:fldCharType="separate"/>
      </w:r>
      <w:r>
        <w:rPr>
          <w:color w:val="auto"/>
          <w:highlight w:val="none"/>
        </w:rPr>
        <w:t>34</w:t>
      </w:r>
      <w:r>
        <w:rPr>
          <w:color w:val="auto"/>
          <w:highlight w:val="none"/>
        </w:rPr>
        <w:fldChar w:fldCharType="end"/>
      </w:r>
      <w:r>
        <w:rPr>
          <w:rFonts w:hint="eastAsia" w:hAnsi="宋体" w:cs="宋体"/>
          <w:color w:val="auto"/>
          <w:szCs w:val="24"/>
          <w:highlight w:val="none"/>
        </w:rPr>
        <w:fldChar w:fldCharType="end"/>
      </w:r>
    </w:p>
    <w:p w14:paraId="76B57461">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_Toc1100 </w:instrText>
      </w:r>
      <w:r>
        <w:rPr>
          <w:rFonts w:hint="eastAsia" w:hAnsi="宋体" w:cs="宋体"/>
          <w:color w:val="auto"/>
          <w:szCs w:val="24"/>
          <w:highlight w:val="none"/>
        </w:rPr>
        <w:fldChar w:fldCharType="separate"/>
      </w:r>
      <w:r>
        <w:rPr>
          <w:rFonts w:hint="eastAsia" w:hAnsi="宋体" w:cs="宋体"/>
          <w:bCs/>
          <w:snapToGrid w:val="0"/>
          <w:color w:val="auto"/>
          <w:kern w:val="0"/>
          <w:highlight w:val="none"/>
        </w:rPr>
        <w:t>4．其他</w:t>
      </w:r>
      <w:r>
        <w:rPr>
          <w:color w:val="auto"/>
          <w:highlight w:val="none"/>
        </w:rPr>
        <w:tab/>
      </w:r>
      <w:r>
        <w:rPr>
          <w:color w:val="auto"/>
          <w:highlight w:val="none"/>
        </w:rPr>
        <w:fldChar w:fldCharType="begin"/>
      </w:r>
      <w:r>
        <w:rPr>
          <w:color w:val="auto"/>
          <w:highlight w:val="none"/>
        </w:rPr>
        <w:instrText xml:space="preserve"> PAGEREF _Toc1100 \h </w:instrText>
      </w:r>
      <w:r>
        <w:rPr>
          <w:color w:val="auto"/>
          <w:highlight w:val="none"/>
        </w:rPr>
        <w:fldChar w:fldCharType="separate"/>
      </w:r>
      <w:r>
        <w:rPr>
          <w:color w:val="auto"/>
          <w:highlight w:val="none"/>
        </w:rPr>
        <w:t>34</w:t>
      </w:r>
      <w:r>
        <w:rPr>
          <w:color w:val="auto"/>
          <w:highlight w:val="none"/>
        </w:rPr>
        <w:fldChar w:fldCharType="end"/>
      </w:r>
      <w:r>
        <w:rPr>
          <w:rFonts w:hint="eastAsia" w:hAnsi="宋体" w:cs="宋体"/>
          <w:color w:val="auto"/>
          <w:szCs w:val="24"/>
          <w:highlight w:val="none"/>
        </w:rPr>
        <w:fldChar w:fldCharType="end"/>
      </w:r>
    </w:p>
    <w:p w14:paraId="0DF4C8FB">
      <w:pPr>
        <w:pStyle w:val="24"/>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_Toc3478 </w:instrText>
      </w:r>
      <w:r>
        <w:rPr>
          <w:rFonts w:hint="eastAsia" w:hAnsi="宋体" w:cs="宋体"/>
          <w:color w:val="auto"/>
          <w:szCs w:val="24"/>
          <w:highlight w:val="none"/>
        </w:rPr>
        <w:fldChar w:fldCharType="separate"/>
      </w:r>
      <w:r>
        <w:rPr>
          <w:rFonts w:hint="eastAsia" w:ascii="宋体" w:hAnsi="宋体" w:eastAsia="宋体" w:cs="宋体"/>
          <w:bCs/>
          <w:color w:val="auto"/>
          <w:highlight w:val="none"/>
          <w:lang w:val="en-US" w:eastAsia="zh-CN"/>
        </w:rPr>
        <w:t>第五节 定标规定及细则</w:t>
      </w:r>
      <w:r>
        <w:rPr>
          <w:color w:val="auto"/>
          <w:highlight w:val="none"/>
        </w:rPr>
        <w:tab/>
      </w:r>
      <w:r>
        <w:rPr>
          <w:color w:val="auto"/>
          <w:highlight w:val="none"/>
        </w:rPr>
        <w:fldChar w:fldCharType="begin"/>
      </w:r>
      <w:r>
        <w:rPr>
          <w:color w:val="auto"/>
          <w:highlight w:val="none"/>
        </w:rPr>
        <w:instrText xml:space="preserve"> PAGEREF _Toc3478 \h </w:instrText>
      </w:r>
      <w:r>
        <w:rPr>
          <w:color w:val="auto"/>
          <w:highlight w:val="none"/>
        </w:rPr>
        <w:fldChar w:fldCharType="separate"/>
      </w:r>
      <w:r>
        <w:rPr>
          <w:color w:val="auto"/>
          <w:highlight w:val="none"/>
        </w:rPr>
        <w:t>36</w:t>
      </w:r>
      <w:r>
        <w:rPr>
          <w:color w:val="auto"/>
          <w:highlight w:val="none"/>
        </w:rPr>
        <w:fldChar w:fldCharType="end"/>
      </w:r>
      <w:r>
        <w:rPr>
          <w:rFonts w:hint="eastAsia" w:hAnsi="宋体" w:cs="宋体"/>
          <w:color w:val="auto"/>
          <w:szCs w:val="24"/>
          <w:highlight w:val="none"/>
        </w:rPr>
        <w:fldChar w:fldCharType="end"/>
      </w:r>
    </w:p>
    <w:p w14:paraId="344A302F">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_Toc7706 </w:instrText>
      </w:r>
      <w:r>
        <w:rPr>
          <w:rFonts w:hint="eastAsia" w:hAnsi="宋体" w:cs="宋体"/>
          <w:color w:val="auto"/>
          <w:szCs w:val="24"/>
          <w:highlight w:val="none"/>
        </w:rPr>
        <w:fldChar w:fldCharType="separate"/>
      </w:r>
      <w:r>
        <w:rPr>
          <w:rFonts w:hint="eastAsia" w:ascii="宋体" w:hAnsi="宋体" w:eastAsia="宋体" w:cs="宋体"/>
          <w:snapToGrid w:val="0"/>
          <w:color w:val="auto"/>
          <w:highlight w:val="none"/>
          <w:lang w:val="en-US" w:eastAsia="zh-CN"/>
        </w:rPr>
        <w:t>1</w:t>
      </w:r>
      <w:r>
        <w:rPr>
          <w:rFonts w:hint="eastAsia" w:ascii="宋体" w:hAnsi="宋体" w:eastAsia="宋体" w:cs="宋体"/>
          <w:snapToGrid w:val="0"/>
          <w:color w:val="auto"/>
          <w:highlight w:val="none"/>
        </w:rPr>
        <w:t>.</w:t>
      </w:r>
      <w:r>
        <w:rPr>
          <w:rFonts w:hint="eastAsia" w:ascii="宋体" w:hAnsi="宋体" w:eastAsia="宋体" w:cs="宋体"/>
          <w:snapToGrid w:val="0"/>
          <w:color w:val="auto"/>
          <w:highlight w:val="none"/>
          <w:lang w:val="en-US" w:eastAsia="zh-CN"/>
        </w:rPr>
        <w:t>定标规定</w:t>
      </w:r>
      <w:r>
        <w:rPr>
          <w:color w:val="auto"/>
          <w:highlight w:val="none"/>
        </w:rPr>
        <w:tab/>
      </w:r>
      <w:r>
        <w:rPr>
          <w:color w:val="auto"/>
          <w:highlight w:val="none"/>
        </w:rPr>
        <w:fldChar w:fldCharType="begin"/>
      </w:r>
      <w:r>
        <w:rPr>
          <w:color w:val="auto"/>
          <w:highlight w:val="none"/>
        </w:rPr>
        <w:instrText xml:space="preserve"> PAGEREF _Toc7706 \h </w:instrText>
      </w:r>
      <w:r>
        <w:rPr>
          <w:color w:val="auto"/>
          <w:highlight w:val="none"/>
        </w:rPr>
        <w:fldChar w:fldCharType="separate"/>
      </w:r>
      <w:r>
        <w:rPr>
          <w:color w:val="auto"/>
          <w:highlight w:val="none"/>
        </w:rPr>
        <w:t>36</w:t>
      </w:r>
      <w:r>
        <w:rPr>
          <w:color w:val="auto"/>
          <w:highlight w:val="none"/>
        </w:rPr>
        <w:fldChar w:fldCharType="end"/>
      </w:r>
      <w:r>
        <w:rPr>
          <w:rFonts w:hint="eastAsia" w:hAnsi="宋体" w:cs="宋体"/>
          <w:color w:val="auto"/>
          <w:szCs w:val="24"/>
          <w:highlight w:val="none"/>
        </w:rPr>
        <w:fldChar w:fldCharType="end"/>
      </w:r>
    </w:p>
    <w:p w14:paraId="7947AF8F">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_Toc29848 </w:instrText>
      </w:r>
      <w:r>
        <w:rPr>
          <w:rFonts w:hint="eastAsia" w:hAnsi="宋体" w:cs="宋体"/>
          <w:color w:val="auto"/>
          <w:szCs w:val="24"/>
          <w:highlight w:val="none"/>
        </w:rPr>
        <w:fldChar w:fldCharType="separate"/>
      </w:r>
      <w:r>
        <w:rPr>
          <w:rFonts w:hint="eastAsia" w:ascii="宋体" w:hAnsi="宋体" w:eastAsia="宋体" w:cs="宋体"/>
          <w:snapToGrid w:val="0"/>
          <w:color w:val="auto"/>
          <w:highlight w:val="none"/>
          <w:lang w:val="en-US" w:eastAsia="zh-CN"/>
        </w:rPr>
        <w:t>2.定标细则</w:t>
      </w:r>
      <w:r>
        <w:rPr>
          <w:color w:val="auto"/>
          <w:highlight w:val="none"/>
        </w:rPr>
        <w:tab/>
      </w:r>
      <w:r>
        <w:rPr>
          <w:color w:val="auto"/>
          <w:highlight w:val="none"/>
        </w:rPr>
        <w:fldChar w:fldCharType="begin"/>
      </w:r>
      <w:r>
        <w:rPr>
          <w:color w:val="auto"/>
          <w:highlight w:val="none"/>
        </w:rPr>
        <w:instrText xml:space="preserve"> PAGEREF _Toc29848 \h </w:instrText>
      </w:r>
      <w:r>
        <w:rPr>
          <w:color w:val="auto"/>
          <w:highlight w:val="none"/>
        </w:rPr>
        <w:fldChar w:fldCharType="separate"/>
      </w:r>
      <w:r>
        <w:rPr>
          <w:color w:val="auto"/>
          <w:highlight w:val="none"/>
        </w:rPr>
        <w:t>37</w:t>
      </w:r>
      <w:r>
        <w:rPr>
          <w:color w:val="auto"/>
          <w:highlight w:val="none"/>
        </w:rPr>
        <w:fldChar w:fldCharType="end"/>
      </w:r>
      <w:r>
        <w:rPr>
          <w:rFonts w:hint="eastAsia" w:hAnsi="宋体" w:cs="宋体"/>
          <w:color w:val="auto"/>
          <w:szCs w:val="24"/>
          <w:highlight w:val="none"/>
        </w:rPr>
        <w:fldChar w:fldCharType="end"/>
      </w:r>
    </w:p>
    <w:p w14:paraId="075EF515">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_Toc29036 </w:instrText>
      </w:r>
      <w:r>
        <w:rPr>
          <w:rFonts w:hint="eastAsia" w:hAnsi="宋体" w:cs="宋体"/>
          <w:color w:val="auto"/>
          <w:szCs w:val="24"/>
          <w:highlight w:val="none"/>
        </w:rPr>
        <w:fldChar w:fldCharType="separate"/>
      </w:r>
      <w:r>
        <w:rPr>
          <w:rFonts w:hint="eastAsia" w:ascii="宋体" w:hAnsi="宋体" w:eastAsia="宋体" w:cs="宋体"/>
          <w:snapToGrid w:val="0"/>
          <w:color w:val="auto"/>
          <w:highlight w:val="none"/>
          <w:lang w:val="en-US" w:eastAsia="zh-CN"/>
        </w:rPr>
        <w:t>3.定标结果公示</w:t>
      </w:r>
      <w:r>
        <w:rPr>
          <w:color w:val="auto"/>
          <w:highlight w:val="none"/>
        </w:rPr>
        <w:tab/>
      </w:r>
      <w:r>
        <w:rPr>
          <w:color w:val="auto"/>
          <w:highlight w:val="none"/>
        </w:rPr>
        <w:fldChar w:fldCharType="begin"/>
      </w:r>
      <w:r>
        <w:rPr>
          <w:color w:val="auto"/>
          <w:highlight w:val="none"/>
        </w:rPr>
        <w:instrText xml:space="preserve"> PAGEREF _Toc29036 \h </w:instrText>
      </w:r>
      <w:r>
        <w:rPr>
          <w:color w:val="auto"/>
          <w:highlight w:val="none"/>
        </w:rPr>
        <w:fldChar w:fldCharType="separate"/>
      </w:r>
      <w:r>
        <w:rPr>
          <w:color w:val="auto"/>
          <w:highlight w:val="none"/>
        </w:rPr>
        <w:t>38</w:t>
      </w:r>
      <w:r>
        <w:rPr>
          <w:color w:val="auto"/>
          <w:highlight w:val="none"/>
        </w:rPr>
        <w:fldChar w:fldCharType="end"/>
      </w:r>
      <w:r>
        <w:rPr>
          <w:rFonts w:hint="eastAsia" w:hAnsi="宋体" w:cs="宋体"/>
          <w:color w:val="auto"/>
          <w:szCs w:val="24"/>
          <w:highlight w:val="none"/>
        </w:rPr>
        <w:fldChar w:fldCharType="end"/>
      </w:r>
    </w:p>
    <w:p w14:paraId="7888FA51">
      <w:pPr>
        <w:pStyle w:val="13"/>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_Toc28855 </w:instrText>
      </w:r>
      <w:r>
        <w:rPr>
          <w:rFonts w:hint="eastAsia" w:hAnsi="宋体" w:cs="宋体"/>
          <w:color w:val="auto"/>
          <w:szCs w:val="24"/>
          <w:highlight w:val="none"/>
        </w:rPr>
        <w:fldChar w:fldCharType="separate"/>
      </w:r>
      <w:r>
        <w:rPr>
          <w:rFonts w:hint="eastAsia" w:ascii="宋体" w:hAnsi="宋体" w:eastAsia="宋体" w:cs="宋体"/>
          <w:snapToGrid w:val="0"/>
          <w:color w:val="auto"/>
          <w:highlight w:val="none"/>
          <w:lang w:val="en-US" w:eastAsia="zh-CN"/>
        </w:rPr>
        <w:t>4.中标确认</w:t>
      </w:r>
      <w:r>
        <w:rPr>
          <w:color w:val="auto"/>
          <w:highlight w:val="none"/>
        </w:rPr>
        <w:tab/>
      </w:r>
      <w:r>
        <w:rPr>
          <w:color w:val="auto"/>
          <w:highlight w:val="none"/>
        </w:rPr>
        <w:fldChar w:fldCharType="begin"/>
      </w:r>
      <w:r>
        <w:rPr>
          <w:color w:val="auto"/>
          <w:highlight w:val="none"/>
        </w:rPr>
        <w:instrText xml:space="preserve"> PAGEREF _Toc28855 \h </w:instrText>
      </w:r>
      <w:r>
        <w:rPr>
          <w:color w:val="auto"/>
          <w:highlight w:val="none"/>
        </w:rPr>
        <w:fldChar w:fldCharType="separate"/>
      </w:r>
      <w:r>
        <w:rPr>
          <w:color w:val="auto"/>
          <w:highlight w:val="none"/>
        </w:rPr>
        <w:t>39</w:t>
      </w:r>
      <w:r>
        <w:rPr>
          <w:color w:val="auto"/>
          <w:highlight w:val="none"/>
        </w:rPr>
        <w:fldChar w:fldCharType="end"/>
      </w:r>
      <w:r>
        <w:rPr>
          <w:rFonts w:hint="eastAsia" w:hAnsi="宋体" w:cs="宋体"/>
          <w:color w:val="auto"/>
          <w:szCs w:val="24"/>
          <w:highlight w:val="none"/>
        </w:rPr>
        <w:fldChar w:fldCharType="end"/>
      </w:r>
    </w:p>
    <w:p w14:paraId="7A641855">
      <w:pPr>
        <w:pStyle w:val="20"/>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b/>
          <w:bCs/>
          <w:color w:val="auto"/>
          <w:highlight w:val="none"/>
        </w:rPr>
      </w:pPr>
      <w:r>
        <w:rPr>
          <w:rFonts w:hint="eastAsia" w:hAnsi="宋体" w:cs="宋体"/>
          <w:b/>
          <w:bCs/>
          <w:color w:val="auto"/>
          <w:szCs w:val="24"/>
          <w:highlight w:val="none"/>
        </w:rPr>
        <w:fldChar w:fldCharType="begin"/>
      </w:r>
      <w:r>
        <w:rPr>
          <w:rFonts w:hint="eastAsia" w:hAnsi="宋体" w:cs="宋体"/>
          <w:b/>
          <w:bCs/>
          <w:color w:val="auto"/>
          <w:szCs w:val="24"/>
          <w:highlight w:val="none"/>
        </w:rPr>
        <w:instrText xml:space="preserve"> HYPERLINK \l _Toc28020 </w:instrText>
      </w:r>
      <w:r>
        <w:rPr>
          <w:rFonts w:hint="eastAsia" w:hAnsi="宋体" w:cs="宋体"/>
          <w:b/>
          <w:bCs/>
          <w:color w:val="auto"/>
          <w:szCs w:val="24"/>
          <w:highlight w:val="none"/>
        </w:rPr>
        <w:fldChar w:fldCharType="separate"/>
      </w:r>
      <w:r>
        <w:rPr>
          <w:rFonts w:hint="eastAsia" w:hAnsi="宋体" w:cs="宋体"/>
          <w:b/>
          <w:bCs/>
          <w:snapToGrid w:val="0"/>
          <w:color w:val="auto"/>
          <w:szCs w:val="22"/>
          <w:highlight w:val="none"/>
        </w:rPr>
        <w:t>第二章 中标人须知</w:t>
      </w:r>
      <w:r>
        <w:rPr>
          <w:b/>
          <w:bCs/>
          <w:color w:val="auto"/>
          <w:highlight w:val="none"/>
        </w:rPr>
        <w:tab/>
      </w:r>
      <w:r>
        <w:rPr>
          <w:b/>
          <w:bCs/>
          <w:color w:val="auto"/>
          <w:highlight w:val="none"/>
        </w:rPr>
        <w:fldChar w:fldCharType="begin"/>
      </w:r>
      <w:r>
        <w:rPr>
          <w:b/>
          <w:bCs/>
          <w:color w:val="auto"/>
          <w:highlight w:val="none"/>
        </w:rPr>
        <w:instrText xml:space="preserve"> PAGEREF _Toc28020 \h </w:instrText>
      </w:r>
      <w:r>
        <w:rPr>
          <w:b/>
          <w:bCs/>
          <w:color w:val="auto"/>
          <w:highlight w:val="none"/>
        </w:rPr>
        <w:fldChar w:fldCharType="separate"/>
      </w:r>
      <w:r>
        <w:rPr>
          <w:b/>
          <w:bCs/>
          <w:color w:val="auto"/>
          <w:highlight w:val="none"/>
        </w:rPr>
        <w:t>40</w:t>
      </w:r>
      <w:r>
        <w:rPr>
          <w:b/>
          <w:bCs/>
          <w:color w:val="auto"/>
          <w:highlight w:val="none"/>
        </w:rPr>
        <w:fldChar w:fldCharType="end"/>
      </w:r>
      <w:r>
        <w:rPr>
          <w:rFonts w:hint="eastAsia" w:hAnsi="宋体" w:cs="宋体"/>
          <w:b/>
          <w:bCs/>
          <w:color w:val="auto"/>
          <w:szCs w:val="24"/>
          <w:highlight w:val="none"/>
        </w:rPr>
        <w:fldChar w:fldCharType="end"/>
      </w:r>
    </w:p>
    <w:p w14:paraId="201B05AD">
      <w:pPr>
        <w:pStyle w:val="20"/>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b/>
          <w:bCs/>
          <w:color w:val="auto"/>
          <w:highlight w:val="none"/>
        </w:rPr>
      </w:pPr>
      <w:r>
        <w:rPr>
          <w:rFonts w:hint="eastAsia" w:hAnsi="宋体" w:cs="宋体"/>
          <w:b/>
          <w:bCs/>
          <w:color w:val="auto"/>
          <w:szCs w:val="24"/>
          <w:highlight w:val="none"/>
        </w:rPr>
        <w:fldChar w:fldCharType="begin"/>
      </w:r>
      <w:r>
        <w:rPr>
          <w:rFonts w:hint="eastAsia" w:hAnsi="宋体" w:cs="宋体"/>
          <w:b/>
          <w:bCs/>
          <w:color w:val="auto"/>
          <w:szCs w:val="24"/>
          <w:highlight w:val="none"/>
        </w:rPr>
        <w:instrText xml:space="preserve"> HYPERLINK \l _Toc17424 </w:instrText>
      </w:r>
      <w:r>
        <w:rPr>
          <w:rFonts w:hint="eastAsia" w:hAnsi="宋体" w:cs="宋体"/>
          <w:b/>
          <w:bCs/>
          <w:color w:val="auto"/>
          <w:szCs w:val="24"/>
          <w:highlight w:val="none"/>
        </w:rPr>
        <w:fldChar w:fldCharType="separate"/>
      </w:r>
      <w:r>
        <w:rPr>
          <w:rFonts w:hint="eastAsia" w:hAnsi="宋体" w:cs="宋体"/>
          <w:b/>
          <w:bCs/>
          <w:snapToGrid w:val="0"/>
          <w:color w:val="auto"/>
          <w:szCs w:val="32"/>
          <w:highlight w:val="none"/>
        </w:rPr>
        <w:t>第三章 拟签订合同的主要条款</w:t>
      </w:r>
      <w:r>
        <w:rPr>
          <w:b/>
          <w:bCs/>
          <w:color w:val="auto"/>
          <w:highlight w:val="none"/>
        </w:rPr>
        <w:tab/>
      </w:r>
      <w:r>
        <w:rPr>
          <w:b/>
          <w:bCs/>
          <w:color w:val="auto"/>
          <w:highlight w:val="none"/>
        </w:rPr>
        <w:fldChar w:fldCharType="begin"/>
      </w:r>
      <w:r>
        <w:rPr>
          <w:b/>
          <w:bCs/>
          <w:color w:val="auto"/>
          <w:highlight w:val="none"/>
        </w:rPr>
        <w:instrText xml:space="preserve"> PAGEREF _Toc17424 \h </w:instrText>
      </w:r>
      <w:r>
        <w:rPr>
          <w:b/>
          <w:bCs/>
          <w:color w:val="auto"/>
          <w:highlight w:val="none"/>
        </w:rPr>
        <w:fldChar w:fldCharType="separate"/>
      </w:r>
      <w:r>
        <w:rPr>
          <w:b/>
          <w:bCs/>
          <w:color w:val="auto"/>
          <w:highlight w:val="none"/>
        </w:rPr>
        <w:t>44</w:t>
      </w:r>
      <w:r>
        <w:rPr>
          <w:b/>
          <w:bCs/>
          <w:color w:val="auto"/>
          <w:highlight w:val="none"/>
        </w:rPr>
        <w:fldChar w:fldCharType="end"/>
      </w:r>
      <w:r>
        <w:rPr>
          <w:rFonts w:hint="eastAsia" w:hAnsi="宋体" w:cs="宋体"/>
          <w:b/>
          <w:bCs/>
          <w:color w:val="auto"/>
          <w:szCs w:val="24"/>
          <w:highlight w:val="none"/>
        </w:rPr>
        <w:fldChar w:fldCharType="end"/>
      </w:r>
    </w:p>
    <w:p w14:paraId="52983563">
      <w:pPr>
        <w:pStyle w:val="20"/>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b/>
          <w:bCs/>
          <w:color w:val="auto"/>
          <w:highlight w:val="none"/>
        </w:rPr>
      </w:pPr>
      <w:r>
        <w:rPr>
          <w:rFonts w:hint="eastAsia" w:hAnsi="宋体" w:cs="宋体"/>
          <w:b/>
          <w:bCs/>
          <w:color w:val="auto"/>
          <w:szCs w:val="24"/>
          <w:highlight w:val="none"/>
        </w:rPr>
        <w:fldChar w:fldCharType="begin"/>
      </w:r>
      <w:r>
        <w:rPr>
          <w:rFonts w:hint="eastAsia" w:hAnsi="宋体" w:cs="宋体"/>
          <w:b/>
          <w:bCs/>
          <w:color w:val="auto"/>
          <w:szCs w:val="24"/>
          <w:highlight w:val="none"/>
        </w:rPr>
        <w:instrText xml:space="preserve"> HYPERLINK \l _Toc3062 </w:instrText>
      </w:r>
      <w:r>
        <w:rPr>
          <w:rFonts w:hint="eastAsia" w:hAnsi="宋体" w:cs="宋体"/>
          <w:b/>
          <w:bCs/>
          <w:color w:val="auto"/>
          <w:szCs w:val="24"/>
          <w:highlight w:val="none"/>
        </w:rPr>
        <w:fldChar w:fldCharType="separate"/>
      </w:r>
      <w:r>
        <w:rPr>
          <w:rFonts w:hint="eastAsia" w:ascii="Times New Roman"/>
          <w:b/>
          <w:bCs/>
          <w:snapToGrid w:val="0"/>
          <w:color w:val="auto"/>
          <w:szCs w:val="22"/>
          <w:highlight w:val="none"/>
        </w:rPr>
        <w:t>第四章 技术要求</w:t>
      </w:r>
      <w:r>
        <w:rPr>
          <w:b/>
          <w:bCs/>
          <w:color w:val="auto"/>
          <w:highlight w:val="none"/>
        </w:rPr>
        <w:tab/>
      </w:r>
      <w:r>
        <w:rPr>
          <w:b/>
          <w:bCs/>
          <w:color w:val="auto"/>
          <w:highlight w:val="none"/>
        </w:rPr>
        <w:fldChar w:fldCharType="begin"/>
      </w:r>
      <w:r>
        <w:rPr>
          <w:b/>
          <w:bCs/>
          <w:color w:val="auto"/>
          <w:highlight w:val="none"/>
        </w:rPr>
        <w:instrText xml:space="preserve"> PAGEREF _Toc3062 \h </w:instrText>
      </w:r>
      <w:r>
        <w:rPr>
          <w:b/>
          <w:bCs/>
          <w:color w:val="auto"/>
          <w:highlight w:val="none"/>
        </w:rPr>
        <w:fldChar w:fldCharType="separate"/>
      </w:r>
      <w:r>
        <w:rPr>
          <w:b/>
          <w:bCs/>
          <w:color w:val="auto"/>
          <w:highlight w:val="none"/>
        </w:rPr>
        <w:t>58</w:t>
      </w:r>
      <w:r>
        <w:rPr>
          <w:b/>
          <w:bCs/>
          <w:color w:val="auto"/>
          <w:highlight w:val="none"/>
        </w:rPr>
        <w:fldChar w:fldCharType="end"/>
      </w:r>
      <w:r>
        <w:rPr>
          <w:rFonts w:hint="eastAsia" w:hAnsi="宋体" w:cs="宋体"/>
          <w:b/>
          <w:bCs/>
          <w:color w:val="auto"/>
          <w:szCs w:val="24"/>
          <w:highlight w:val="none"/>
        </w:rPr>
        <w:fldChar w:fldCharType="end"/>
      </w:r>
    </w:p>
    <w:p w14:paraId="5A9C3432">
      <w:pPr>
        <w:pStyle w:val="20"/>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b/>
          <w:bCs/>
          <w:color w:val="auto"/>
          <w:highlight w:val="none"/>
        </w:rPr>
      </w:pPr>
      <w:r>
        <w:rPr>
          <w:rFonts w:hint="eastAsia" w:hAnsi="宋体" w:cs="宋体"/>
          <w:b/>
          <w:bCs/>
          <w:color w:val="auto"/>
          <w:szCs w:val="24"/>
          <w:highlight w:val="none"/>
        </w:rPr>
        <w:fldChar w:fldCharType="begin"/>
      </w:r>
      <w:r>
        <w:rPr>
          <w:rFonts w:hint="eastAsia" w:hAnsi="宋体" w:cs="宋体"/>
          <w:b/>
          <w:bCs/>
          <w:color w:val="auto"/>
          <w:szCs w:val="24"/>
          <w:highlight w:val="none"/>
        </w:rPr>
        <w:instrText xml:space="preserve"> HYPERLINK \l _Toc4295 </w:instrText>
      </w:r>
      <w:r>
        <w:rPr>
          <w:rFonts w:hint="eastAsia" w:hAnsi="宋体" w:cs="宋体"/>
          <w:b/>
          <w:bCs/>
          <w:color w:val="auto"/>
          <w:szCs w:val="24"/>
          <w:highlight w:val="none"/>
        </w:rPr>
        <w:fldChar w:fldCharType="separate"/>
      </w:r>
      <w:r>
        <w:rPr>
          <w:rFonts w:hint="eastAsia" w:ascii="Times New Roman"/>
          <w:b/>
          <w:bCs/>
          <w:snapToGrid w:val="0"/>
          <w:color w:val="auto"/>
          <w:szCs w:val="22"/>
          <w:highlight w:val="none"/>
        </w:rPr>
        <w:t>第五章 投标文件格式</w:t>
      </w:r>
      <w:r>
        <w:rPr>
          <w:b/>
          <w:bCs/>
          <w:color w:val="auto"/>
          <w:highlight w:val="none"/>
        </w:rPr>
        <w:tab/>
      </w:r>
      <w:r>
        <w:rPr>
          <w:b/>
          <w:bCs/>
          <w:color w:val="auto"/>
          <w:highlight w:val="none"/>
        </w:rPr>
        <w:fldChar w:fldCharType="begin"/>
      </w:r>
      <w:r>
        <w:rPr>
          <w:b/>
          <w:bCs/>
          <w:color w:val="auto"/>
          <w:highlight w:val="none"/>
        </w:rPr>
        <w:instrText xml:space="preserve"> PAGEREF _Toc4295 \h </w:instrText>
      </w:r>
      <w:r>
        <w:rPr>
          <w:b/>
          <w:bCs/>
          <w:color w:val="auto"/>
          <w:highlight w:val="none"/>
        </w:rPr>
        <w:fldChar w:fldCharType="separate"/>
      </w:r>
      <w:r>
        <w:rPr>
          <w:b/>
          <w:bCs/>
          <w:color w:val="auto"/>
          <w:highlight w:val="none"/>
        </w:rPr>
        <w:t>60</w:t>
      </w:r>
      <w:r>
        <w:rPr>
          <w:b/>
          <w:bCs/>
          <w:color w:val="auto"/>
          <w:highlight w:val="none"/>
        </w:rPr>
        <w:fldChar w:fldCharType="end"/>
      </w:r>
      <w:r>
        <w:rPr>
          <w:rFonts w:hint="eastAsia" w:hAnsi="宋体" w:cs="宋体"/>
          <w:b/>
          <w:bCs/>
          <w:color w:val="auto"/>
          <w:szCs w:val="24"/>
          <w:highlight w:val="none"/>
        </w:rPr>
        <w:fldChar w:fldCharType="end"/>
      </w:r>
    </w:p>
    <w:p w14:paraId="1E0A5449">
      <w:pPr>
        <w:pStyle w:val="24"/>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_Toc29621 </w:instrText>
      </w:r>
      <w:r>
        <w:rPr>
          <w:rFonts w:hint="eastAsia" w:hAnsi="宋体" w:cs="宋体"/>
          <w:color w:val="auto"/>
          <w:szCs w:val="24"/>
          <w:highlight w:val="none"/>
        </w:rPr>
        <w:fldChar w:fldCharType="separate"/>
      </w:r>
      <w:r>
        <w:rPr>
          <w:rFonts w:hint="eastAsia" w:ascii="Times New Roman"/>
          <w:snapToGrid w:val="0"/>
          <w:color w:val="auto"/>
          <w:highlight w:val="none"/>
        </w:rPr>
        <w:t>格式一 封面</w:t>
      </w:r>
      <w:r>
        <w:rPr>
          <w:color w:val="auto"/>
          <w:highlight w:val="none"/>
        </w:rPr>
        <w:tab/>
      </w:r>
      <w:r>
        <w:rPr>
          <w:color w:val="auto"/>
          <w:highlight w:val="none"/>
        </w:rPr>
        <w:fldChar w:fldCharType="begin"/>
      </w:r>
      <w:r>
        <w:rPr>
          <w:color w:val="auto"/>
          <w:highlight w:val="none"/>
        </w:rPr>
        <w:instrText xml:space="preserve"> PAGEREF _Toc29621 \h </w:instrText>
      </w:r>
      <w:r>
        <w:rPr>
          <w:color w:val="auto"/>
          <w:highlight w:val="none"/>
        </w:rPr>
        <w:fldChar w:fldCharType="separate"/>
      </w:r>
      <w:r>
        <w:rPr>
          <w:color w:val="auto"/>
          <w:highlight w:val="none"/>
        </w:rPr>
        <w:t>60</w:t>
      </w:r>
      <w:r>
        <w:rPr>
          <w:color w:val="auto"/>
          <w:highlight w:val="none"/>
        </w:rPr>
        <w:fldChar w:fldCharType="end"/>
      </w:r>
      <w:r>
        <w:rPr>
          <w:rFonts w:hint="eastAsia" w:hAnsi="宋体" w:cs="宋体"/>
          <w:color w:val="auto"/>
          <w:szCs w:val="24"/>
          <w:highlight w:val="none"/>
        </w:rPr>
        <w:fldChar w:fldCharType="end"/>
      </w:r>
    </w:p>
    <w:p w14:paraId="559F096C">
      <w:pPr>
        <w:pStyle w:val="24"/>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_Toc19706 </w:instrText>
      </w:r>
      <w:r>
        <w:rPr>
          <w:rFonts w:hint="eastAsia" w:hAnsi="宋体" w:cs="宋体"/>
          <w:color w:val="auto"/>
          <w:szCs w:val="24"/>
          <w:highlight w:val="none"/>
        </w:rPr>
        <w:fldChar w:fldCharType="separate"/>
      </w:r>
      <w:r>
        <w:rPr>
          <w:rFonts w:hint="eastAsia" w:ascii="Times New Roman"/>
          <w:snapToGrid w:val="0"/>
          <w:color w:val="auto"/>
          <w:highlight w:val="none"/>
        </w:rPr>
        <w:t>格式二 投标函</w:t>
      </w:r>
      <w:r>
        <w:rPr>
          <w:color w:val="auto"/>
          <w:highlight w:val="none"/>
        </w:rPr>
        <w:tab/>
      </w:r>
      <w:r>
        <w:rPr>
          <w:color w:val="auto"/>
          <w:highlight w:val="none"/>
        </w:rPr>
        <w:fldChar w:fldCharType="begin"/>
      </w:r>
      <w:r>
        <w:rPr>
          <w:color w:val="auto"/>
          <w:highlight w:val="none"/>
        </w:rPr>
        <w:instrText xml:space="preserve"> PAGEREF _Toc19706 \h </w:instrText>
      </w:r>
      <w:r>
        <w:rPr>
          <w:color w:val="auto"/>
          <w:highlight w:val="none"/>
        </w:rPr>
        <w:fldChar w:fldCharType="separate"/>
      </w:r>
      <w:r>
        <w:rPr>
          <w:color w:val="auto"/>
          <w:highlight w:val="none"/>
        </w:rPr>
        <w:t>61</w:t>
      </w:r>
      <w:r>
        <w:rPr>
          <w:color w:val="auto"/>
          <w:highlight w:val="none"/>
        </w:rPr>
        <w:fldChar w:fldCharType="end"/>
      </w:r>
      <w:r>
        <w:rPr>
          <w:rFonts w:hint="eastAsia" w:hAnsi="宋体" w:cs="宋体"/>
          <w:color w:val="auto"/>
          <w:szCs w:val="24"/>
          <w:highlight w:val="none"/>
        </w:rPr>
        <w:fldChar w:fldCharType="end"/>
      </w:r>
    </w:p>
    <w:p w14:paraId="25B40A83">
      <w:pPr>
        <w:pStyle w:val="24"/>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_Toc30827 </w:instrText>
      </w:r>
      <w:r>
        <w:rPr>
          <w:rFonts w:hint="eastAsia" w:hAnsi="宋体" w:cs="宋体"/>
          <w:color w:val="auto"/>
          <w:szCs w:val="24"/>
          <w:highlight w:val="none"/>
        </w:rPr>
        <w:fldChar w:fldCharType="separate"/>
      </w:r>
      <w:r>
        <w:rPr>
          <w:rFonts w:hint="eastAsia" w:hAnsi="宋体" w:cs="宋体"/>
          <w:snapToGrid w:val="0"/>
          <w:color w:val="auto"/>
          <w:highlight w:val="none"/>
        </w:rPr>
        <w:t>格式三 各项承诺一览表</w:t>
      </w:r>
      <w:r>
        <w:rPr>
          <w:color w:val="auto"/>
          <w:highlight w:val="none"/>
        </w:rPr>
        <w:tab/>
      </w:r>
      <w:r>
        <w:rPr>
          <w:color w:val="auto"/>
          <w:highlight w:val="none"/>
        </w:rPr>
        <w:fldChar w:fldCharType="begin"/>
      </w:r>
      <w:r>
        <w:rPr>
          <w:color w:val="auto"/>
          <w:highlight w:val="none"/>
        </w:rPr>
        <w:instrText xml:space="preserve"> PAGEREF _Toc30827 \h </w:instrText>
      </w:r>
      <w:r>
        <w:rPr>
          <w:color w:val="auto"/>
          <w:highlight w:val="none"/>
        </w:rPr>
        <w:fldChar w:fldCharType="separate"/>
      </w:r>
      <w:r>
        <w:rPr>
          <w:color w:val="auto"/>
          <w:highlight w:val="none"/>
        </w:rPr>
        <w:t>62</w:t>
      </w:r>
      <w:r>
        <w:rPr>
          <w:color w:val="auto"/>
          <w:highlight w:val="none"/>
        </w:rPr>
        <w:fldChar w:fldCharType="end"/>
      </w:r>
      <w:r>
        <w:rPr>
          <w:rFonts w:hint="eastAsia" w:hAnsi="宋体" w:cs="宋体"/>
          <w:color w:val="auto"/>
          <w:szCs w:val="24"/>
          <w:highlight w:val="none"/>
        </w:rPr>
        <w:fldChar w:fldCharType="end"/>
      </w:r>
    </w:p>
    <w:p w14:paraId="761A21DA">
      <w:pPr>
        <w:pStyle w:val="24"/>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_Toc22542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格式四 授权委托书</w:t>
      </w:r>
      <w:r>
        <w:rPr>
          <w:color w:val="auto"/>
          <w:highlight w:val="none"/>
        </w:rPr>
        <w:tab/>
      </w:r>
      <w:r>
        <w:rPr>
          <w:color w:val="auto"/>
          <w:highlight w:val="none"/>
        </w:rPr>
        <w:fldChar w:fldCharType="begin"/>
      </w:r>
      <w:r>
        <w:rPr>
          <w:color w:val="auto"/>
          <w:highlight w:val="none"/>
        </w:rPr>
        <w:instrText xml:space="preserve"> PAGEREF _Toc22542 \h </w:instrText>
      </w:r>
      <w:r>
        <w:rPr>
          <w:color w:val="auto"/>
          <w:highlight w:val="none"/>
        </w:rPr>
        <w:fldChar w:fldCharType="separate"/>
      </w:r>
      <w:r>
        <w:rPr>
          <w:color w:val="auto"/>
          <w:highlight w:val="none"/>
        </w:rPr>
        <w:t>64</w:t>
      </w:r>
      <w:r>
        <w:rPr>
          <w:color w:val="auto"/>
          <w:highlight w:val="none"/>
        </w:rPr>
        <w:fldChar w:fldCharType="end"/>
      </w:r>
      <w:r>
        <w:rPr>
          <w:rFonts w:hint="eastAsia" w:hAnsi="宋体" w:cs="宋体"/>
          <w:color w:val="auto"/>
          <w:szCs w:val="24"/>
          <w:highlight w:val="none"/>
        </w:rPr>
        <w:fldChar w:fldCharType="end"/>
      </w:r>
    </w:p>
    <w:p w14:paraId="7CD51F15">
      <w:pPr>
        <w:pStyle w:val="24"/>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_Toc15411 </w:instrText>
      </w:r>
      <w:r>
        <w:rPr>
          <w:rFonts w:hint="eastAsia" w:hAnsi="宋体" w:cs="宋体"/>
          <w:color w:val="auto"/>
          <w:szCs w:val="24"/>
          <w:highlight w:val="none"/>
        </w:rPr>
        <w:fldChar w:fldCharType="separate"/>
      </w:r>
      <w:r>
        <w:rPr>
          <w:rFonts w:hint="eastAsia" w:hAnsi="宋体" w:cs="宋体"/>
          <w:snapToGrid w:val="0"/>
          <w:color w:val="auto"/>
          <w:kern w:val="0"/>
          <w:highlight w:val="none"/>
        </w:rPr>
        <w:t>格式五 法定代表人身份证明</w:t>
      </w:r>
      <w:r>
        <w:rPr>
          <w:color w:val="auto"/>
          <w:highlight w:val="none"/>
        </w:rPr>
        <w:tab/>
      </w:r>
      <w:r>
        <w:rPr>
          <w:color w:val="auto"/>
          <w:highlight w:val="none"/>
        </w:rPr>
        <w:fldChar w:fldCharType="begin"/>
      </w:r>
      <w:r>
        <w:rPr>
          <w:color w:val="auto"/>
          <w:highlight w:val="none"/>
        </w:rPr>
        <w:instrText xml:space="preserve"> PAGEREF _Toc15411 \h </w:instrText>
      </w:r>
      <w:r>
        <w:rPr>
          <w:color w:val="auto"/>
          <w:highlight w:val="none"/>
        </w:rPr>
        <w:fldChar w:fldCharType="separate"/>
      </w:r>
      <w:r>
        <w:rPr>
          <w:color w:val="auto"/>
          <w:highlight w:val="none"/>
        </w:rPr>
        <w:t>65</w:t>
      </w:r>
      <w:r>
        <w:rPr>
          <w:color w:val="auto"/>
          <w:highlight w:val="none"/>
        </w:rPr>
        <w:fldChar w:fldCharType="end"/>
      </w:r>
      <w:r>
        <w:rPr>
          <w:rFonts w:hint="eastAsia" w:hAnsi="宋体" w:cs="宋体"/>
          <w:color w:val="auto"/>
          <w:szCs w:val="24"/>
          <w:highlight w:val="none"/>
        </w:rPr>
        <w:fldChar w:fldCharType="end"/>
      </w:r>
    </w:p>
    <w:p w14:paraId="47A76392">
      <w:pPr>
        <w:pStyle w:val="24"/>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_Toc19398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格式六 投标人基本情况表</w:t>
      </w:r>
      <w:r>
        <w:rPr>
          <w:color w:val="auto"/>
          <w:highlight w:val="none"/>
        </w:rPr>
        <w:tab/>
      </w:r>
      <w:r>
        <w:rPr>
          <w:color w:val="auto"/>
          <w:highlight w:val="none"/>
        </w:rPr>
        <w:fldChar w:fldCharType="begin"/>
      </w:r>
      <w:r>
        <w:rPr>
          <w:color w:val="auto"/>
          <w:highlight w:val="none"/>
        </w:rPr>
        <w:instrText xml:space="preserve"> PAGEREF _Toc19398 \h </w:instrText>
      </w:r>
      <w:r>
        <w:rPr>
          <w:color w:val="auto"/>
          <w:highlight w:val="none"/>
        </w:rPr>
        <w:fldChar w:fldCharType="separate"/>
      </w:r>
      <w:r>
        <w:rPr>
          <w:color w:val="auto"/>
          <w:highlight w:val="none"/>
        </w:rPr>
        <w:t>66</w:t>
      </w:r>
      <w:r>
        <w:rPr>
          <w:color w:val="auto"/>
          <w:highlight w:val="none"/>
        </w:rPr>
        <w:fldChar w:fldCharType="end"/>
      </w:r>
      <w:r>
        <w:rPr>
          <w:rFonts w:hint="eastAsia" w:hAnsi="宋体" w:cs="宋体"/>
          <w:color w:val="auto"/>
          <w:szCs w:val="24"/>
          <w:highlight w:val="none"/>
        </w:rPr>
        <w:fldChar w:fldCharType="end"/>
      </w:r>
    </w:p>
    <w:p w14:paraId="3544C996">
      <w:pPr>
        <w:pStyle w:val="24"/>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_Toc22906 </w:instrText>
      </w:r>
      <w:r>
        <w:rPr>
          <w:rFonts w:hint="eastAsia" w:hAnsi="宋体" w:cs="宋体"/>
          <w:color w:val="auto"/>
          <w:szCs w:val="24"/>
          <w:highlight w:val="none"/>
        </w:rPr>
        <w:fldChar w:fldCharType="separate"/>
      </w:r>
      <w:r>
        <w:rPr>
          <w:rFonts w:hint="eastAsia" w:hAnsi="宋体" w:cs="宋体"/>
          <w:snapToGrid w:val="0"/>
          <w:color w:val="auto"/>
          <w:kern w:val="0"/>
          <w:highlight w:val="none"/>
        </w:rPr>
        <w:t>格式七 总监理工程师任职声明（适用于无任职项目）</w:t>
      </w:r>
      <w:r>
        <w:rPr>
          <w:color w:val="auto"/>
          <w:highlight w:val="none"/>
        </w:rPr>
        <w:tab/>
      </w:r>
      <w:r>
        <w:rPr>
          <w:color w:val="auto"/>
          <w:highlight w:val="none"/>
        </w:rPr>
        <w:fldChar w:fldCharType="begin"/>
      </w:r>
      <w:r>
        <w:rPr>
          <w:color w:val="auto"/>
          <w:highlight w:val="none"/>
        </w:rPr>
        <w:instrText xml:space="preserve"> PAGEREF _Toc22906 \h </w:instrText>
      </w:r>
      <w:r>
        <w:rPr>
          <w:color w:val="auto"/>
          <w:highlight w:val="none"/>
        </w:rPr>
        <w:fldChar w:fldCharType="separate"/>
      </w:r>
      <w:r>
        <w:rPr>
          <w:color w:val="auto"/>
          <w:highlight w:val="none"/>
        </w:rPr>
        <w:t>67</w:t>
      </w:r>
      <w:r>
        <w:rPr>
          <w:color w:val="auto"/>
          <w:highlight w:val="none"/>
        </w:rPr>
        <w:fldChar w:fldCharType="end"/>
      </w:r>
      <w:r>
        <w:rPr>
          <w:rFonts w:hint="eastAsia" w:hAnsi="宋体" w:cs="宋体"/>
          <w:color w:val="auto"/>
          <w:szCs w:val="24"/>
          <w:highlight w:val="none"/>
        </w:rPr>
        <w:fldChar w:fldCharType="end"/>
      </w:r>
    </w:p>
    <w:p w14:paraId="6026CD89">
      <w:pPr>
        <w:pStyle w:val="24"/>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_Toc27081 </w:instrText>
      </w:r>
      <w:r>
        <w:rPr>
          <w:rFonts w:hint="eastAsia" w:hAnsi="宋体" w:cs="宋体"/>
          <w:color w:val="auto"/>
          <w:szCs w:val="24"/>
          <w:highlight w:val="none"/>
        </w:rPr>
        <w:fldChar w:fldCharType="separate"/>
      </w:r>
      <w:r>
        <w:rPr>
          <w:rFonts w:hint="eastAsia" w:hAnsi="宋体" w:cs="宋体"/>
          <w:snapToGrid w:val="0"/>
          <w:color w:val="auto"/>
          <w:kern w:val="0"/>
          <w:highlight w:val="none"/>
        </w:rPr>
        <w:t>格式八 总监理工程师任职声明（适用于有任职项目）</w:t>
      </w:r>
      <w:r>
        <w:rPr>
          <w:color w:val="auto"/>
          <w:highlight w:val="none"/>
        </w:rPr>
        <w:tab/>
      </w:r>
      <w:r>
        <w:rPr>
          <w:color w:val="auto"/>
          <w:highlight w:val="none"/>
        </w:rPr>
        <w:fldChar w:fldCharType="begin"/>
      </w:r>
      <w:r>
        <w:rPr>
          <w:color w:val="auto"/>
          <w:highlight w:val="none"/>
        </w:rPr>
        <w:instrText xml:space="preserve"> PAGEREF _Toc27081 \h </w:instrText>
      </w:r>
      <w:r>
        <w:rPr>
          <w:color w:val="auto"/>
          <w:highlight w:val="none"/>
        </w:rPr>
        <w:fldChar w:fldCharType="separate"/>
      </w:r>
      <w:r>
        <w:rPr>
          <w:color w:val="auto"/>
          <w:highlight w:val="none"/>
        </w:rPr>
        <w:t>68</w:t>
      </w:r>
      <w:r>
        <w:rPr>
          <w:color w:val="auto"/>
          <w:highlight w:val="none"/>
        </w:rPr>
        <w:fldChar w:fldCharType="end"/>
      </w:r>
      <w:r>
        <w:rPr>
          <w:rFonts w:hint="eastAsia" w:hAnsi="宋体" w:cs="宋体"/>
          <w:color w:val="auto"/>
          <w:szCs w:val="24"/>
          <w:highlight w:val="none"/>
        </w:rPr>
        <w:fldChar w:fldCharType="end"/>
      </w:r>
    </w:p>
    <w:p w14:paraId="6950436E">
      <w:pPr>
        <w:pStyle w:val="24"/>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_Toc136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格式九 总监理工程师任职项目情况表</w:t>
      </w:r>
      <w:r>
        <w:rPr>
          <w:color w:val="auto"/>
          <w:highlight w:val="none"/>
        </w:rPr>
        <w:tab/>
      </w:r>
      <w:r>
        <w:rPr>
          <w:color w:val="auto"/>
          <w:highlight w:val="none"/>
        </w:rPr>
        <w:fldChar w:fldCharType="begin"/>
      </w:r>
      <w:r>
        <w:rPr>
          <w:color w:val="auto"/>
          <w:highlight w:val="none"/>
        </w:rPr>
        <w:instrText xml:space="preserve"> PAGEREF _Toc136 \h </w:instrText>
      </w:r>
      <w:r>
        <w:rPr>
          <w:color w:val="auto"/>
          <w:highlight w:val="none"/>
        </w:rPr>
        <w:fldChar w:fldCharType="separate"/>
      </w:r>
      <w:r>
        <w:rPr>
          <w:color w:val="auto"/>
          <w:highlight w:val="none"/>
        </w:rPr>
        <w:t>69</w:t>
      </w:r>
      <w:r>
        <w:rPr>
          <w:color w:val="auto"/>
          <w:highlight w:val="none"/>
        </w:rPr>
        <w:fldChar w:fldCharType="end"/>
      </w:r>
      <w:r>
        <w:rPr>
          <w:rFonts w:hint="eastAsia" w:hAnsi="宋体" w:cs="宋体"/>
          <w:color w:val="auto"/>
          <w:szCs w:val="24"/>
          <w:highlight w:val="none"/>
        </w:rPr>
        <w:fldChar w:fldCharType="end"/>
      </w:r>
    </w:p>
    <w:p w14:paraId="56653C75">
      <w:pPr>
        <w:pStyle w:val="24"/>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_Toc18807 </w:instrText>
      </w:r>
      <w:r>
        <w:rPr>
          <w:rFonts w:hint="eastAsia" w:hAnsi="宋体" w:cs="宋体"/>
          <w:color w:val="auto"/>
          <w:szCs w:val="24"/>
          <w:highlight w:val="none"/>
        </w:rPr>
        <w:fldChar w:fldCharType="separate"/>
      </w:r>
      <w:r>
        <w:rPr>
          <w:rFonts w:hint="eastAsia" w:hAnsi="宋体" w:cs="宋体"/>
          <w:snapToGrid w:val="0"/>
          <w:color w:val="auto"/>
          <w:kern w:val="0"/>
          <w:highlight w:val="none"/>
        </w:rPr>
        <w:t>格式</w:t>
      </w:r>
      <w:r>
        <w:rPr>
          <w:rFonts w:hint="eastAsia" w:hAnsi="宋体" w:cs="宋体"/>
          <w:bCs/>
          <w:snapToGrid w:val="0"/>
          <w:color w:val="auto"/>
          <w:kern w:val="0"/>
          <w:szCs w:val="24"/>
          <w:highlight w:val="none"/>
        </w:rPr>
        <w:t>十 项目监理机构组成人员汇总表</w:t>
      </w:r>
      <w:r>
        <w:rPr>
          <w:color w:val="auto"/>
          <w:highlight w:val="none"/>
        </w:rPr>
        <w:tab/>
      </w:r>
      <w:r>
        <w:rPr>
          <w:color w:val="auto"/>
          <w:highlight w:val="none"/>
        </w:rPr>
        <w:fldChar w:fldCharType="begin"/>
      </w:r>
      <w:r>
        <w:rPr>
          <w:color w:val="auto"/>
          <w:highlight w:val="none"/>
        </w:rPr>
        <w:instrText xml:space="preserve"> PAGEREF _Toc18807 \h </w:instrText>
      </w:r>
      <w:r>
        <w:rPr>
          <w:color w:val="auto"/>
          <w:highlight w:val="none"/>
        </w:rPr>
        <w:fldChar w:fldCharType="separate"/>
      </w:r>
      <w:r>
        <w:rPr>
          <w:color w:val="auto"/>
          <w:highlight w:val="none"/>
        </w:rPr>
        <w:t>70</w:t>
      </w:r>
      <w:r>
        <w:rPr>
          <w:color w:val="auto"/>
          <w:highlight w:val="none"/>
        </w:rPr>
        <w:fldChar w:fldCharType="end"/>
      </w:r>
      <w:r>
        <w:rPr>
          <w:rFonts w:hint="eastAsia" w:hAnsi="宋体" w:cs="宋体"/>
          <w:color w:val="auto"/>
          <w:szCs w:val="24"/>
          <w:highlight w:val="none"/>
        </w:rPr>
        <w:fldChar w:fldCharType="end"/>
      </w:r>
    </w:p>
    <w:p w14:paraId="74275B8A">
      <w:pPr>
        <w:pStyle w:val="24"/>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_Toc23185 </w:instrText>
      </w:r>
      <w:r>
        <w:rPr>
          <w:rFonts w:hint="eastAsia" w:hAnsi="宋体" w:cs="宋体"/>
          <w:color w:val="auto"/>
          <w:szCs w:val="24"/>
          <w:highlight w:val="none"/>
        </w:rPr>
        <w:fldChar w:fldCharType="separate"/>
      </w:r>
      <w:r>
        <w:rPr>
          <w:rFonts w:hint="eastAsia" w:ascii="宋体" w:hAnsi="宋体" w:cs="宋体"/>
          <w:bCs/>
          <w:snapToGrid w:val="0"/>
          <w:color w:val="auto"/>
          <w:highlight w:val="none"/>
        </w:rPr>
        <w:t>格式十一 总监理工程师简历表</w:t>
      </w:r>
      <w:r>
        <w:rPr>
          <w:color w:val="auto"/>
          <w:highlight w:val="none"/>
        </w:rPr>
        <w:tab/>
      </w:r>
      <w:r>
        <w:rPr>
          <w:color w:val="auto"/>
          <w:highlight w:val="none"/>
        </w:rPr>
        <w:fldChar w:fldCharType="begin"/>
      </w:r>
      <w:r>
        <w:rPr>
          <w:color w:val="auto"/>
          <w:highlight w:val="none"/>
        </w:rPr>
        <w:instrText xml:space="preserve"> PAGEREF _Toc23185 \h </w:instrText>
      </w:r>
      <w:r>
        <w:rPr>
          <w:color w:val="auto"/>
          <w:highlight w:val="none"/>
        </w:rPr>
        <w:fldChar w:fldCharType="separate"/>
      </w:r>
      <w:r>
        <w:rPr>
          <w:color w:val="auto"/>
          <w:highlight w:val="none"/>
        </w:rPr>
        <w:t>71</w:t>
      </w:r>
      <w:r>
        <w:rPr>
          <w:color w:val="auto"/>
          <w:highlight w:val="none"/>
        </w:rPr>
        <w:fldChar w:fldCharType="end"/>
      </w:r>
      <w:r>
        <w:rPr>
          <w:rFonts w:hint="eastAsia" w:hAnsi="宋体" w:cs="宋体"/>
          <w:color w:val="auto"/>
          <w:szCs w:val="24"/>
          <w:highlight w:val="none"/>
        </w:rPr>
        <w:fldChar w:fldCharType="end"/>
      </w:r>
    </w:p>
    <w:p w14:paraId="631E0247">
      <w:pPr>
        <w:pStyle w:val="24"/>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_Toc26946 </w:instrText>
      </w:r>
      <w:r>
        <w:rPr>
          <w:rFonts w:hint="eastAsia" w:hAnsi="宋体" w:cs="宋体"/>
          <w:color w:val="auto"/>
          <w:szCs w:val="24"/>
          <w:highlight w:val="none"/>
        </w:rPr>
        <w:fldChar w:fldCharType="separate"/>
      </w:r>
      <w:r>
        <w:rPr>
          <w:rFonts w:hint="eastAsia" w:ascii="宋体" w:hAnsi="宋体" w:cs="宋体"/>
          <w:bCs/>
          <w:snapToGrid w:val="0"/>
          <w:color w:val="auto"/>
          <w:highlight w:val="none"/>
        </w:rPr>
        <w:t>格式十二 其他拟派人员简历表</w:t>
      </w:r>
      <w:r>
        <w:rPr>
          <w:color w:val="auto"/>
          <w:highlight w:val="none"/>
        </w:rPr>
        <w:tab/>
      </w:r>
      <w:r>
        <w:rPr>
          <w:color w:val="auto"/>
          <w:highlight w:val="none"/>
        </w:rPr>
        <w:fldChar w:fldCharType="begin"/>
      </w:r>
      <w:r>
        <w:rPr>
          <w:color w:val="auto"/>
          <w:highlight w:val="none"/>
        </w:rPr>
        <w:instrText xml:space="preserve"> PAGEREF _Toc26946 \h </w:instrText>
      </w:r>
      <w:r>
        <w:rPr>
          <w:color w:val="auto"/>
          <w:highlight w:val="none"/>
        </w:rPr>
        <w:fldChar w:fldCharType="separate"/>
      </w:r>
      <w:r>
        <w:rPr>
          <w:color w:val="auto"/>
          <w:highlight w:val="none"/>
        </w:rPr>
        <w:t>72</w:t>
      </w:r>
      <w:r>
        <w:rPr>
          <w:color w:val="auto"/>
          <w:highlight w:val="none"/>
        </w:rPr>
        <w:fldChar w:fldCharType="end"/>
      </w:r>
      <w:r>
        <w:rPr>
          <w:rFonts w:hint="eastAsia" w:hAnsi="宋体" w:cs="宋体"/>
          <w:color w:val="auto"/>
          <w:szCs w:val="24"/>
          <w:highlight w:val="none"/>
        </w:rPr>
        <w:fldChar w:fldCharType="end"/>
      </w:r>
    </w:p>
    <w:p w14:paraId="5CA862BA">
      <w:pPr>
        <w:pStyle w:val="24"/>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_Toc9763 </w:instrText>
      </w:r>
      <w:r>
        <w:rPr>
          <w:rFonts w:hint="eastAsia" w:hAnsi="宋体" w:cs="宋体"/>
          <w:color w:val="auto"/>
          <w:szCs w:val="24"/>
          <w:highlight w:val="none"/>
        </w:rPr>
        <w:fldChar w:fldCharType="separate"/>
      </w:r>
      <w:r>
        <w:rPr>
          <w:rFonts w:hint="eastAsia"/>
          <w:bCs/>
          <w:color w:val="auto"/>
          <w:highlight w:val="none"/>
          <w:lang w:val="en-US" w:eastAsia="zh-CN"/>
        </w:rPr>
        <w:t>格式十三 原件一览表</w:t>
      </w:r>
      <w:r>
        <w:rPr>
          <w:color w:val="auto"/>
          <w:highlight w:val="none"/>
        </w:rPr>
        <w:tab/>
      </w:r>
      <w:r>
        <w:rPr>
          <w:color w:val="auto"/>
          <w:highlight w:val="none"/>
        </w:rPr>
        <w:fldChar w:fldCharType="begin"/>
      </w:r>
      <w:r>
        <w:rPr>
          <w:color w:val="auto"/>
          <w:highlight w:val="none"/>
        </w:rPr>
        <w:instrText xml:space="preserve"> PAGEREF _Toc9763 \h </w:instrText>
      </w:r>
      <w:r>
        <w:rPr>
          <w:color w:val="auto"/>
          <w:highlight w:val="none"/>
        </w:rPr>
        <w:fldChar w:fldCharType="separate"/>
      </w:r>
      <w:r>
        <w:rPr>
          <w:color w:val="auto"/>
          <w:highlight w:val="none"/>
        </w:rPr>
        <w:t>73</w:t>
      </w:r>
      <w:r>
        <w:rPr>
          <w:color w:val="auto"/>
          <w:highlight w:val="none"/>
        </w:rPr>
        <w:fldChar w:fldCharType="end"/>
      </w:r>
      <w:r>
        <w:rPr>
          <w:rFonts w:hint="eastAsia" w:hAnsi="宋体" w:cs="宋体"/>
          <w:color w:val="auto"/>
          <w:szCs w:val="24"/>
          <w:highlight w:val="none"/>
        </w:rPr>
        <w:fldChar w:fldCharType="end"/>
      </w:r>
    </w:p>
    <w:p w14:paraId="7D2C26C4">
      <w:pPr>
        <w:pStyle w:val="24"/>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_Toc26582 </w:instrText>
      </w:r>
      <w:r>
        <w:rPr>
          <w:rFonts w:hint="eastAsia" w:hAnsi="宋体" w:cs="宋体"/>
          <w:color w:val="auto"/>
          <w:szCs w:val="24"/>
          <w:highlight w:val="none"/>
        </w:rPr>
        <w:fldChar w:fldCharType="separate"/>
      </w:r>
      <w:r>
        <w:rPr>
          <w:rFonts w:hint="eastAsia" w:ascii="宋体" w:hAnsi="Times New Roman" w:eastAsia="宋体" w:cs="Times New Roman"/>
          <w:bCs/>
          <w:color w:val="auto"/>
          <w:highlight w:val="none"/>
          <w:lang w:val="en-US" w:eastAsia="zh-CN"/>
        </w:rPr>
        <w:t>格式十四 定标因素评审资料</w:t>
      </w:r>
      <w:r>
        <w:rPr>
          <w:color w:val="auto"/>
          <w:highlight w:val="none"/>
        </w:rPr>
        <w:tab/>
      </w:r>
      <w:r>
        <w:rPr>
          <w:color w:val="auto"/>
          <w:highlight w:val="none"/>
        </w:rPr>
        <w:fldChar w:fldCharType="begin"/>
      </w:r>
      <w:r>
        <w:rPr>
          <w:color w:val="auto"/>
          <w:highlight w:val="none"/>
        </w:rPr>
        <w:instrText xml:space="preserve"> PAGEREF _Toc26582 \h </w:instrText>
      </w:r>
      <w:r>
        <w:rPr>
          <w:color w:val="auto"/>
          <w:highlight w:val="none"/>
        </w:rPr>
        <w:fldChar w:fldCharType="separate"/>
      </w:r>
      <w:r>
        <w:rPr>
          <w:color w:val="auto"/>
          <w:highlight w:val="none"/>
        </w:rPr>
        <w:t>74</w:t>
      </w:r>
      <w:r>
        <w:rPr>
          <w:color w:val="auto"/>
          <w:highlight w:val="none"/>
        </w:rPr>
        <w:fldChar w:fldCharType="end"/>
      </w:r>
      <w:r>
        <w:rPr>
          <w:rFonts w:hint="eastAsia" w:hAnsi="宋体" w:cs="宋体"/>
          <w:color w:val="auto"/>
          <w:szCs w:val="24"/>
          <w:highlight w:val="none"/>
        </w:rPr>
        <w:fldChar w:fldCharType="end"/>
      </w:r>
    </w:p>
    <w:p w14:paraId="1C319B72">
      <w:pPr>
        <w:pStyle w:val="20"/>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b/>
          <w:bCs/>
          <w:color w:val="auto"/>
          <w:highlight w:val="none"/>
        </w:rPr>
      </w:pPr>
      <w:r>
        <w:rPr>
          <w:rFonts w:hint="eastAsia" w:hAnsi="宋体" w:cs="宋体"/>
          <w:b/>
          <w:bCs/>
          <w:color w:val="auto"/>
          <w:szCs w:val="24"/>
          <w:highlight w:val="none"/>
        </w:rPr>
        <w:fldChar w:fldCharType="begin"/>
      </w:r>
      <w:r>
        <w:rPr>
          <w:rFonts w:hint="eastAsia" w:hAnsi="宋体" w:cs="宋体"/>
          <w:b/>
          <w:bCs/>
          <w:color w:val="auto"/>
          <w:szCs w:val="24"/>
          <w:highlight w:val="none"/>
        </w:rPr>
        <w:instrText xml:space="preserve"> HYPERLINK \l _Toc24615 </w:instrText>
      </w:r>
      <w:r>
        <w:rPr>
          <w:rFonts w:hint="eastAsia" w:hAnsi="宋体" w:cs="宋体"/>
          <w:b/>
          <w:bCs/>
          <w:color w:val="auto"/>
          <w:szCs w:val="24"/>
          <w:highlight w:val="none"/>
        </w:rPr>
        <w:fldChar w:fldCharType="separate"/>
      </w:r>
      <w:r>
        <w:rPr>
          <w:rFonts w:hint="eastAsia" w:ascii="宋体" w:hAnsi="宋体" w:cs="宋体"/>
          <w:b/>
          <w:bCs/>
          <w:color w:val="auto"/>
          <w:kern w:val="44"/>
          <w:szCs w:val="22"/>
          <w:highlight w:val="none"/>
        </w:rPr>
        <w:t>第六章 建设工程监理合同</w:t>
      </w:r>
      <w:r>
        <w:rPr>
          <w:b/>
          <w:bCs/>
          <w:color w:val="auto"/>
          <w:highlight w:val="none"/>
        </w:rPr>
        <w:tab/>
      </w:r>
      <w:r>
        <w:rPr>
          <w:b/>
          <w:bCs/>
          <w:color w:val="auto"/>
          <w:highlight w:val="none"/>
        </w:rPr>
        <w:fldChar w:fldCharType="begin"/>
      </w:r>
      <w:r>
        <w:rPr>
          <w:b/>
          <w:bCs/>
          <w:color w:val="auto"/>
          <w:highlight w:val="none"/>
        </w:rPr>
        <w:instrText xml:space="preserve"> PAGEREF _Toc24615 \h </w:instrText>
      </w:r>
      <w:r>
        <w:rPr>
          <w:b/>
          <w:bCs/>
          <w:color w:val="auto"/>
          <w:highlight w:val="none"/>
        </w:rPr>
        <w:fldChar w:fldCharType="separate"/>
      </w:r>
      <w:r>
        <w:rPr>
          <w:b/>
          <w:bCs/>
          <w:color w:val="auto"/>
          <w:highlight w:val="none"/>
        </w:rPr>
        <w:t>75</w:t>
      </w:r>
      <w:r>
        <w:rPr>
          <w:b/>
          <w:bCs/>
          <w:color w:val="auto"/>
          <w:highlight w:val="none"/>
        </w:rPr>
        <w:fldChar w:fldCharType="end"/>
      </w:r>
      <w:r>
        <w:rPr>
          <w:rFonts w:hint="eastAsia" w:hAnsi="宋体" w:cs="宋体"/>
          <w:b/>
          <w:bCs/>
          <w:color w:val="auto"/>
          <w:szCs w:val="24"/>
          <w:highlight w:val="none"/>
        </w:rPr>
        <w:fldChar w:fldCharType="end"/>
      </w:r>
    </w:p>
    <w:p w14:paraId="04AFE2B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szCs w:val="24"/>
          <w:highlight w:val="none"/>
        </w:rPr>
      </w:pPr>
      <w:r>
        <w:rPr>
          <w:rFonts w:hint="eastAsia" w:hAnsi="宋体" w:cs="宋体"/>
          <w:color w:val="auto"/>
          <w:szCs w:val="24"/>
          <w:highlight w:val="none"/>
        </w:rPr>
        <w:fldChar w:fldCharType="end"/>
      </w:r>
    </w:p>
    <w:p w14:paraId="72C6CDF7">
      <w:pPr>
        <w:bidi w:val="0"/>
        <w:rPr>
          <w:rFonts w:hint="eastAsia"/>
          <w:color w:val="auto"/>
          <w:highlight w:val="none"/>
        </w:rPr>
      </w:pPr>
    </w:p>
    <w:p w14:paraId="44E278EF">
      <w:pPr>
        <w:bidi w:val="0"/>
        <w:rPr>
          <w:rFonts w:hint="eastAsia"/>
          <w:color w:val="auto"/>
          <w:highlight w:val="none"/>
        </w:rPr>
      </w:pPr>
    </w:p>
    <w:p w14:paraId="4CFFDCA3">
      <w:pPr>
        <w:bidi w:val="0"/>
        <w:rPr>
          <w:rFonts w:hint="eastAsia"/>
          <w:color w:val="auto"/>
          <w:highlight w:val="none"/>
        </w:rPr>
      </w:pPr>
    </w:p>
    <w:p w14:paraId="49FACEF0">
      <w:pPr>
        <w:bidi w:val="0"/>
        <w:rPr>
          <w:rFonts w:hint="eastAsia"/>
          <w:color w:val="auto"/>
          <w:highlight w:val="none"/>
        </w:rPr>
      </w:pPr>
    </w:p>
    <w:p w14:paraId="67D59685">
      <w:pPr>
        <w:bidi w:val="0"/>
        <w:rPr>
          <w:rFonts w:hint="eastAsia"/>
          <w:color w:val="auto"/>
          <w:highlight w:val="none"/>
        </w:rPr>
      </w:pPr>
    </w:p>
    <w:p w14:paraId="3CF29BF7">
      <w:pPr>
        <w:bidi w:val="0"/>
        <w:rPr>
          <w:rFonts w:hint="eastAsia"/>
          <w:color w:val="auto"/>
          <w:highlight w:val="none"/>
        </w:rPr>
      </w:pPr>
    </w:p>
    <w:p w14:paraId="1C6B5B71">
      <w:pPr>
        <w:bidi w:val="0"/>
        <w:rPr>
          <w:rFonts w:hint="eastAsia"/>
          <w:color w:val="auto"/>
          <w:highlight w:val="none"/>
        </w:rPr>
      </w:pPr>
    </w:p>
    <w:p w14:paraId="00CD5A72">
      <w:pPr>
        <w:bidi w:val="0"/>
        <w:rPr>
          <w:rFonts w:hint="eastAsia"/>
          <w:color w:val="auto"/>
          <w:highlight w:val="none"/>
        </w:rPr>
      </w:pPr>
    </w:p>
    <w:p w14:paraId="7906C4F8">
      <w:pPr>
        <w:bidi w:val="0"/>
        <w:rPr>
          <w:rFonts w:hint="eastAsia"/>
          <w:color w:val="auto"/>
          <w:highlight w:val="none"/>
        </w:rPr>
      </w:pPr>
    </w:p>
    <w:p w14:paraId="7FA25707">
      <w:pPr>
        <w:bidi w:val="0"/>
        <w:rPr>
          <w:rFonts w:hint="eastAsia"/>
          <w:color w:val="auto"/>
          <w:highlight w:val="none"/>
        </w:rPr>
      </w:pPr>
    </w:p>
    <w:p w14:paraId="1AC08286">
      <w:pPr>
        <w:bidi w:val="0"/>
        <w:rPr>
          <w:rFonts w:hint="eastAsia"/>
          <w:color w:val="auto"/>
          <w:highlight w:val="none"/>
        </w:rPr>
      </w:pPr>
    </w:p>
    <w:p w14:paraId="73AD38DD">
      <w:pPr>
        <w:pStyle w:val="2"/>
        <w:wordWrap w:val="0"/>
        <w:autoSpaceDE/>
        <w:autoSpaceDN/>
        <w:snapToGrid w:val="0"/>
        <w:spacing w:line="440" w:lineRule="exact"/>
        <w:jc w:val="center"/>
        <w:rPr>
          <w:rFonts w:ascii="Times New Roman"/>
          <w:b/>
          <w:snapToGrid w:val="0"/>
          <w:color w:val="auto"/>
          <w:sz w:val="32"/>
          <w:szCs w:val="22"/>
          <w:highlight w:val="none"/>
        </w:rPr>
      </w:pPr>
      <w:bookmarkStart w:id="0" w:name="_Toc10652"/>
      <w:r>
        <w:rPr>
          <w:rFonts w:hint="eastAsia" w:ascii="Times New Roman"/>
          <w:b/>
          <w:snapToGrid w:val="0"/>
          <w:color w:val="auto"/>
          <w:sz w:val="32"/>
          <w:szCs w:val="22"/>
          <w:highlight w:val="none"/>
        </w:rPr>
        <w:t>第一章 投标人须知</w:t>
      </w:r>
      <w:bookmarkEnd w:id="0"/>
    </w:p>
    <w:p w14:paraId="64D39061">
      <w:pPr>
        <w:pStyle w:val="3"/>
        <w:wordWrap w:val="0"/>
        <w:autoSpaceDE/>
        <w:autoSpaceDN/>
        <w:snapToGrid w:val="0"/>
        <w:spacing w:before="260" w:after="260" w:line="440" w:lineRule="exact"/>
        <w:jc w:val="both"/>
        <w:rPr>
          <w:rFonts w:ascii="Times New Roman"/>
          <w:b/>
          <w:snapToGrid w:val="0"/>
          <w:color w:val="auto"/>
          <w:highlight w:val="none"/>
        </w:rPr>
      </w:pPr>
      <w:bookmarkStart w:id="1" w:name="_Hlt127175444"/>
      <w:bookmarkEnd w:id="1"/>
      <w:bookmarkStart w:id="2" w:name="_Toc4883"/>
      <w:bookmarkStart w:id="3" w:name="_Toc5307"/>
      <w:bookmarkStart w:id="4" w:name="_Hlt120077520"/>
      <w:r>
        <w:rPr>
          <w:rFonts w:hint="eastAsia" w:ascii="Times New Roman"/>
          <w:b/>
          <w:snapToGrid w:val="0"/>
          <w:color w:val="auto"/>
          <w:highlight w:val="none"/>
        </w:rPr>
        <w:t>第一节 投标人须知前附表</w:t>
      </w:r>
      <w:bookmarkEnd w:id="2"/>
      <w:bookmarkEnd w:id="3"/>
    </w:p>
    <w:tbl>
      <w:tblPr>
        <w:tblStyle w:val="31"/>
        <w:tblW w:w="9302" w:type="dxa"/>
        <w:tblInd w:w="-7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21"/>
        <w:gridCol w:w="1725"/>
        <w:gridCol w:w="6856"/>
      </w:tblGrid>
      <w:tr w14:paraId="2CEA8E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0" w:hRule="atLeast"/>
        </w:trPr>
        <w:tc>
          <w:tcPr>
            <w:tcW w:w="721" w:type="dxa"/>
            <w:tcBorders>
              <w:top w:val="single" w:color="auto" w:sz="4" w:space="0"/>
              <w:left w:val="single" w:color="auto" w:sz="4" w:space="0"/>
              <w:bottom w:val="single" w:color="auto" w:sz="4" w:space="0"/>
              <w:right w:val="single" w:color="auto" w:sz="4" w:space="0"/>
            </w:tcBorders>
            <w:vAlign w:val="center"/>
          </w:tcPr>
          <w:p w14:paraId="5A616D1E">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b/>
                <w:bCs/>
                <w:snapToGrid w:val="0"/>
                <w:color w:val="auto"/>
                <w:kern w:val="0"/>
                <w:szCs w:val="24"/>
                <w:highlight w:val="none"/>
              </w:rPr>
            </w:pPr>
            <w:r>
              <w:rPr>
                <w:rFonts w:hint="eastAsia" w:hAnsi="宋体" w:cs="宋体"/>
                <w:b/>
                <w:bCs/>
                <w:snapToGrid w:val="0"/>
                <w:color w:val="auto"/>
                <w:kern w:val="0"/>
                <w:szCs w:val="24"/>
                <w:highlight w:val="none"/>
              </w:rPr>
              <w:t>序号</w:t>
            </w:r>
          </w:p>
        </w:tc>
        <w:tc>
          <w:tcPr>
            <w:tcW w:w="1725" w:type="dxa"/>
            <w:tcBorders>
              <w:top w:val="single" w:color="auto" w:sz="4" w:space="0"/>
              <w:left w:val="single" w:color="auto" w:sz="4" w:space="0"/>
              <w:bottom w:val="single" w:color="auto" w:sz="4" w:space="0"/>
              <w:right w:val="single" w:color="auto" w:sz="4" w:space="0"/>
            </w:tcBorders>
            <w:vAlign w:val="center"/>
          </w:tcPr>
          <w:p w14:paraId="1592A7FB">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b/>
                <w:bCs/>
                <w:snapToGrid w:val="0"/>
                <w:color w:val="auto"/>
                <w:kern w:val="0"/>
                <w:szCs w:val="24"/>
                <w:highlight w:val="none"/>
              </w:rPr>
            </w:pPr>
            <w:r>
              <w:rPr>
                <w:rFonts w:hint="eastAsia" w:hAnsi="宋体" w:cs="宋体"/>
                <w:b/>
                <w:bCs/>
                <w:snapToGrid w:val="0"/>
                <w:color w:val="auto"/>
                <w:kern w:val="0"/>
                <w:szCs w:val="24"/>
                <w:highlight w:val="none"/>
              </w:rPr>
              <w:t>内容</w:t>
            </w:r>
          </w:p>
        </w:tc>
        <w:tc>
          <w:tcPr>
            <w:tcW w:w="6856" w:type="dxa"/>
            <w:tcBorders>
              <w:top w:val="single" w:color="auto" w:sz="4" w:space="0"/>
              <w:left w:val="single" w:color="auto" w:sz="4" w:space="0"/>
              <w:bottom w:val="single" w:color="auto" w:sz="4" w:space="0"/>
              <w:right w:val="single" w:color="auto" w:sz="4" w:space="0"/>
            </w:tcBorders>
            <w:vAlign w:val="center"/>
          </w:tcPr>
          <w:p w14:paraId="6F58C683">
            <w:pPr>
              <w:keepNext w:val="0"/>
              <w:keepLines w:val="0"/>
              <w:pageBreakBefore w:val="0"/>
              <w:widowControl w:val="0"/>
              <w:tabs>
                <w:tab w:val="left" w:pos="1180"/>
              </w:tabs>
              <w:kinsoku/>
              <w:wordWrap w:val="0"/>
              <w:overflowPunct/>
              <w:topLinePunct w:val="0"/>
              <w:autoSpaceDE/>
              <w:autoSpaceDN/>
              <w:bidi w:val="0"/>
              <w:adjustRightInd w:val="0"/>
              <w:snapToGrid w:val="0"/>
              <w:spacing w:line="500" w:lineRule="exact"/>
              <w:jc w:val="center"/>
              <w:rPr>
                <w:rFonts w:hAnsi="宋体" w:cs="宋体"/>
                <w:b/>
                <w:bCs/>
                <w:snapToGrid w:val="0"/>
                <w:color w:val="auto"/>
                <w:kern w:val="0"/>
                <w:szCs w:val="24"/>
                <w:highlight w:val="none"/>
              </w:rPr>
            </w:pPr>
            <w:r>
              <w:rPr>
                <w:rFonts w:hint="eastAsia" w:hAnsi="宋体" w:cs="宋体"/>
                <w:b/>
                <w:bCs/>
                <w:snapToGrid w:val="0"/>
                <w:color w:val="auto"/>
                <w:kern w:val="0"/>
                <w:szCs w:val="24"/>
                <w:highlight w:val="none"/>
              </w:rPr>
              <w:t>说明与要求</w:t>
            </w:r>
          </w:p>
        </w:tc>
      </w:tr>
      <w:tr w14:paraId="178941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721" w:type="dxa"/>
            <w:tcBorders>
              <w:top w:val="single" w:color="auto" w:sz="4" w:space="0"/>
              <w:left w:val="single" w:color="auto" w:sz="4" w:space="0"/>
              <w:bottom w:val="single" w:color="auto" w:sz="4" w:space="0"/>
              <w:right w:val="single" w:color="auto" w:sz="4" w:space="0"/>
            </w:tcBorders>
            <w:vAlign w:val="center"/>
          </w:tcPr>
          <w:p w14:paraId="02DAE48C">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w:t>
            </w:r>
          </w:p>
        </w:tc>
        <w:tc>
          <w:tcPr>
            <w:tcW w:w="1725" w:type="dxa"/>
            <w:tcBorders>
              <w:top w:val="single" w:color="auto" w:sz="4" w:space="0"/>
              <w:left w:val="single" w:color="auto" w:sz="4" w:space="0"/>
              <w:bottom w:val="single" w:color="auto" w:sz="4" w:space="0"/>
              <w:right w:val="single" w:color="auto" w:sz="4" w:space="0"/>
            </w:tcBorders>
            <w:vAlign w:val="center"/>
          </w:tcPr>
          <w:p w14:paraId="0259AB19">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项目名称</w:t>
            </w:r>
          </w:p>
        </w:tc>
        <w:tc>
          <w:tcPr>
            <w:tcW w:w="6856" w:type="dxa"/>
            <w:tcBorders>
              <w:top w:val="single" w:color="auto" w:sz="4" w:space="0"/>
              <w:left w:val="single" w:color="auto" w:sz="4" w:space="0"/>
              <w:bottom w:val="single" w:color="auto" w:sz="4" w:space="0"/>
              <w:right w:val="single" w:color="auto" w:sz="4" w:space="0"/>
            </w:tcBorders>
            <w:vAlign w:val="center"/>
          </w:tcPr>
          <w:p w14:paraId="5A039704">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int="eastAsia" w:hAnsi="宋体" w:eastAsia="宋体" w:cs="宋体"/>
                <w:snapToGrid w:val="0"/>
                <w:color w:val="auto"/>
                <w:kern w:val="0"/>
                <w:szCs w:val="24"/>
                <w:highlight w:val="none"/>
                <w:lang w:eastAsia="zh-CN"/>
              </w:rPr>
            </w:pPr>
            <w:r>
              <w:rPr>
                <w:rFonts w:hint="eastAsia" w:hAnsi="宋体" w:cs="宋体"/>
                <w:snapToGrid w:val="0"/>
                <w:color w:val="auto"/>
                <w:kern w:val="0"/>
                <w:szCs w:val="24"/>
                <w:highlight w:val="none"/>
                <w:lang w:eastAsia="zh-CN"/>
              </w:rPr>
              <w:t>武江区什石园村乡村振兴和人居环境整治项目监理</w:t>
            </w:r>
          </w:p>
        </w:tc>
      </w:tr>
      <w:tr w14:paraId="4391C2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721" w:type="dxa"/>
            <w:tcBorders>
              <w:top w:val="single" w:color="auto" w:sz="4" w:space="0"/>
              <w:left w:val="single" w:color="auto" w:sz="4" w:space="0"/>
              <w:bottom w:val="single" w:color="auto" w:sz="4" w:space="0"/>
              <w:right w:val="single" w:color="auto" w:sz="4" w:space="0"/>
            </w:tcBorders>
            <w:vAlign w:val="center"/>
          </w:tcPr>
          <w:p w14:paraId="0FBA70AC">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2</w:t>
            </w:r>
          </w:p>
        </w:tc>
        <w:tc>
          <w:tcPr>
            <w:tcW w:w="1725" w:type="dxa"/>
            <w:tcBorders>
              <w:top w:val="single" w:color="auto" w:sz="4" w:space="0"/>
              <w:left w:val="single" w:color="auto" w:sz="4" w:space="0"/>
              <w:bottom w:val="single" w:color="auto" w:sz="4" w:space="0"/>
              <w:right w:val="single" w:color="auto" w:sz="4" w:space="0"/>
            </w:tcBorders>
            <w:vAlign w:val="center"/>
          </w:tcPr>
          <w:p w14:paraId="039B656A">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项目业主</w:t>
            </w:r>
          </w:p>
        </w:tc>
        <w:tc>
          <w:tcPr>
            <w:tcW w:w="6856" w:type="dxa"/>
            <w:tcBorders>
              <w:top w:val="single" w:color="auto" w:sz="4" w:space="0"/>
              <w:left w:val="single" w:color="auto" w:sz="4" w:space="0"/>
              <w:bottom w:val="single" w:color="auto" w:sz="4" w:space="0"/>
              <w:right w:val="single" w:color="auto" w:sz="4" w:space="0"/>
            </w:tcBorders>
            <w:vAlign w:val="center"/>
          </w:tcPr>
          <w:p w14:paraId="36C8F025">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rPr>
                <w:rFonts w:hint="default" w:hAnsi="宋体" w:eastAsia="宋体" w:cs="宋体"/>
                <w:snapToGrid w:val="0"/>
                <w:color w:val="auto"/>
                <w:kern w:val="0"/>
                <w:szCs w:val="24"/>
                <w:highlight w:val="none"/>
                <w:lang w:val="en-US" w:eastAsia="zh-CN"/>
              </w:rPr>
            </w:pPr>
            <w:r>
              <w:rPr>
                <w:rFonts w:hint="eastAsia" w:hAnsi="宋体" w:cs="宋体"/>
                <w:color w:val="auto"/>
                <w:kern w:val="2"/>
                <w:sz w:val="24"/>
                <w:szCs w:val="22"/>
                <w:highlight w:val="none"/>
                <w:lang w:val="en-US" w:eastAsia="zh-CN" w:bidi="ar-SA"/>
              </w:rPr>
              <w:t>韶关市武江区西河镇人民政府</w:t>
            </w:r>
          </w:p>
        </w:tc>
      </w:tr>
      <w:tr w14:paraId="512766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721" w:type="dxa"/>
            <w:tcBorders>
              <w:top w:val="single" w:color="auto" w:sz="4" w:space="0"/>
              <w:left w:val="single" w:color="auto" w:sz="4" w:space="0"/>
              <w:bottom w:val="single" w:color="auto" w:sz="4" w:space="0"/>
              <w:right w:val="single" w:color="auto" w:sz="4" w:space="0"/>
            </w:tcBorders>
            <w:vAlign w:val="center"/>
          </w:tcPr>
          <w:p w14:paraId="7AA9DCF4">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3</w:t>
            </w:r>
          </w:p>
        </w:tc>
        <w:tc>
          <w:tcPr>
            <w:tcW w:w="1725" w:type="dxa"/>
            <w:tcBorders>
              <w:top w:val="single" w:color="auto" w:sz="4" w:space="0"/>
              <w:left w:val="single" w:color="auto" w:sz="4" w:space="0"/>
              <w:bottom w:val="single" w:color="auto" w:sz="4" w:space="0"/>
              <w:right w:val="single" w:color="auto" w:sz="4" w:space="0"/>
            </w:tcBorders>
            <w:vAlign w:val="center"/>
          </w:tcPr>
          <w:p w14:paraId="324DDCC4">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项目批准部门</w:t>
            </w:r>
          </w:p>
        </w:tc>
        <w:tc>
          <w:tcPr>
            <w:tcW w:w="6856" w:type="dxa"/>
            <w:tcBorders>
              <w:top w:val="single" w:color="auto" w:sz="4" w:space="0"/>
              <w:left w:val="single" w:color="auto" w:sz="4" w:space="0"/>
              <w:bottom w:val="single" w:color="auto" w:sz="4" w:space="0"/>
              <w:right w:val="single" w:color="auto" w:sz="4" w:space="0"/>
            </w:tcBorders>
            <w:vAlign w:val="center"/>
          </w:tcPr>
          <w:p w14:paraId="027C2964">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rPr>
                <w:rFonts w:hAnsi="宋体" w:cs="宋体"/>
                <w:snapToGrid w:val="0"/>
                <w:color w:val="auto"/>
                <w:kern w:val="0"/>
                <w:szCs w:val="24"/>
                <w:highlight w:val="none"/>
              </w:rPr>
            </w:pPr>
            <w:r>
              <w:rPr>
                <w:rFonts w:hint="eastAsia" w:hAnsi="宋体" w:cs="宋体"/>
                <w:snapToGrid w:val="0"/>
                <w:color w:val="auto"/>
                <w:kern w:val="0"/>
                <w:szCs w:val="24"/>
                <w:highlight w:val="none"/>
              </w:rPr>
              <w:t>韶关市武江区发展和改革局</w:t>
            </w:r>
          </w:p>
        </w:tc>
      </w:tr>
      <w:tr w14:paraId="72C56F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721" w:type="dxa"/>
            <w:tcBorders>
              <w:top w:val="single" w:color="auto" w:sz="4" w:space="0"/>
              <w:left w:val="single" w:color="auto" w:sz="4" w:space="0"/>
              <w:bottom w:val="single" w:color="auto" w:sz="4" w:space="0"/>
              <w:right w:val="single" w:color="auto" w:sz="4" w:space="0"/>
            </w:tcBorders>
            <w:vAlign w:val="center"/>
          </w:tcPr>
          <w:p w14:paraId="24D1E854">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4</w:t>
            </w:r>
          </w:p>
        </w:tc>
        <w:tc>
          <w:tcPr>
            <w:tcW w:w="1725" w:type="dxa"/>
            <w:tcBorders>
              <w:top w:val="single" w:color="auto" w:sz="4" w:space="0"/>
              <w:left w:val="single" w:color="auto" w:sz="4" w:space="0"/>
              <w:bottom w:val="single" w:color="auto" w:sz="4" w:space="0"/>
              <w:right w:val="single" w:color="auto" w:sz="4" w:space="0"/>
            </w:tcBorders>
            <w:vAlign w:val="center"/>
          </w:tcPr>
          <w:p w14:paraId="366DC76F">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项目批准文号</w:t>
            </w:r>
          </w:p>
        </w:tc>
        <w:tc>
          <w:tcPr>
            <w:tcW w:w="6856" w:type="dxa"/>
            <w:tcBorders>
              <w:top w:val="single" w:color="auto" w:sz="4" w:space="0"/>
              <w:left w:val="single" w:color="auto" w:sz="4" w:space="0"/>
              <w:bottom w:val="single" w:color="auto" w:sz="4" w:space="0"/>
              <w:right w:val="single" w:color="auto" w:sz="4" w:space="0"/>
            </w:tcBorders>
            <w:vAlign w:val="center"/>
          </w:tcPr>
          <w:p w14:paraId="52204F50">
            <w:pPr>
              <w:pStyle w:val="117"/>
              <w:keepNext w:val="0"/>
              <w:keepLines w:val="0"/>
              <w:pageBreakBefore w:val="0"/>
              <w:widowControl w:val="0"/>
              <w:kinsoku/>
              <w:overflowPunct/>
              <w:topLinePunct w:val="0"/>
              <w:autoSpaceDE/>
              <w:autoSpaceDN/>
              <w:bidi w:val="0"/>
              <w:spacing w:line="500" w:lineRule="exact"/>
              <w:ind w:firstLine="480" w:firstLineChars="200"/>
              <w:jc w:val="left"/>
              <w:rPr>
                <w:rFonts w:hint="eastAsia" w:ascii="宋体" w:hAnsi="宋体" w:eastAsia="宋体" w:cs="宋体"/>
                <w:snapToGrid w:val="0"/>
                <w:color w:val="auto"/>
                <w:kern w:val="0"/>
                <w:sz w:val="24"/>
                <w:highlight w:val="none"/>
                <w:lang w:eastAsia="zh-CN"/>
              </w:rPr>
            </w:pPr>
            <w:r>
              <w:rPr>
                <w:rFonts w:hint="eastAsia" w:ascii="宋体" w:hAnsi="宋体" w:eastAsia="宋体" w:cs="宋体"/>
                <w:snapToGrid w:val="0"/>
                <w:color w:val="auto"/>
                <w:kern w:val="0"/>
                <w:sz w:val="24"/>
                <w:highlight w:val="none"/>
                <w:lang w:eastAsia="zh-CN"/>
              </w:rPr>
              <w:t>韶武发改投审〔2024〕76号</w:t>
            </w:r>
          </w:p>
        </w:tc>
      </w:tr>
      <w:tr w14:paraId="570D64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721" w:type="dxa"/>
            <w:tcBorders>
              <w:top w:val="single" w:color="auto" w:sz="4" w:space="0"/>
              <w:left w:val="single" w:color="auto" w:sz="4" w:space="0"/>
              <w:bottom w:val="single" w:color="auto" w:sz="4" w:space="0"/>
              <w:right w:val="single" w:color="auto" w:sz="4" w:space="0"/>
            </w:tcBorders>
            <w:vAlign w:val="center"/>
          </w:tcPr>
          <w:p w14:paraId="3C24E7ED">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5</w:t>
            </w:r>
          </w:p>
        </w:tc>
        <w:tc>
          <w:tcPr>
            <w:tcW w:w="1725" w:type="dxa"/>
            <w:tcBorders>
              <w:top w:val="single" w:color="auto" w:sz="4" w:space="0"/>
              <w:left w:val="single" w:color="auto" w:sz="4" w:space="0"/>
              <w:bottom w:val="single" w:color="auto" w:sz="4" w:space="0"/>
              <w:right w:val="single" w:color="auto" w:sz="4" w:space="0"/>
            </w:tcBorders>
            <w:vAlign w:val="center"/>
          </w:tcPr>
          <w:p w14:paraId="62CA9CC8">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项目代码</w:t>
            </w:r>
          </w:p>
        </w:tc>
        <w:tc>
          <w:tcPr>
            <w:tcW w:w="6856" w:type="dxa"/>
            <w:tcBorders>
              <w:top w:val="single" w:color="auto" w:sz="4" w:space="0"/>
              <w:left w:val="single" w:color="auto" w:sz="4" w:space="0"/>
              <w:bottom w:val="single" w:color="auto" w:sz="4" w:space="0"/>
              <w:right w:val="single" w:color="auto" w:sz="4" w:space="0"/>
            </w:tcBorders>
            <w:vAlign w:val="center"/>
          </w:tcPr>
          <w:p w14:paraId="2BAFF47C">
            <w:pPr>
              <w:pStyle w:val="117"/>
              <w:keepNext w:val="0"/>
              <w:keepLines w:val="0"/>
              <w:pageBreakBefore w:val="0"/>
              <w:widowControl w:val="0"/>
              <w:kinsoku/>
              <w:overflowPunct/>
              <w:topLinePunct w:val="0"/>
              <w:autoSpaceDE/>
              <w:autoSpaceDN/>
              <w:bidi w:val="0"/>
              <w:spacing w:line="500" w:lineRule="exact"/>
              <w:ind w:firstLine="480" w:firstLineChars="200"/>
              <w:jc w:val="left"/>
              <w:rPr>
                <w:rFonts w:hint="eastAsia" w:ascii="宋体" w:hAnsi="宋体" w:eastAsia="宋体" w:cs="宋体"/>
                <w:snapToGrid w:val="0"/>
                <w:color w:val="auto"/>
                <w:kern w:val="0"/>
                <w:sz w:val="24"/>
                <w:highlight w:val="none"/>
                <w:lang w:eastAsia="zh-CN"/>
              </w:rPr>
            </w:pPr>
            <w:r>
              <w:rPr>
                <w:rFonts w:hint="eastAsia" w:ascii="宋体" w:hAnsi="宋体" w:cs="宋体"/>
                <w:snapToGrid w:val="0"/>
                <w:color w:val="auto"/>
                <w:kern w:val="0"/>
                <w:sz w:val="24"/>
                <w:highlight w:val="none"/>
                <w:lang w:eastAsia="zh-CN"/>
              </w:rPr>
              <w:t>2407-440203-20-01-713624、2511-440203-20-01-848353</w:t>
            </w:r>
          </w:p>
        </w:tc>
      </w:tr>
      <w:tr w14:paraId="53A3AD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85" w:hRule="exact"/>
        </w:trPr>
        <w:tc>
          <w:tcPr>
            <w:tcW w:w="721" w:type="dxa"/>
            <w:tcBorders>
              <w:top w:val="single" w:color="auto" w:sz="4" w:space="0"/>
              <w:left w:val="single" w:color="auto" w:sz="4" w:space="0"/>
              <w:bottom w:val="single" w:color="auto" w:sz="4" w:space="0"/>
              <w:right w:val="single" w:color="auto" w:sz="4" w:space="0"/>
            </w:tcBorders>
            <w:vAlign w:val="center"/>
          </w:tcPr>
          <w:p w14:paraId="160475F5">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6</w:t>
            </w:r>
          </w:p>
        </w:tc>
        <w:tc>
          <w:tcPr>
            <w:tcW w:w="1725" w:type="dxa"/>
            <w:tcBorders>
              <w:top w:val="single" w:color="auto" w:sz="4" w:space="0"/>
              <w:left w:val="single" w:color="auto" w:sz="4" w:space="0"/>
              <w:bottom w:val="single" w:color="auto" w:sz="4" w:space="0"/>
              <w:right w:val="single" w:color="auto" w:sz="4" w:space="0"/>
            </w:tcBorders>
            <w:vAlign w:val="center"/>
          </w:tcPr>
          <w:p w14:paraId="55C1A5D1">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color w:val="auto"/>
                <w:kern w:val="0"/>
                <w:szCs w:val="24"/>
                <w:highlight w:val="none"/>
              </w:rPr>
            </w:pPr>
            <w:r>
              <w:rPr>
                <w:rFonts w:hint="eastAsia" w:hAnsi="宋体" w:cs="宋体"/>
                <w:color w:val="auto"/>
                <w:kern w:val="0"/>
                <w:szCs w:val="24"/>
                <w:highlight w:val="none"/>
              </w:rPr>
              <w:t>资金来源</w:t>
            </w:r>
          </w:p>
          <w:p w14:paraId="0D0501A7">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color w:val="auto"/>
                <w:kern w:val="0"/>
                <w:szCs w:val="24"/>
                <w:highlight w:val="none"/>
              </w:rPr>
            </w:pPr>
            <w:r>
              <w:rPr>
                <w:rFonts w:hint="eastAsia" w:hAnsi="宋体" w:cs="宋体"/>
                <w:color w:val="auto"/>
                <w:kern w:val="0"/>
                <w:szCs w:val="24"/>
                <w:highlight w:val="none"/>
              </w:rPr>
              <w:t>及出资比例</w:t>
            </w:r>
          </w:p>
        </w:tc>
        <w:tc>
          <w:tcPr>
            <w:tcW w:w="6856" w:type="dxa"/>
            <w:tcBorders>
              <w:top w:val="single" w:color="auto" w:sz="4" w:space="0"/>
              <w:left w:val="single" w:color="auto" w:sz="4" w:space="0"/>
              <w:bottom w:val="single" w:color="auto" w:sz="4" w:space="0"/>
              <w:right w:val="single" w:color="auto" w:sz="4" w:space="0"/>
            </w:tcBorders>
            <w:vAlign w:val="center"/>
          </w:tcPr>
          <w:p w14:paraId="556F9C6E">
            <w:pPr>
              <w:keepNext w:val="0"/>
              <w:keepLines w:val="0"/>
              <w:pageBreakBefore w:val="0"/>
              <w:widowControl w:val="0"/>
              <w:tabs>
                <w:tab w:val="left" w:pos="5679"/>
              </w:tabs>
              <w:kinsoku/>
              <w:wordWrap w:val="0"/>
              <w:overflowPunct/>
              <w:topLinePunct w:val="0"/>
              <w:autoSpaceDE/>
              <w:autoSpaceDN/>
              <w:bidi w:val="0"/>
              <w:adjustRightInd w:val="0"/>
              <w:snapToGrid w:val="0"/>
              <w:spacing w:line="240" w:lineRule="auto"/>
              <w:ind w:firstLine="480" w:firstLineChars="200"/>
              <w:jc w:val="left"/>
              <w:textAlignment w:val="auto"/>
              <w:rPr>
                <w:rFonts w:hint="default" w:hAnsi="宋体" w:eastAsia="宋体" w:cs="宋体"/>
                <w:color w:val="auto"/>
                <w:kern w:val="0"/>
                <w:szCs w:val="24"/>
                <w:highlight w:val="none"/>
                <w:lang w:val="en-US" w:eastAsia="zh-CN"/>
              </w:rPr>
            </w:pPr>
            <w:r>
              <w:rPr>
                <w:rFonts w:hint="eastAsia" w:hAnsi="宋体" w:eastAsia="宋体" w:cs="宋体"/>
                <w:color w:val="auto"/>
                <w:szCs w:val="22"/>
                <w:highlight w:val="none"/>
                <w:lang w:val="en-US" w:eastAsia="zh-CN"/>
              </w:rPr>
              <w:t>由区财政统筹解决</w:t>
            </w:r>
            <w:r>
              <w:rPr>
                <w:rFonts w:hint="eastAsia" w:hAnsi="宋体" w:cs="宋体"/>
                <w:color w:val="auto"/>
                <w:kern w:val="0"/>
                <w:szCs w:val="24"/>
                <w:highlight w:val="none"/>
                <w:lang w:eastAsia="zh-CN"/>
              </w:rPr>
              <w:t>；</w:t>
            </w:r>
            <w:r>
              <w:rPr>
                <w:rFonts w:hint="eastAsia" w:hAnsi="宋体" w:cs="宋体"/>
                <w:color w:val="auto"/>
                <w:kern w:val="0"/>
                <w:szCs w:val="24"/>
                <w:highlight w:val="none"/>
              </w:rPr>
              <w:t>100%</w:t>
            </w:r>
            <w:r>
              <w:rPr>
                <w:rFonts w:hint="eastAsia" w:hAnsi="宋体" w:cs="宋体"/>
                <w:color w:val="auto"/>
                <w:kern w:val="0"/>
                <w:szCs w:val="24"/>
                <w:highlight w:val="none"/>
                <w:lang w:eastAsia="zh-CN"/>
              </w:rPr>
              <w:tab/>
            </w:r>
            <w:r>
              <w:rPr>
                <w:rFonts w:hint="eastAsia" w:hAnsi="宋体" w:cs="宋体"/>
                <w:color w:val="auto"/>
                <w:kern w:val="0"/>
                <w:szCs w:val="24"/>
                <w:highlight w:val="none"/>
                <w:lang w:val="en-US" w:eastAsia="zh-CN"/>
              </w:rPr>
              <w:t xml:space="preserve">   </w:t>
            </w:r>
          </w:p>
        </w:tc>
      </w:tr>
      <w:tr w14:paraId="12B646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721" w:type="dxa"/>
            <w:tcBorders>
              <w:top w:val="single" w:color="auto" w:sz="4" w:space="0"/>
              <w:left w:val="single" w:color="auto" w:sz="4" w:space="0"/>
              <w:bottom w:val="single" w:color="auto" w:sz="4" w:space="0"/>
              <w:right w:val="single" w:color="auto" w:sz="4" w:space="0"/>
            </w:tcBorders>
            <w:vAlign w:val="center"/>
          </w:tcPr>
          <w:p w14:paraId="4F4D09A2">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7</w:t>
            </w:r>
          </w:p>
        </w:tc>
        <w:tc>
          <w:tcPr>
            <w:tcW w:w="1725" w:type="dxa"/>
            <w:tcBorders>
              <w:top w:val="single" w:color="auto" w:sz="4" w:space="0"/>
              <w:left w:val="single" w:color="auto" w:sz="4" w:space="0"/>
              <w:bottom w:val="single" w:color="auto" w:sz="4" w:space="0"/>
              <w:right w:val="single" w:color="auto" w:sz="4" w:space="0"/>
            </w:tcBorders>
            <w:vAlign w:val="center"/>
          </w:tcPr>
          <w:p w14:paraId="7E8E6FAE">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招标人</w:t>
            </w:r>
          </w:p>
        </w:tc>
        <w:tc>
          <w:tcPr>
            <w:tcW w:w="6856" w:type="dxa"/>
            <w:tcBorders>
              <w:top w:val="single" w:color="auto" w:sz="4" w:space="0"/>
              <w:left w:val="single" w:color="auto" w:sz="4" w:space="0"/>
              <w:bottom w:val="single" w:color="auto" w:sz="4" w:space="0"/>
              <w:right w:val="single" w:color="auto" w:sz="4" w:space="0"/>
            </w:tcBorders>
            <w:vAlign w:val="center"/>
          </w:tcPr>
          <w:p w14:paraId="2B78CE37">
            <w:pPr>
              <w:pStyle w:val="117"/>
              <w:keepNext w:val="0"/>
              <w:keepLines w:val="0"/>
              <w:pageBreakBefore w:val="0"/>
              <w:tabs>
                <w:tab w:val="left" w:pos="1890"/>
              </w:tabs>
              <w:kinsoku/>
              <w:wordWrap/>
              <w:overflowPunct/>
              <w:topLinePunct w:val="0"/>
              <w:autoSpaceDE/>
              <w:autoSpaceDN/>
              <w:bidi w:val="0"/>
              <w:adjustRightInd/>
              <w:snapToGrid/>
              <w:spacing w:line="420" w:lineRule="exact"/>
              <w:ind w:firstLine="480" w:firstLineChars="200"/>
              <w:jc w:val="left"/>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cs="宋体"/>
                <w:color w:val="auto"/>
                <w:kern w:val="2"/>
                <w:sz w:val="24"/>
                <w:szCs w:val="22"/>
                <w:highlight w:val="none"/>
                <w:lang w:val="en-US" w:eastAsia="zh-CN" w:bidi="ar-SA"/>
              </w:rPr>
              <w:t>韶关市武江区西河镇人民政府</w:t>
            </w:r>
          </w:p>
        </w:tc>
      </w:tr>
      <w:tr w14:paraId="7E0D87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721" w:type="dxa"/>
            <w:tcBorders>
              <w:top w:val="single" w:color="auto" w:sz="4" w:space="0"/>
              <w:left w:val="single" w:color="auto" w:sz="4" w:space="0"/>
              <w:bottom w:val="single" w:color="auto" w:sz="4" w:space="0"/>
              <w:right w:val="single" w:color="auto" w:sz="4" w:space="0"/>
            </w:tcBorders>
            <w:vAlign w:val="center"/>
          </w:tcPr>
          <w:p w14:paraId="1862C63B">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8</w:t>
            </w:r>
          </w:p>
        </w:tc>
        <w:tc>
          <w:tcPr>
            <w:tcW w:w="1725" w:type="dxa"/>
            <w:tcBorders>
              <w:top w:val="single" w:color="auto" w:sz="4" w:space="0"/>
              <w:left w:val="single" w:color="auto" w:sz="4" w:space="0"/>
              <w:bottom w:val="single" w:color="auto" w:sz="4" w:space="0"/>
              <w:right w:val="single" w:color="auto" w:sz="4" w:space="0"/>
            </w:tcBorders>
            <w:vAlign w:val="center"/>
          </w:tcPr>
          <w:p w14:paraId="4E7BF75C">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招标代理机构</w:t>
            </w:r>
          </w:p>
        </w:tc>
        <w:tc>
          <w:tcPr>
            <w:tcW w:w="6856" w:type="dxa"/>
            <w:tcBorders>
              <w:top w:val="single" w:color="auto" w:sz="4" w:space="0"/>
              <w:left w:val="single" w:color="auto" w:sz="4" w:space="0"/>
              <w:bottom w:val="single" w:color="auto" w:sz="4" w:space="0"/>
              <w:right w:val="single" w:color="auto" w:sz="4" w:space="0"/>
            </w:tcBorders>
            <w:vAlign w:val="center"/>
          </w:tcPr>
          <w:p w14:paraId="247F9F6F">
            <w:pPr>
              <w:pStyle w:val="117"/>
              <w:keepNext w:val="0"/>
              <w:keepLines w:val="0"/>
              <w:pageBreakBefore w:val="0"/>
              <w:tabs>
                <w:tab w:val="left" w:pos="1890"/>
              </w:tabs>
              <w:kinsoku/>
              <w:wordWrap/>
              <w:overflowPunct/>
              <w:topLinePunct w:val="0"/>
              <w:autoSpaceDE/>
              <w:autoSpaceDN/>
              <w:bidi w:val="0"/>
              <w:adjustRightInd/>
              <w:snapToGrid/>
              <w:spacing w:line="420" w:lineRule="exact"/>
              <w:ind w:firstLine="480" w:firstLineChars="200"/>
              <w:jc w:val="left"/>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cs="宋体"/>
                <w:color w:val="auto"/>
                <w:kern w:val="2"/>
                <w:sz w:val="24"/>
                <w:szCs w:val="22"/>
                <w:highlight w:val="none"/>
                <w:lang w:val="en-US" w:eastAsia="zh-CN" w:bidi="ar-SA"/>
              </w:rPr>
              <w:t>韶关市星尘工程咨询有限公司</w:t>
            </w:r>
          </w:p>
        </w:tc>
      </w:tr>
      <w:tr w14:paraId="527226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721" w:type="dxa"/>
            <w:tcBorders>
              <w:top w:val="single" w:color="auto" w:sz="4" w:space="0"/>
              <w:left w:val="single" w:color="auto" w:sz="4" w:space="0"/>
              <w:bottom w:val="single" w:color="auto" w:sz="4" w:space="0"/>
              <w:right w:val="single" w:color="auto" w:sz="4" w:space="0"/>
            </w:tcBorders>
            <w:vAlign w:val="center"/>
          </w:tcPr>
          <w:p w14:paraId="67F0BD23">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9</w:t>
            </w:r>
          </w:p>
        </w:tc>
        <w:tc>
          <w:tcPr>
            <w:tcW w:w="1725" w:type="dxa"/>
            <w:tcBorders>
              <w:top w:val="single" w:color="auto" w:sz="4" w:space="0"/>
              <w:left w:val="single" w:color="auto" w:sz="4" w:space="0"/>
              <w:bottom w:val="single" w:color="auto" w:sz="4" w:space="0"/>
              <w:right w:val="single" w:color="auto" w:sz="4" w:space="0"/>
            </w:tcBorders>
            <w:vAlign w:val="center"/>
          </w:tcPr>
          <w:p w14:paraId="38C9C60D">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施工单位</w:t>
            </w:r>
          </w:p>
        </w:tc>
        <w:tc>
          <w:tcPr>
            <w:tcW w:w="6856" w:type="dxa"/>
            <w:tcBorders>
              <w:top w:val="single" w:color="auto" w:sz="4" w:space="0"/>
              <w:left w:val="single" w:color="auto" w:sz="4" w:space="0"/>
              <w:bottom w:val="single" w:color="auto" w:sz="4" w:space="0"/>
              <w:right w:val="single" w:color="auto" w:sz="4" w:space="0"/>
            </w:tcBorders>
            <w:vAlign w:val="center"/>
          </w:tcPr>
          <w:p w14:paraId="5A573BFA">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rPr>
                <w:rFonts w:hint="eastAsia" w:hAnsi="宋体" w:eastAsia="宋体" w:cs="宋体"/>
                <w:bCs/>
                <w:snapToGrid w:val="0"/>
                <w:color w:val="auto"/>
                <w:kern w:val="0"/>
                <w:szCs w:val="24"/>
                <w:highlight w:val="none"/>
                <w:lang w:val="en-US" w:eastAsia="zh-CN"/>
              </w:rPr>
            </w:pPr>
            <w:r>
              <w:rPr>
                <w:rFonts w:hint="eastAsia" w:hAnsi="宋体" w:cs="宋体"/>
                <w:bCs/>
                <w:snapToGrid w:val="0"/>
                <w:color w:val="auto"/>
                <w:kern w:val="0"/>
                <w:szCs w:val="24"/>
                <w:highlight w:val="none"/>
                <w:lang w:val="en-US" w:eastAsia="zh-CN"/>
              </w:rPr>
              <w:t>待定</w:t>
            </w:r>
          </w:p>
        </w:tc>
      </w:tr>
      <w:tr w14:paraId="23BD85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721" w:type="dxa"/>
            <w:tcBorders>
              <w:top w:val="single" w:color="auto" w:sz="4" w:space="0"/>
              <w:left w:val="single" w:color="auto" w:sz="4" w:space="0"/>
              <w:bottom w:val="single" w:color="auto" w:sz="4" w:space="0"/>
              <w:right w:val="single" w:color="auto" w:sz="4" w:space="0"/>
            </w:tcBorders>
            <w:vAlign w:val="center"/>
          </w:tcPr>
          <w:p w14:paraId="3CCDDB26">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10</w:t>
            </w:r>
          </w:p>
        </w:tc>
        <w:tc>
          <w:tcPr>
            <w:tcW w:w="1725" w:type="dxa"/>
            <w:tcBorders>
              <w:top w:val="single" w:color="auto" w:sz="4" w:space="0"/>
              <w:left w:val="single" w:color="auto" w:sz="4" w:space="0"/>
              <w:bottom w:val="single" w:color="auto" w:sz="4" w:space="0"/>
              <w:right w:val="single" w:color="auto" w:sz="4" w:space="0"/>
            </w:tcBorders>
            <w:vAlign w:val="center"/>
          </w:tcPr>
          <w:p w14:paraId="6FF12DE8">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建设地点</w:t>
            </w:r>
          </w:p>
        </w:tc>
        <w:tc>
          <w:tcPr>
            <w:tcW w:w="6856" w:type="dxa"/>
            <w:tcBorders>
              <w:top w:val="single" w:color="auto" w:sz="4" w:space="0"/>
              <w:left w:val="single" w:color="auto" w:sz="4" w:space="0"/>
              <w:bottom w:val="single" w:color="auto" w:sz="4" w:space="0"/>
              <w:right w:val="single" w:color="auto" w:sz="4" w:space="0"/>
            </w:tcBorders>
            <w:vAlign w:val="center"/>
          </w:tcPr>
          <w:p w14:paraId="38AD8131">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rPr>
                <w:rFonts w:hAnsi="宋体" w:cs="宋体"/>
                <w:bCs/>
                <w:snapToGrid w:val="0"/>
                <w:color w:val="auto"/>
                <w:kern w:val="0"/>
                <w:szCs w:val="24"/>
                <w:highlight w:val="none"/>
              </w:rPr>
            </w:pPr>
            <w:r>
              <w:rPr>
                <w:rFonts w:hint="eastAsia" w:hAnsi="宋体" w:cs="宋体"/>
                <w:color w:val="auto"/>
                <w:szCs w:val="22"/>
                <w:highlight w:val="none"/>
                <w:lang w:val="en-US" w:eastAsia="zh-CN"/>
              </w:rPr>
              <w:t>韶关市武江区西河镇什石园村</w:t>
            </w:r>
          </w:p>
        </w:tc>
      </w:tr>
      <w:tr w14:paraId="60FBEB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92" w:hRule="exact"/>
        </w:trPr>
        <w:tc>
          <w:tcPr>
            <w:tcW w:w="721" w:type="dxa"/>
            <w:tcBorders>
              <w:top w:val="single" w:color="auto" w:sz="4" w:space="0"/>
              <w:left w:val="single" w:color="auto" w:sz="4" w:space="0"/>
              <w:bottom w:val="single" w:color="auto" w:sz="4" w:space="0"/>
              <w:right w:val="single" w:color="auto" w:sz="4" w:space="0"/>
            </w:tcBorders>
            <w:vAlign w:val="center"/>
          </w:tcPr>
          <w:p w14:paraId="1C3DB1E9">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11</w:t>
            </w:r>
          </w:p>
        </w:tc>
        <w:tc>
          <w:tcPr>
            <w:tcW w:w="1725" w:type="dxa"/>
            <w:tcBorders>
              <w:top w:val="single" w:color="auto" w:sz="4" w:space="0"/>
              <w:left w:val="single" w:color="auto" w:sz="4" w:space="0"/>
              <w:bottom w:val="single" w:color="auto" w:sz="4" w:space="0"/>
              <w:right w:val="single" w:color="auto" w:sz="4" w:space="0"/>
            </w:tcBorders>
            <w:vAlign w:val="center"/>
          </w:tcPr>
          <w:p w14:paraId="524B41AB">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建设内容和规模</w:t>
            </w:r>
          </w:p>
        </w:tc>
        <w:tc>
          <w:tcPr>
            <w:tcW w:w="6856" w:type="dxa"/>
            <w:tcBorders>
              <w:top w:val="single" w:color="auto" w:sz="4" w:space="0"/>
              <w:left w:val="single" w:color="auto" w:sz="4" w:space="0"/>
              <w:bottom w:val="single" w:color="auto" w:sz="4" w:space="0"/>
              <w:right w:val="single" w:color="auto" w:sz="4" w:space="0"/>
            </w:tcBorders>
            <w:vAlign w:val="center"/>
          </w:tcPr>
          <w:p w14:paraId="07AEA89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 w:val="24"/>
                <w:highlight w:val="none"/>
                <w:lang w:eastAsia="zh-CN"/>
              </w:rPr>
              <w:t>什石园村内道路和配套设施提升约7000平方米、给排水基础设施及排洪渠提升约2千米、房屋和围墙等修缮提升约1.5万平方米，节点提升5处，新建路灯约100盏，三线整修约8千米条，绿化提升约2000平方米，撂荒地整治约6700平方米。</w:t>
            </w:r>
          </w:p>
        </w:tc>
      </w:tr>
      <w:tr w14:paraId="2CCBD7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7" w:hRule="exact"/>
        </w:trPr>
        <w:tc>
          <w:tcPr>
            <w:tcW w:w="721" w:type="dxa"/>
            <w:tcBorders>
              <w:top w:val="single" w:color="auto" w:sz="4" w:space="0"/>
              <w:left w:val="single" w:color="auto" w:sz="4" w:space="0"/>
              <w:bottom w:val="single" w:color="auto" w:sz="4" w:space="0"/>
              <w:right w:val="single" w:color="auto" w:sz="4" w:space="0"/>
            </w:tcBorders>
            <w:vAlign w:val="center"/>
          </w:tcPr>
          <w:p w14:paraId="38F04D53">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12</w:t>
            </w:r>
          </w:p>
        </w:tc>
        <w:tc>
          <w:tcPr>
            <w:tcW w:w="1725" w:type="dxa"/>
            <w:tcBorders>
              <w:top w:val="single" w:color="auto" w:sz="4" w:space="0"/>
              <w:left w:val="single" w:color="auto" w:sz="4" w:space="0"/>
              <w:bottom w:val="single" w:color="auto" w:sz="4" w:space="0"/>
              <w:right w:val="single" w:color="auto" w:sz="4" w:space="0"/>
            </w:tcBorders>
            <w:vAlign w:val="center"/>
          </w:tcPr>
          <w:p w14:paraId="77F81F0E">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项目总投资</w:t>
            </w:r>
          </w:p>
        </w:tc>
        <w:tc>
          <w:tcPr>
            <w:tcW w:w="6856" w:type="dxa"/>
            <w:tcBorders>
              <w:top w:val="single" w:color="auto" w:sz="4" w:space="0"/>
              <w:left w:val="single" w:color="auto" w:sz="4" w:space="0"/>
              <w:bottom w:val="single" w:color="auto" w:sz="4" w:space="0"/>
              <w:right w:val="single" w:color="auto" w:sz="4" w:space="0"/>
            </w:tcBorders>
            <w:vAlign w:val="center"/>
          </w:tcPr>
          <w:p w14:paraId="5A4E55A0">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int="default" w:hAnsi="宋体" w:cs="宋体"/>
                <w:snapToGrid w:val="0"/>
                <w:color w:val="auto"/>
                <w:kern w:val="0"/>
                <w:szCs w:val="24"/>
                <w:highlight w:val="none"/>
                <w:lang w:val="en-US"/>
              </w:rPr>
            </w:pPr>
            <w:r>
              <w:rPr>
                <w:rFonts w:hint="eastAsia" w:hAnsi="宋体" w:cs="宋体"/>
                <w:color w:val="auto"/>
                <w:kern w:val="0"/>
                <w:sz w:val="24"/>
                <w:szCs w:val="24"/>
                <w:highlight w:val="none"/>
                <w:lang w:val="en-US" w:eastAsia="zh-CN" w:bidi="ar-SA"/>
              </w:rPr>
              <w:t>本项目建安工程造价约496.98万元</w:t>
            </w:r>
          </w:p>
        </w:tc>
      </w:tr>
      <w:tr w14:paraId="2303D5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058" w:hRule="exact"/>
        </w:trPr>
        <w:tc>
          <w:tcPr>
            <w:tcW w:w="721" w:type="dxa"/>
            <w:tcBorders>
              <w:top w:val="single" w:color="auto" w:sz="4" w:space="0"/>
              <w:left w:val="single" w:color="auto" w:sz="4" w:space="0"/>
              <w:bottom w:val="single" w:color="auto" w:sz="4" w:space="0"/>
              <w:right w:val="single" w:color="auto" w:sz="4" w:space="0"/>
            </w:tcBorders>
            <w:vAlign w:val="center"/>
          </w:tcPr>
          <w:p w14:paraId="4291E04E">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13</w:t>
            </w:r>
          </w:p>
        </w:tc>
        <w:tc>
          <w:tcPr>
            <w:tcW w:w="1725" w:type="dxa"/>
            <w:tcBorders>
              <w:top w:val="single" w:color="auto" w:sz="4" w:space="0"/>
              <w:left w:val="single" w:color="auto" w:sz="4" w:space="0"/>
              <w:bottom w:val="single" w:color="auto" w:sz="4" w:space="0"/>
              <w:right w:val="single" w:color="auto" w:sz="4" w:space="0"/>
            </w:tcBorders>
            <w:vAlign w:val="center"/>
          </w:tcPr>
          <w:p w14:paraId="7C84CB2F">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招标范围</w:t>
            </w:r>
          </w:p>
        </w:tc>
        <w:tc>
          <w:tcPr>
            <w:tcW w:w="6856" w:type="dxa"/>
            <w:tcBorders>
              <w:top w:val="single" w:color="auto" w:sz="4" w:space="0"/>
              <w:left w:val="single" w:color="auto" w:sz="4" w:space="0"/>
              <w:bottom w:val="single" w:color="auto" w:sz="4" w:space="0"/>
              <w:right w:val="single" w:color="auto" w:sz="4" w:space="0"/>
            </w:tcBorders>
            <w:vAlign w:val="center"/>
          </w:tcPr>
          <w:p w14:paraId="15FBF660">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Ansi="宋体" w:cs="宋体"/>
                <w:bCs/>
                <w:snapToGrid w:val="0"/>
                <w:color w:val="auto"/>
                <w:kern w:val="0"/>
                <w:szCs w:val="24"/>
                <w:highlight w:val="none"/>
              </w:rPr>
            </w:pPr>
            <w:r>
              <w:rPr>
                <w:rFonts w:hint="eastAsia" w:hAnsi="宋体" w:cs="宋体"/>
                <w:bCs/>
                <w:snapToGrid w:val="0"/>
                <w:color w:val="auto"/>
                <w:kern w:val="0"/>
                <w:szCs w:val="24"/>
                <w:highlight w:val="none"/>
              </w:rPr>
              <w:t>项目建设施工阶段监理（含施工准备阶段、施工阶段、工程竣工结算阶段和保修阶段监理）</w:t>
            </w:r>
          </w:p>
        </w:tc>
      </w:tr>
      <w:tr w14:paraId="56A166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4" w:hRule="exact"/>
        </w:trPr>
        <w:tc>
          <w:tcPr>
            <w:tcW w:w="721" w:type="dxa"/>
            <w:tcBorders>
              <w:top w:val="single" w:color="auto" w:sz="4" w:space="0"/>
              <w:left w:val="single" w:color="auto" w:sz="4" w:space="0"/>
              <w:bottom w:val="single" w:color="auto" w:sz="4" w:space="0"/>
              <w:right w:val="single" w:color="auto" w:sz="4" w:space="0"/>
            </w:tcBorders>
            <w:vAlign w:val="center"/>
          </w:tcPr>
          <w:p w14:paraId="24E64C0D">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14</w:t>
            </w:r>
          </w:p>
        </w:tc>
        <w:tc>
          <w:tcPr>
            <w:tcW w:w="1725" w:type="dxa"/>
            <w:tcBorders>
              <w:top w:val="single" w:color="auto" w:sz="4" w:space="0"/>
              <w:left w:val="single" w:color="auto" w:sz="4" w:space="0"/>
              <w:bottom w:val="single" w:color="auto" w:sz="4" w:space="0"/>
              <w:right w:val="single" w:color="auto" w:sz="4" w:space="0"/>
            </w:tcBorders>
            <w:vAlign w:val="center"/>
          </w:tcPr>
          <w:p w14:paraId="395764C6">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标段划分</w:t>
            </w:r>
          </w:p>
        </w:tc>
        <w:tc>
          <w:tcPr>
            <w:tcW w:w="6856" w:type="dxa"/>
            <w:tcBorders>
              <w:top w:val="single" w:color="auto" w:sz="4" w:space="0"/>
              <w:left w:val="single" w:color="auto" w:sz="4" w:space="0"/>
              <w:bottom w:val="single" w:color="auto" w:sz="4" w:space="0"/>
              <w:right w:val="single" w:color="auto" w:sz="4" w:space="0"/>
            </w:tcBorders>
            <w:vAlign w:val="center"/>
          </w:tcPr>
          <w:p w14:paraId="6F6ED3D3">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rPr>
                <w:rFonts w:hAnsi="宋体" w:cs="宋体"/>
                <w:snapToGrid w:val="0"/>
                <w:color w:val="auto"/>
                <w:kern w:val="0"/>
                <w:szCs w:val="24"/>
                <w:highlight w:val="none"/>
              </w:rPr>
            </w:pPr>
            <w:r>
              <w:rPr>
                <w:rFonts w:hint="eastAsia" w:hAnsi="宋体" w:cs="宋体"/>
                <w:snapToGrid w:val="0"/>
                <w:color w:val="auto"/>
                <w:kern w:val="0"/>
                <w:szCs w:val="24"/>
                <w:highlight w:val="none"/>
              </w:rPr>
              <w:t>本招标项目不划分标段。</w:t>
            </w:r>
          </w:p>
        </w:tc>
      </w:tr>
      <w:tr w14:paraId="1EAF66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77" w:hRule="atLeast"/>
        </w:trPr>
        <w:tc>
          <w:tcPr>
            <w:tcW w:w="721" w:type="dxa"/>
            <w:tcBorders>
              <w:top w:val="single" w:color="auto" w:sz="4" w:space="0"/>
              <w:left w:val="single" w:color="auto" w:sz="4" w:space="0"/>
              <w:bottom w:val="single" w:color="auto" w:sz="4" w:space="0"/>
              <w:right w:val="single" w:color="auto" w:sz="4" w:space="0"/>
            </w:tcBorders>
            <w:vAlign w:val="center"/>
          </w:tcPr>
          <w:p w14:paraId="0D21C19F">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15</w:t>
            </w:r>
          </w:p>
        </w:tc>
        <w:tc>
          <w:tcPr>
            <w:tcW w:w="1725" w:type="dxa"/>
            <w:tcBorders>
              <w:top w:val="single" w:color="auto" w:sz="4" w:space="0"/>
              <w:left w:val="single" w:color="auto" w:sz="4" w:space="0"/>
              <w:bottom w:val="single" w:color="auto" w:sz="4" w:space="0"/>
              <w:right w:val="single" w:color="auto" w:sz="4" w:space="0"/>
            </w:tcBorders>
            <w:vAlign w:val="center"/>
          </w:tcPr>
          <w:p w14:paraId="39645DBB">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投标人资格要求</w:t>
            </w:r>
          </w:p>
        </w:tc>
        <w:tc>
          <w:tcPr>
            <w:tcW w:w="6856" w:type="dxa"/>
            <w:tcBorders>
              <w:top w:val="single" w:color="auto" w:sz="4" w:space="0"/>
              <w:left w:val="single" w:color="auto" w:sz="4" w:space="0"/>
              <w:bottom w:val="single" w:color="auto" w:sz="4" w:space="0"/>
              <w:right w:val="single" w:color="auto" w:sz="4" w:space="0"/>
            </w:tcBorders>
            <w:vAlign w:val="center"/>
          </w:tcPr>
          <w:p w14:paraId="72B4A504">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Ansi="宋体" w:cs="宋体"/>
                <w:color w:val="auto"/>
                <w:szCs w:val="24"/>
                <w:highlight w:val="none"/>
              </w:rPr>
            </w:pPr>
            <w:r>
              <w:rPr>
                <w:rFonts w:hint="eastAsia" w:hAnsi="宋体" w:cs="宋体"/>
                <w:color w:val="auto"/>
                <w:szCs w:val="24"/>
                <w:highlight w:val="none"/>
              </w:rPr>
              <w:t>1．本次招标不接受联合体投标。</w:t>
            </w:r>
          </w:p>
          <w:p w14:paraId="0C43707D">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Ansi="宋体" w:cs="宋体"/>
                <w:color w:val="auto"/>
                <w:szCs w:val="24"/>
                <w:highlight w:val="none"/>
              </w:rPr>
            </w:pPr>
            <w:r>
              <w:rPr>
                <w:rFonts w:hint="eastAsia" w:hAnsi="宋体" w:cs="宋体"/>
                <w:color w:val="auto"/>
                <w:szCs w:val="24"/>
                <w:highlight w:val="none"/>
              </w:rPr>
              <w:t>2．资质要求</w:t>
            </w:r>
          </w:p>
          <w:p w14:paraId="5E83E10D">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2.1 投标人须具备独立法人资格，按国家法律经营。</w:t>
            </w:r>
          </w:p>
          <w:p w14:paraId="0BD694E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int="eastAsia" w:ascii="宋体" w:hAnsi="宋体" w:eastAsia="宋体" w:cs="宋体"/>
                <w:color w:val="auto"/>
                <w:szCs w:val="24"/>
                <w:highlight w:val="none"/>
              </w:rPr>
            </w:pPr>
            <w:r>
              <w:rPr>
                <w:rFonts w:hint="eastAsia" w:hAnsi="宋体" w:cs="宋体"/>
                <w:color w:val="auto"/>
                <w:szCs w:val="24"/>
                <w:highlight w:val="none"/>
              </w:rPr>
              <w:t xml:space="preserve">2.2 </w:t>
            </w:r>
            <w:r>
              <w:rPr>
                <w:rFonts w:hint="eastAsia" w:ascii="宋体" w:hAnsi="宋体" w:eastAsia="宋体" w:cs="宋体"/>
                <w:color w:val="auto"/>
                <w:szCs w:val="24"/>
                <w:highlight w:val="none"/>
              </w:rPr>
              <w:t>投标人须具备以下资质之一：①工程监理综合资质；②市政公用工程监理</w:t>
            </w:r>
            <w:r>
              <w:rPr>
                <w:rFonts w:hint="eastAsia" w:hAnsi="宋体" w:cs="宋体"/>
                <w:color w:val="auto"/>
                <w:szCs w:val="24"/>
                <w:highlight w:val="none"/>
                <w:lang w:val="en-US" w:eastAsia="zh-CN"/>
              </w:rPr>
              <w:t>乙</w:t>
            </w:r>
            <w:r>
              <w:rPr>
                <w:rFonts w:hint="eastAsia" w:ascii="宋体" w:hAnsi="宋体" w:eastAsia="宋体" w:cs="宋体"/>
                <w:color w:val="auto"/>
                <w:szCs w:val="24"/>
                <w:highlight w:val="none"/>
              </w:rPr>
              <w:t>级以上（含</w:t>
            </w:r>
            <w:r>
              <w:rPr>
                <w:rFonts w:hint="eastAsia" w:hAnsi="宋体" w:cs="宋体"/>
                <w:color w:val="auto"/>
                <w:szCs w:val="24"/>
                <w:highlight w:val="none"/>
                <w:lang w:val="en-US" w:eastAsia="zh-CN"/>
              </w:rPr>
              <w:t>乙</w:t>
            </w:r>
            <w:r>
              <w:rPr>
                <w:rFonts w:hint="eastAsia" w:ascii="宋体" w:hAnsi="宋体" w:eastAsia="宋体" w:cs="宋体"/>
                <w:color w:val="auto"/>
                <w:szCs w:val="24"/>
                <w:highlight w:val="none"/>
              </w:rPr>
              <w:t>级）资质。</w:t>
            </w:r>
          </w:p>
          <w:p w14:paraId="313E5A8A">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2.3 投标人的企业相关证书、人员资质、资格有效期到期的，均按该证书的发证机构相关行业主管部门最新文件执行（如自动顺延或推迟办理延期业务的通知），投标人必须将相关文件附在该证书后面中，证明在开标日继续有效。</w:t>
            </w:r>
          </w:p>
          <w:p w14:paraId="5F5074AC">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3．相关人员要求</w:t>
            </w:r>
          </w:p>
          <w:p w14:paraId="167EA274">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3.1 拟派总监理工程师为市政公用工程专业注册监理工程师，应持有国家住建部印发的有效注册证书，其担任总监理工程师职务的其他在施（包括已中标未开工、已开工未竣工）建设工程项目不得超过</w:t>
            </w:r>
            <w:r>
              <w:rPr>
                <w:rFonts w:hint="eastAsia" w:hAnsi="宋体" w:cs="宋体"/>
                <w:color w:val="auto"/>
                <w:szCs w:val="24"/>
                <w:highlight w:val="none"/>
                <w:u w:val="single"/>
              </w:rPr>
              <w:t xml:space="preserve"> 2 </w:t>
            </w:r>
            <w:r>
              <w:rPr>
                <w:rFonts w:hint="eastAsia" w:hAnsi="宋体" w:cs="宋体"/>
                <w:color w:val="auto"/>
                <w:szCs w:val="24"/>
                <w:highlight w:val="none"/>
              </w:rPr>
              <w:t>个。</w:t>
            </w:r>
          </w:p>
          <w:p w14:paraId="6A7B3674">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拟派总监理工程师现阶段有担任其他在施建设工程项目总监理工程师职务的，须得到任职项目建设单位书面同意后方可担任本招标项目总监理工程师。</w:t>
            </w:r>
          </w:p>
          <w:p w14:paraId="27183460">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3.2 投标人与其拟派往本项目监理机构的所有人员之间必须具备合法、唯一的劳动聘用关系。拟派人员中具备注册执业资格的，其注册单位须与投标人保持一致。</w:t>
            </w:r>
          </w:p>
          <w:p w14:paraId="4D8E3C3A">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4．禁止投标条款</w:t>
            </w:r>
          </w:p>
          <w:p w14:paraId="643A7970">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4.1 投标人不得存在下列情形之一：</w:t>
            </w:r>
          </w:p>
          <w:p w14:paraId="33D9336C">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（1）为招标人不具有独立法人资格的附属机构（单位）；</w:t>
            </w:r>
          </w:p>
          <w:p w14:paraId="050EBDBB">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（2）与招标人存在利害关系且可能影响招标公正性；</w:t>
            </w:r>
          </w:p>
          <w:p w14:paraId="24F40CA1">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（3）与本招标项目的其他投标人为同一个单位负责人；</w:t>
            </w:r>
          </w:p>
          <w:p w14:paraId="1244D360">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（4）与本招标项目的其他投标人存在控股、管理关系；</w:t>
            </w:r>
          </w:p>
          <w:p w14:paraId="66985ACF">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（5）为本招标项目的代建人；</w:t>
            </w:r>
          </w:p>
          <w:p w14:paraId="7A5518C4">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（6）为本招标项目的招标代理机构；</w:t>
            </w:r>
          </w:p>
          <w:p w14:paraId="4B96EB39">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（7）与本招标项目的代建人或招标代理机构同为一个法定代表人；</w:t>
            </w:r>
          </w:p>
          <w:p w14:paraId="097A8C09">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（8）与本招标项目的代建人或招标代理机构存在控股或参股关系；</w:t>
            </w:r>
          </w:p>
          <w:p w14:paraId="6F337B4D">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（9）与本招标项目的施工承包人以及建筑材料、建筑构配件和设备供应商有隶属关系或者其他利害关系；</w:t>
            </w:r>
          </w:p>
          <w:p w14:paraId="73DC5655">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（10）被依法暂停或者取消投标资格；</w:t>
            </w:r>
          </w:p>
          <w:p w14:paraId="679F4547">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（11）被责令停产停业、暂扣或者吊销许可证、暂扣或者吊销执照；</w:t>
            </w:r>
          </w:p>
          <w:p w14:paraId="27E4256A">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（12）进入清算程序，或被宣告破产，或其他丧失履约能力的情形；</w:t>
            </w:r>
          </w:p>
          <w:p w14:paraId="74156A1D">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（13）在最近三年内发生重大监理质量问题（以相关行业主管部门的行政处罚决定或司法机关出具的有关法律文书为准）；</w:t>
            </w:r>
          </w:p>
          <w:p w14:paraId="6002F34E">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（14）</w:t>
            </w:r>
            <w:r>
              <w:rPr>
                <w:rFonts w:hint="eastAsia" w:hAnsi="宋体" w:cs="宋体"/>
                <w:color w:val="auto"/>
                <w:kern w:val="0"/>
                <w:highlight w:val="none"/>
              </w:rPr>
              <w:t>被“信用中国”网站（https://www.creditchina.gov.cn）发布的《法人和非法人组织公共信用信息报告》列为严重失信主体名单的</w:t>
            </w:r>
            <w:r>
              <w:rPr>
                <w:rFonts w:hint="eastAsia" w:hAnsi="宋体" w:cs="宋体"/>
                <w:color w:val="auto"/>
                <w:szCs w:val="24"/>
                <w:highlight w:val="none"/>
              </w:rPr>
              <w:t>。</w:t>
            </w:r>
          </w:p>
          <w:p w14:paraId="07596E7A">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Ansi="宋体" w:cs="宋体"/>
                <w:color w:val="auto"/>
                <w:szCs w:val="24"/>
                <w:highlight w:val="none"/>
              </w:rPr>
            </w:pPr>
            <w:r>
              <w:rPr>
                <w:rFonts w:hint="eastAsia" w:hAnsi="宋体" w:cs="宋体"/>
                <w:color w:val="auto"/>
                <w:szCs w:val="24"/>
                <w:highlight w:val="none"/>
              </w:rPr>
              <w:t>4.2 招标人拒绝以下名单中的单位参加本次投标：</w:t>
            </w:r>
          </w:p>
          <w:tbl>
            <w:tblPr>
              <w:tblStyle w:val="31"/>
              <w:tblW w:w="6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3111"/>
              <w:gridCol w:w="2787"/>
            </w:tblGrid>
            <w:tr w14:paraId="6DFE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6" w:type="dxa"/>
                  <w:noWrap w:val="0"/>
                  <w:vAlign w:val="center"/>
                </w:tcPr>
                <w:p w14:paraId="1D38E1D9">
                  <w:pPr>
                    <w:keepNext w:val="0"/>
                    <w:keepLines w:val="0"/>
                    <w:pageBreakBefore w:val="0"/>
                    <w:widowControl w:val="0"/>
                    <w:tabs>
                      <w:tab w:val="left" w:pos="1890"/>
                    </w:tabs>
                    <w:kinsoku/>
                    <w:wordWrap/>
                    <w:overflowPunct/>
                    <w:topLinePunct w:val="0"/>
                    <w:autoSpaceDE/>
                    <w:autoSpaceDN/>
                    <w:bidi w:val="0"/>
                    <w:adjustRightInd/>
                    <w:snapToGrid/>
                    <w:spacing w:line="4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3111" w:type="dxa"/>
                  <w:noWrap w:val="0"/>
                  <w:vAlign w:val="center"/>
                </w:tcPr>
                <w:p w14:paraId="7D918EF4">
                  <w:pPr>
                    <w:keepNext w:val="0"/>
                    <w:keepLines w:val="0"/>
                    <w:pageBreakBefore w:val="0"/>
                    <w:widowControl w:val="0"/>
                    <w:tabs>
                      <w:tab w:val="left" w:pos="1890"/>
                    </w:tabs>
                    <w:kinsoku/>
                    <w:wordWrap/>
                    <w:overflowPunct/>
                    <w:topLinePunct w:val="0"/>
                    <w:autoSpaceDE/>
                    <w:autoSpaceDN/>
                    <w:bidi w:val="0"/>
                    <w:adjustRightInd/>
                    <w:snapToGrid/>
                    <w:spacing w:line="4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2787" w:type="dxa"/>
                  <w:noWrap w:val="0"/>
                  <w:vAlign w:val="center"/>
                </w:tcPr>
                <w:p w14:paraId="20BE8CAB">
                  <w:pPr>
                    <w:keepNext w:val="0"/>
                    <w:keepLines w:val="0"/>
                    <w:pageBreakBefore w:val="0"/>
                    <w:widowControl w:val="0"/>
                    <w:tabs>
                      <w:tab w:val="left" w:pos="1890"/>
                    </w:tabs>
                    <w:kinsoku/>
                    <w:wordWrap/>
                    <w:overflowPunct/>
                    <w:topLinePunct w:val="0"/>
                    <w:autoSpaceDE/>
                    <w:autoSpaceDN/>
                    <w:bidi w:val="0"/>
                    <w:adjustRightInd/>
                    <w:snapToGrid/>
                    <w:spacing w:line="4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3D6A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6" w:type="dxa"/>
                  <w:noWrap w:val="0"/>
                  <w:vAlign w:val="center"/>
                </w:tcPr>
                <w:p w14:paraId="5B757AB9">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p>
              </w:tc>
              <w:tc>
                <w:tcPr>
                  <w:tcW w:w="3111" w:type="dxa"/>
                  <w:noWrap w:val="0"/>
                  <w:vAlign w:val="center"/>
                </w:tcPr>
                <w:p w14:paraId="33309A4E">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韶关市武江区西河镇人民政府</w:t>
                  </w:r>
                </w:p>
              </w:tc>
              <w:tc>
                <w:tcPr>
                  <w:tcW w:w="2787" w:type="dxa"/>
                  <w:noWrap w:val="0"/>
                  <w:vAlign w:val="center"/>
                </w:tcPr>
                <w:p w14:paraId="3109F4A9">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为</w:t>
                  </w:r>
                  <w:r>
                    <w:rPr>
                      <w:rFonts w:hint="eastAsia" w:ascii="宋体" w:hAnsi="宋体" w:eastAsia="宋体" w:cs="宋体"/>
                      <w:color w:val="auto"/>
                      <w:kern w:val="2"/>
                      <w:sz w:val="21"/>
                      <w:szCs w:val="21"/>
                      <w:highlight w:val="none"/>
                      <w:lang w:val="en-US" w:eastAsia="zh-CN" w:bidi="ar-SA"/>
                    </w:rPr>
                    <w:t>本项目的</w:t>
                  </w:r>
                  <w:r>
                    <w:rPr>
                      <w:rFonts w:hint="eastAsia" w:ascii="宋体" w:hAnsi="宋体" w:eastAsia="宋体" w:cs="宋体"/>
                      <w:color w:val="auto"/>
                      <w:sz w:val="21"/>
                      <w:szCs w:val="21"/>
                      <w:highlight w:val="none"/>
                      <w:lang w:val="en-US" w:eastAsia="zh-CN"/>
                    </w:rPr>
                    <w:t>业主</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招标人</w:t>
                  </w:r>
                </w:p>
              </w:tc>
            </w:tr>
            <w:tr w14:paraId="74C7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6" w:type="dxa"/>
                  <w:noWrap w:val="0"/>
                  <w:vAlign w:val="center"/>
                </w:tcPr>
                <w:p w14:paraId="28FEDDA3">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2</w:t>
                  </w:r>
                </w:p>
              </w:tc>
              <w:tc>
                <w:tcPr>
                  <w:tcW w:w="3111" w:type="dxa"/>
                  <w:noWrap w:val="0"/>
                  <w:vAlign w:val="center"/>
                </w:tcPr>
                <w:p w14:paraId="22B974FA">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snapToGrid w:val="0"/>
                      <w:color w:val="auto"/>
                      <w:kern w:val="0"/>
                      <w:sz w:val="21"/>
                      <w:szCs w:val="21"/>
                      <w:highlight w:val="none"/>
                      <w:lang w:eastAsia="zh-CN"/>
                    </w:rPr>
                    <w:t>韶关市星尘工程咨询有限公司</w:t>
                  </w:r>
                </w:p>
              </w:tc>
              <w:tc>
                <w:tcPr>
                  <w:tcW w:w="2787" w:type="dxa"/>
                  <w:noWrap w:val="0"/>
                  <w:vAlign w:val="center"/>
                </w:tcPr>
                <w:p w14:paraId="3A221F21">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为本项目的招标代理机构</w:t>
                  </w:r>
                </w:p>
              </w:tc>
            </w:tr>
            <w:tr w14:paraId="5A91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6" w:type="dxa"/>
                  <w:noWrap w:val="0"/>
                  <w:vAlign w:val="center"/>
                </w:tcPr>
                <w:p w14:paraId="74118216">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3</w:t>
                  </w:r>
                </w:p>
              </w:tc>
              <w:tc>
                <w:tcPr>
                  <w:tcW w:w="3111" w:type="dxa"/>
                  <w:noWrap w:val="0"/>
                  <w:vAlign w:val="center"/>
                </w:tcPr>
                <w:p w14:paraId="0A3FF80A">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世纪工程项目管理有限公司</w:t>
                  </w:r>
                </w:p>
              </w:tc>
              <w:tc>
                <w:tcPr>
                  <w:tcW w:w="2787" w:type="dxa"/>
                  <w:noWrap w:val="0"/>
                  <w:vAlign w:val="center"/>
                </w:tcPr>
                <w:p w14:paraId="5C95264F">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z w:val="21"/>
                      <w:szCs w:val="21"/>
                      <w:highlight w:val="none"/>
                    </w:rPr>
                    <w:t>为本项目的可研编制单位</w:t>
                  </w:r>
                </w:p>
              </w:tc>
            </w:tr>
            <w:tr w14:paraId="5E68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76" w:type="dxa"/>
                  <w:noWrap w:val="0"/>
                  <w:vAlign w:val="center"/>
                </w:tcPr>
                <w:p w14:paraId="0D97E1E8">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jc w:val="center"/>
                    <w:textAlignment w:val="auto"/>
                    <w:rPr>
                      <w:rFonts w:hint="default"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4</w:t>
                  </w:r>
                </w:p>
              </w:tc>
              <w:tc>
                <w:tcPr>
                  <w:tcW w:w="3111" w:type="dxa"/>
                  <w:noWrap w:val="0"/>
                  <w:vAlign w:val="center"/>
                </w:tcPr>
                <w:p w14:paraId="5DD32DF6">
                  <w:pPr>
                    <w:pStyle w:val="27"/>
                    <w:keepNext w:val="0"/>
                    <w:keepLines w:val="0"/>
                    <w:widowControl/>
                    <w:suppressLineNumbers w:val="0"/>
                    <w:spacing w:before="0" w:beforeAutospacing="0" w:after="0" w:afterAutospacing="0" w:line="240" w:lineRule="auto"/>
                    <w:ind w:right="0" w:rightChars="0"/>
                    <w:jc w:val="center"/>
                    <w:textAlignment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国昇设计有限责任公司</w:t>
                  </w:r>
                  <w:r>
                    <w:rPr>
                      <w:rFonts w:hint="eastAsia" w:cs="宋体"/>
                      <w:snapToGrid w:val="0"/>
                      <w:color w:val="auto"/>
                      <w:kern w:val="0"/>
                      <w:sz w:val="21"/>
                      <w:szCs w:val="21"/>
                      <w:highlight w:val="none"/>
                      <w:lang w:val="en-US" w:eastAsia="zh-CN" w:bidi="ar-SA"/>
                    </w:rPr>
                    <w:t>、</w:t>
                  </w:r>
                  <w:r>
                    <w:rPr>
                      <w:rFonts w:hint="eastAsia" w:ascii="宋体" w:hAnsi="宋体" w:eastAsia="宋体" w:cs="宋体"/>
                      <w:snapToGrid w:val="0"/>
                      <w:color w:val="auto"/>
                      <w:kern w:val="0"/>
                      <w:sz w:val="21"/>
                      <w:szCs w:val="21"/>
                      <w:highlight w:val="none"/>
                      <w:lang w:val="en-US" w:eastAsia="zh-CN" w:bidi="ar-SA"/>
                    </w:rPr>
                    <w:t>湖南中核岩土工程有限责任公司</w:t>
                  </w:r>
                </w:p>
              </w:tc>
              <w:tc>
                <w:tcPr>
                  <w:tcW w:w="2787" w:type="dxa"/>
                  <w:noWrap w:val="0"/>
                  <w:vAlign w:val="center"/>
                </w:tcPr>
                <w:p w14:paraId="0884CAA7">
                  <w:pPr>
                    <w:pStyle w:val="88"/>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为本项目的设计单位</w:t>
                  </w:r>
                </w:p>
              </w:tc>
            </w:tr>
          </w:tbl>
          <w:p w14:paraId="0C8F709D">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5．其他要求</w:t>
            </w:r>
          </w:p>
          <w:p w14:paraId="3927F0F6">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2EB3D6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trPr>
        <w:tc>
          <w:tcPr>
            <w:tcW w:w="721" w:type="dxa"/>
            <w:tcBorders>
              <w:top w:val="single" w:color="auto" w:sz="4" w:space="0"/>
              <w:left w:val="single" w:color="auto" w:sz="4" w:space="0"/>
              <w:bottom w:val="single" w:color="auto" w:sz="4" w:space="0"/>
              <w:right w:val="single" w:color="auto" w:sz="4" w:space="0"/>
            </w:tcBorders>
            <w:vAlign w:val="center"/>
          </w:tcPr>
          <w:p w14:paraId="49A6DA9F">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16</w:t>
            </w:r>
          </w:p>
        </w:tc>
        <w:tc>
          <w:tcPr>
            <w:tcW w:w="1725" w:type="dxa"/>
            <w:tcBorders>
              <w:top w:val="single" w:color="auto" w:sz="4" w:space="0"/>
              <w:left w:val="single" w:color="auto" w:sz="4" w:space="0"/>
              <w:bottom w:val="single" w:color="auto" w:sz="4" w:space="0"/>
              <w:right w:val="single" w:color="auto" w:sz="4" w:space="0"/>
            </w:tcBorders>
            <w:vAlign w:val="center"/>
          </w:tcPr>
          <w:p w14:paraId="688F74D9">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服务期限</w:t>
            </w:r>
          </w:p>
        </w:tc>
        <w:tc>
          <w:tcPr>
            <w:tcW w:w="6856" w:type="dxa"/>
            <w:tcBorders>
              <w:top w:val="single" w:color="auto" w:sz="4" w:space="0"/>
              <w:left w:val="single" w:color="auto" w:sz="4" w:space="0"/>
              <w:bottom w:val="single" w:color="auto" w:sz="4" w:space="0"/>
              <w:right w:val="single" w:color="auto" w:sz="4" w:space="0"/>
            </w:tcBorders>
            <w:vAlign w:val="center"/>
          </w:tcPr>
          <w:p w14:paraId="5CB8F92A">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监理服务期从监理合同签订之日起计，至本工程缺陷责任保修期结束且本工程结算金额经政府主管部门审定且双方的责任义务履行完毕时止。</w:t>
            </w:r>
          </w:p>
        </w:tc>
      </w:tr>
      <w:tr w14:paraId="69F3B8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4" w:hRule="atLeast"/>
        </w:trPr>
        <w:tc>
          <w:tcPr>
            <w:tcW w:w="721" w:type="dxa"/>
            <w:tcBorders>
              <w:top w:val="single" w:color="auto" w:sz="4" w:space="0"/>
              <w:left w:val="single" w:color="auto" w:sz="4" w:space="0"/>
              <w:bottom w:val="single" w:color="auto" w:sz="4" w:space="0"/>
              <w:right w:val="single" w:color="auto" w:sz="4" w:space="0"/>
            </w:tcBorders>
            <w:vAlign w:val="center"/>
          </w:tcPr>
          <w:p w14:paraId="44679C84">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17</w:t>
            </w:r>
          </w:p>
        </w:tc>
        <w:tc>
          <w:tcPr>
            <w:tcW w:w="1725" w:type="dxa"/>
            <w:tcBorders>
              <w:top w:val="single" w:color="auto" w:sz="4" w:space="0"/>
              <w:left w:val="single" w:color="auto" w:sz="4" w:space="0"/>
              <w:bottom w:val="single" w:color="auto" w:sz="4" w:space="0"/>
              <w:right w:val="single" w:color="auto" w:sz="4" w:space="0"/>
            </w:tcBorders>
            <w:vAlign w:val="center"/>
          </w:tcPr>
          <w:p w14:paraId="61DD6485">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服务标准</w:t>
            </w:r>
          </w:p>
        </w:tc>
        <w:tc>
          <w:tcPr>
            <w:tcW w:w="6856" w:type="dxa"/>
            <w:tcBorders>
              <w:top w:val="single" w:color="auto" w:sz="4" w:space="0"/>
              <w:left w:val="single" w:color="auto" w:sz="4" w:space="0"/>
              <w:bottom w:val="single" w:color="auto" w:sz="4" w:space="0"/>
              <w:right w:val="single" w:color="auto" w:sz="4" w:space="0"/>
            </w:tcBorders>
            <w:vAlign w:val="center"/>
          </w:tcPr>
          <w:p w14:paraId="4C9992E2">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rPr>
                <w:rFonts w:hAnsi="宋体" w:cs="宋体"/>
                <w:snapToGrid w:val="0"/>
                <w:color w:val="auto"/>
                <w:kern w:val="0"/>
                <w:szCs w:val="24"/>
                <w:highlight w:val="none"/>
              </w:rPr>
            </w:pPr>
            <w:r>
              <w:rPr>
                <w:rFonts w:hint="eastAsia" w:hAnsi="宋体" w:cs="宋体"/>
                <w:snapToGrid w:val="0"/>
                <w:color w:val="auto"/>
                <w:kern w:val="0"/>
                <w:szCs w:val="24"/>
                <w:highlight w:val="none"/>
              </w:rPr>
              <w:t>工程质量达到合格或以上标准。</w:t>
            </w:r>
          </w:p>
        </w:tc>
      </w:tr>
      <w:tr w14:paraId="51DD00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4" w:hRule="atLeast"/>
        </w:trPr>
        <w:tc>
          <w:tcPr>
            <w:tcW w:w="721" w:type="dxa"/>
            <w:tcBorders>
              <w:top w:val="single" w:color="auto" w:sz="4" w:space="0"/>
              <w:left w:val="single" w:color="auto" w:sz="4" w:space="0"/>
              <w:bottom w:val="single" w:color="auto" w:sz="4" w:space="0"/>
              <w:right w:val="single" w:color="auto" w:sz="4" w:space="0"/>
            </w:tcBorders>
            <w:vAlign w:val="center"/>
          </w:tcPr>
          <w:p w14:paraId="75EDEE73">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18</w:t>
            </w:r>
          </w:p>
        </w:tc>
        <w:tc>
          <w:tcPr>
            <w:tcW w:w="1725" w:type="dxa"/>
            <w:tcBorders>
              <w:top w:val="single" w:color="auto" w:sz="4" w:space="0"/>
              <w:left w:val="single" w:color="auto" w:sz="4" w:space="0"/>
              <w:bottom w:val="single" w:color="auto" w:sz="4" w:space="0"/>
              <w:right w:val="single" w:color="auto" w:sz="4" w:space="0"/>
            </w:tcBorders>
            <w:vAlign w:val="center"/>
          </w:tcPr>
          <w:p w14:paraId="126D9AF2">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最高投标限价</w:t>
            </w:r>
          </w:p>
        </w:tc>
        <w:tc>
          <w:tcPr>
            <w:tcW w:w="6856" w:type="dxa"/>
            <w:tcBorders>
              <w:top w:val="single" w:color="auto" w:sz="4" w:space="0"/>
              <w:left w:val="single" w:color="auto" w:sz="4" w:space="0"/>
              <w:bottom w:val="single" w:color="auto" w:sz="4" w:space="0"/>
              <w:right w:val="single" w:color="auto" w:sz="4" w:space="0"/>
            </w:tcBorders>
            <w:vAlign w:val="center"/>
          </w:tcPr>
          <w:p w14:paraId="495F840F">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rPr>
                <w:rFonts w:hAnsi="宋体" w:cs="宋体"/>
                <w:snapToGrid w:val="0"/>
                <w:color w:val="auto"/>
                <w:kern w:val="0"/>
                <w:szCs w:val="24"/>
                <w:highlight w:val="none"/>
              </w:rPr>
            </w:pPr>
            <w:r>
              <w:rPr>
                <w:rFonts w:hint="eastAsia" w:hAnsi="宋体" w:cs="宋体"/>
                <w:bCs/>
                <w:color w:val="auto"/>
                <w:szCs w:val="24"/>
                <w:highlight w:val="none"/>
              </w:rPr>
              <w:t>详见招标文件“第一章 投标人须知 8 最高投标限价”</w:t>
            </w:r>
          </w:p>
        </w:tc>
      </w:tr>
      <w:tr w14:paraId="3D0225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48" w:hRule="atLeast"/>
        </w:trPr>
        <w:tc>
          <w:tcPr>
            <w:tcW w:w="721" w:type="dxa"/>
            <w:tcBorders>
              <w:top w:val="single" w:color="auto" w:sz="4" w:space="0"/>
              <w:left w:val="single" w:color="auto" w:sz="4" w:space="0"/>
              <w:bottom w:val="single" w:color="auto" w:sz="4" w:space="0"/>
              <w:right w:val="single" w:color="auto" w:sz="4" w:space="0"/>
            </w:tcBorders>
            <w:vAlign w:val="center"/>
          </w:tcPr>
          <w:p w14:paraId="5943758B">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19</w:t>
            </w:r>
          </w:p>
        </w:tc>
        <w:tc>
          <w:tcPr>
            <w:tcW w:w="1725" w:type="dxa"/>
            <w:tcBorders>
              <w:top w:val="single" w:color="auto" w:sz="4" w:space="0"/>
              <w:left w:val="single" w:color="auto" w:sz="4" w:space="0"/>
              <w:bottom w:val="single" w:color="auto" w:sz="4" w:space="0"/>
              <w:right w:val="single" w:color="auto" w:sz="4" w:space="0"/>
            </w:tcBorders>
            <w:vAlign w:val="center"/>
          </w:tcPr>
          <w:p w14:paraId="0AAED69C">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投标保证金</w:t>
            </w:r>
          </w:p>
        </w:tc>
        <w:tc>
          <w:tcPr>
            <w:tcW w:w="6856" w:type="dxa"/>
            <w:tcBorders>
              <w:top w:val="single" w:color="auto" w:sz="4" w:space="0"/>
              <w:left w:val="single" w:color="auto" w:sz="4" w:space="0"/>
              <w:bottom w:val="single" w:color="auto" w:sz="4" w:space="0"/>
              <w:right w:val="single" w:color="auto" w:sz="4" w:space="0"/>
            </w:tcBorders>
            <w:vAlign w:val="center"/>
          </w:tcPr>
          <w:p w14:paraId="69BE724C">
            <w:pPr>
              <w:keepNext w:val="0"/>
              <w:keepLines w:val="0"/>
              <w:pageBreakBefore w:val="0"/>
              <w:widowControl w:val="0"/>
              <w:kinsoku/>
              <w:overflowPunct/>
              <w:topLinePunct w:val="0"/>
              <w:autoSpaceDE/>
              <w:autoSpaceDN/>
              <w:bidi w:val="0"/>
              <w:snapToGrid w:val="0"/>
              <w:spacing w:line="500" w:lineRule="exact"/>
              <w:ind w:firstLine="480" w:firstLineChars="200"/>
              <w:textAlignment w:val="auto"/>
              <w:rPr>
                <w:rFonts w:hAnsi="宋体" w:cs="宋体"/>
                <w:color w:val="auto"/>
                <w:highlight w:val="none"/>
              </w:rPr>
            </w:pPr>
            <w:r>
              <w:rPr>
                <w:rFonts w:hint="eastAsia" w:hAnsi="宋体" w:cs="宋体"/>
                <w:color w:val="auto"/>
                <w:highlight w:val="none"/>
              </w:rPr>
              <w:t>1.投标人须缴纳金额为人民币</w:t>
            </w:r>
            <w:r>
              <w:rPr>
                <w:rFonts w:hint="eastAsia" w:hAnsi="宋体" w:cs="宋体"/>
                <w:color w:val="auto"/>
                <w:highlight w:val="none"/>
                <w:u w:val="single"/>
                <w:lang w:val="en-US" w:eastAsia="zh-CN"/>
              </w:rPr>
              <w:t>贰仟元</w:t>
            </w:r>
            <w:r>
              <w:rPr>
                <w:rFonts w:hint="eastAsia" w:hAnsi="宋体" w:cs="宋体"/>
                <w:color w:val="auto"/>
                <w:highlight w:val="none"/>
              </w:rPr>
              <w:t>的投标保证。</w:t>
            </w:r>
          </w:p>
          <w:p w14:paraId="0BEC4750">
            <w:pPr>
              <w:keepNext w:val="0"/>
              <w:keepLines w:val="0"/>
              <w:pageBreakBefore w:val="0"/>
              <w:widowControl w:val="0"/>
              <w:kinsoku/>
              <w:overflowPunct/>
              <w:topLinePunct w:val="0"/>
              <w:autoSpaceDE/>
              <w:autoSpaceDN/>
              <w:bidi w:val="0"/>
              <w:snapToGrid w:val="0"/>
              <w:spacing w:line="500" w:lineRule="exact"/>
              <w:ind w:firstLine="480" w:firstLineChars="200"/>
              <w:textAlignment w:val="auto"/>
              <w:rPr>
                <w:rFonts w:hAnsi="宋体" w:cs="宋体"/>
                <w:color w:val="auto"/>
                <w:highlight w:val="none"/>
              </w:rPr>
            </w:pPr>
            <w:r>
              <w:rPr>
                <w:rFonts w:hint="eastAsia" w:hAnsi="宋体" w:cs="宋体"/>
                <w:color w:val="auto"/>
                <w:highlight w:val="none"/>
              </w:rPr>
              <w:t>2.投标保证的形式包括投标保证金、投标保证担保、投标保证保险三种，由投标人自主选择。</w:t>
            </w:r>
          </w:p>
          <w:p w14:paraId="74EBCF82">
            <w:pPr>
              <w:keepNext w:val="0"/>
              <w:keepLines w:val="0"/>
              <w:pageBreakBefore w:val="0"/>
              <w:widowControl w:val="0"/>
              <w:kinsoku/>
              <w:overflowPunct/>
              <w:topLinePunct w:val="0"/>
              <w:autoSpaceDE/>
              <w:autoSpaceDN/>
              <w:bidi w:val="0"/>
              <w:snapToGrid w:val="0"/>
              <w:spacing w:line="500" w:lineRule="exact"/>
              <w:ind w:firstLine="480" w:firstLineChars="200"/>
              <w:textAlignment w:val="auto"/>
              <w:rPr>
                <w:rFonts w:hAnsi="宋体" w:cs="宋体"/>
                <w:color w:val="auto"/>
                <w:highlight w:val="none"/>
              </w:rPr>
            </w:pPr>
            <w:r>
              <w:rPr>
                <w:rFonts w:hint="eastAsia" w:hAnsi="宋体" w:cs="宋体"/>
                <w:color w:val="auto"/>
                <w:highlight w:val="none"/>
              </w:rPr>
              <w:t>（1）采用投标保证金的，投标人在建设工程交易系统获取招标文件完毕后，即可在系统申请缴纳投标保证金，获取本次招标投标保证金缴纳账号。投标人必须于投标保证金到账截止时间（本章第二节“重要事项时间地点一览表”）前，从其基本账户将投标保证金转账到指定的缴纳账号。逾期到账的、从非投标人基本账户转出的，其投标无效。</w:t>
            </w:r>
          </w:p>
          <w:p w14:paraId="0B87F797">
            <w:pPr>
              <w:keepNext w:val="0"/>
              <w:keepLines w:val="0"/>
              <w:pageBreakBefore w:val="0"/>
              <w:widowControl w:val="0"/>
              <w:kinsoku/>
              <w:overflowPunct/>
              <w:topLinePunct w:val="0"/>
              <w:autoSpaceDE/>
              <w:autoSpaceDN/>
              <w:bidi w:val="0"/>
              <w:snapToGrid w:val="0"/>
              <w:spacing w:line="500" w:lineRule="exact"/>
              <w:ind w:firstLine="480" w:firstLineChars="200"/>
              <w:textAlignment w:val="auto"/>
              <w:rPr>
                <w:rFonts w:hAnsi="宋体" w:cs="宋体"/>
                <w:color w:val="auto"/>
                <w:highlight w:val="none"/>
              </w:rPr>
            </w:pPr>
            <w:r>
              <w:rPr>
                <w:rFonts w:hint="eastAsia" w:hAnsi="宋体" w:cs="宋体"/>
                <w:color w:val="auto"/>
                <w:highlight w:val="none"/>
              </w:rPr>
              <w:t>（2）采用投标保证担保的，投标人应提交有效的电子保函，电子保函的有效期不得短于投标有效期。投标人必须在投标保证担保截止时间（见本章第二节“重要事项时间地点一览表”）前，使用工程建设交易系统完成网上办理电子保函。</w:t>
            </w:r>
          </w:p>
          <w:p w14:paraId="2CF2939A">
            <w:pPr>
              <w:keepNext w:val="0"/>
              <w:keepLines w:val="0"/>
              <w:pageBreakBefore w:val="0"/>
              <w:widowControl w:val="0"/>
              <w:kinsoku/>
              <w:overflowPunct/>
              <w:topLinePunct w:val="0"/>
              <w:autoSpaceDE/>
              <w:autoSpaceDN/>
              <w:bidi w:val="0"/>
              <w:snapToGrid w:val="0"/>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w:t>
            </w:r>
          </w:p>
          <w:p w14:paraId="06E48727">
            <w:pPr>
              <w:keepNext w:val="0"/>
              <w:keepLines w:val="0"/>
              <w:pageBreakBefore w:val="0"/>
              <w:widowControl w:val="0"/>
              <w:kinsoku/>
              <w:overflowPunct/>
              <w:topLinePunct w:val="0"/>
              <w:autoSpaceDE/>
              <w:autoSpaceDN/>
              <w:bidi w:val="0"/>
              <w:snapToGrid w:val="0"/>
              <w:spacing w:line="500" w:lineRule="exact"/>
              <w:textAlignment w:val="auto"/>
              <w:rPr>
                <w:rFonts w:hAnsi="宋体" w:cs="宋体"/>
                <w:color w:val="auto"/>
                <w:highlight w:val="none"/>
              </w:rPr>
            </w:pPr>
            <w:r>
              <w:rPr>
                <w:rFonts w:hint="eastAsia" w:hAnsi="宋体" w:cs="宋体"/>
                <w:color w:val="auto"/>
                <w:highlight w:val="none"/>
              </w:rPr>
              <w:t>（https://ygp.gdzwfw.gov.cn/ggzy-portal/#/440200/index），在【服务指南】栏目中下载《韶关市公共资源建设工程交易系统-投标人操作指南》，了解网上投保具体操作流程。逾期投保的，其投标无效。</w:t>
            </w:r>
          </w:p>
          <w:p w14:paraId="099FFFD9">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color w:val="auto"/>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25F403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721" w:type="dxa"/>
            <w:tcBorders>
              <w:top w:val="single" w:color="auto" w:sz="4" w:space="0"/>
              <w:left w:val="single" w:color="auto" w:sz="4" w:space="0"/>
              <w:bottom w:val="single" w:color="auto" w:sz="4" w:space="0"/>
              <w:right w:val="single" w:color="auto" w:sz="4" w:space="0"/>
            </w:tcBorders>
            <w:vAlign w:val="center"/>
          </w:tcPr>
          <w:p w14:paraId="6EBF5FCC">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20</w:t>
            </w:r>
          </w:p>
        </w:tc>
        <w:tc>
          <w:tcPr>
            <w:tcW w:w="1725" w:type="dxa"/>
            <w:tcBorders>
              <w:top w:val="single" w:color="auto" w:sz="4" w:space="0"/>
              <w:left w:val="single" w:color="auto" w:sz="4" w:space="0"/>
              <w:bottom w:val="single" w:color="auto" w:sz="4" w:space="0"/>
              <w:right w:val="single" w:color="auto" w:sz="4" w:space="0"/>
            </w:tcBorders>
            <w:vAlign w:val="center"/>
          </w:tcPr>
          <w:p w14:paraId="55725C5C">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投标有效期</w:t>
            </w:r>
          </w:p>
        </w:tc>
        <w:tc>
          <w:tcPr>
            <w:tcW w:w="6856" w:type="dxa"/>
            <w:tcBorders>
              <w:top w:val="single" w:color="auto" w:sz="4" w:space="0"/>
              <w:left w:val="single" w:color="auto" w:sz="4" w:space="0"/>
              <w:bottom w:val="single" w:color="auto" w:sz="4" w:space="0"/>
              <w:right w:val="single" w:color="auto" w:sz="4" w:space="0"/>
            </w:tcBorders>
            <w:vAlign w:val="center"/>
          </w:tcPr>
          <w:p w14:paraId="73AFD775">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rPr>
                <w:rFonts w:hAnsi="宋体" w:cs="宋体"/>
                <w:snapToGrid w:val="0"/>
                <w:color w:val="auto"/>
                <w:kern w:val="0"/>
                <w:szCs w:val="24"/>
                <w:highlight w:val="none"/>
              </w:rPr>
            </w:pPr>
            <w:r>
              <w:rPr>
                <w:rFonts w:hint="eastAsia" w:hAnsi="宋体" w:cs="宋体"/>
                <w:snapToGrid w:val="0"/>
                <w:color w:val="auto"/>
                <w:kern w:val="0"/>
                <w:szCs w:val="24"/>
                <w:highlight w:val="none"/>
              </w:rPr>
              <w:t>本次招标的投标有效期为</w:t>
            </w:r>
            <w:r>
              <w:rPr>
                <w:rFonts w:hint="eastAsia" w:hAnsi="宋体" w:cs="宋体"/>
                <w:snapToGrid w:val="0"/>
                <w:color w:val="auto"/>
                <w:kern w:val="0"/>
                <w:szCs w:val="24"/>
                <w:highlight w:val="none"/>
                <w:u w:val="single"/>
              </w:rPr>
              <w:t xml:space="preserve"> 90 </w:t>
            </w:r>
            <w:r>
              <w:rPr>
                <w:rFonts w:hint="eastAsia" w:hAnsi="宋体" w:cs="宋体"/>
                <w:snapToGrid w:val="0"/>
                <w:color w:val="auto"/>
                <w:kern w:val="0"/>
                <w:szCs w:val="24"/>
                <w:highlight w:val="none"/>
              </w:rPr>
              <w:t>个日历天。</w:t>
            </w:r>
          </w:p>
        </w:tc>
      </w:tr>
      <w:tr w14:paraId="1490BD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721" w:type="dxa"/>
            <w:tcBorders>
              <w:top w:val="single" w:color="auto" w:sz="4" w:space="0"/>
              <w:left w:val="single" w:color="auto" w:sz="4" w:space="0"/>
              <w:bottom w:val="single" w:color="auto" w:sz="4" w:space="0"/>
              <w:right w:val="single" w:color="auto" w:sz="4" w:space="0"/>
            </w:tcBorders>
            <w:vAlign w:val="center"/>
          </w:tcPr>
          <w:p w14:paraId="298563C2">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21</w:t>
            </w:r>
          </w:p>
        </w:tc>
        <w:tc>
          <w:tcPr>
            <w:tcW w:w="1725" w:type="dxa"/>
            <w:tcBorders>
              <w:top w:val="single" w:color="auto" w:sz="4" w:space="0"/>
              <w:left w:val="single" w:color="auto" w:sz="4" w:space="0"/>
              <w:bottom w:val="single" w:color="auto" w:sz="4" w:space="0"/>
              <w:right w:val="single" w:color="auto" w:sz="4" w:space="0"/>
            </w:tcBorders>
            <w:vAlign w:val="center"/>
          </w:tcPr>
          <w:p w14:paraId="35AAF608">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投标文件组成</w:t>
            </w:r>
          </w:p>
        </w:tc>
        <w:tc>
          <w:tcPr>
            <w:tcW w:w="6856" w:type="dxa"/>
            <w:tcBorders>
              <w:top w:val="single" w:color="auto" w:sz="4" w:space="0"/>
              <w:left w:val="single" w:color="auto" w:sz="4" w:space="0"/>
              <w:bottom w:val="single" w:color="auto" w:sz="4" w:space="0"/>
              <w:right w:val="single" w:color="auto" w:sz="4" w:space="0"/>
            </w:tcBorders>
            <w:vAlign w:val="center"/>
          </w:tcPr>
          <w:p w14:paraId="2210B600">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rPr>
                <w:rFonts w:hAnsi="宋体" w:cs="宋体"/>
                <w:snapToGrid w:val="0"/>
                <w:color w:val="auto"/>
                <w:kern w:val="0"/>
                <w:szCs w:val="24"/>
                <w:highlight w:val="none"/>
              </w:rPr>
            </w:pPr>
            <w:r>
              <w:rPr>
                <w:rFonts w:hint="eastAsia" w:hAnsi="宋体" w:cs="宋体"/>
                <w:snapToGrid w:val="0"/>
                <w:color w:val="auto"/>
                <w:kern w:val="0"/>
                <w:szCs w:val="24"/>
                <w:highlight w:val="none"/>
              </w:rPr>
              <w:t>投标文件包括商务标书、监理大纲</w:t>
            </w:r>
            <w:r>
              <w:rPr>
                <w:rFonts w:hint="eastAsia" w:hAnsi="宋体" w:cs="宋体"/>
                <w:snapToGrid w:val="0"/>
                <w:color w:val="auto"/>
                <w:kern w:val="0"/>
                <w:szCs w:val="24"/>
                <w:highlight w:val="none"/>
                <w:lang w:eastAsia="zh-CN"/>
              </w:rPr>
              <w:t>、</w:t>
            </w:r>
            <w:r>
              <w:rPr>
                <w:rFonts w:hint="eastAsia" w:hAnsi="宋体" w:cs="宋体"/>
                <w:snapToGrid w:val="0"/>
                <w:color w:val="auto"/>
                <w:kern w:val="0"/>
                <w:szCs w:val="24"/>
                <w:highlight w:val="none"/>
                <w:lang w:val="en-US" w:eastAsia="zh-CN"/>
              </w:rPr>
              <w:t>定标文件三</w:t>
            </w:r>
            <w:r>
              <w:rPr>
                <w:rFonts w:hint="eastAsia" w:hAnsi="宋体" w:cs="宋体"/>
                <w:snapToGrid w:val="0"/>
                <w:color w:val="auto"/>
                <w:kern w:val="0"/>
                <w:szCs w:val="24"/>
                <w:highlight w:val="none"/>
              </w:rPr>
              <w:t>个分册。</w:t>
            </w:r>
          </w:p>
        </w:tc>
      </w:tr>
      <w:tr w14:paraId="611500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721" w:type="dxa"/>
            <w:tcBorders>
              <w:top w:val="single" w:color="auto" w:sz="4" w:space="0"/>
              <w:left w:val="single" w:color="auto" w:sz="4" w:space="0"/>
              <w:bottom w:val="single" w:color="auto" w:sz="4" w:space="0"/>
              <w:right w:val="single" w:color="auto" w:sz="4" w:space="0"/>
            </w:tcBorders>
            <w:vAlign w:val="center"/>
          </w:tcPr>
          <w:p w14:paraId="4982B3CD">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22</w:t>
            </w:r>
          </w:p>
        </w:tc>
        <w:tc>
          <w:tcPr>
            <w:tcW w:w="1725" w:type="dxa"/>
            <w:tcBorders>
              <w:top w:val="single" w:color="auto" w:sz="4" w:space="0"/>
              <w:left w:val="single" w:color="auto" w:sz="4" w:space="0"/>
              <w:bottom w:val="single" w:color="auto" w:sz="4" w:space="0"/>
              <w:right w:val="single" w:color="auto" w:sz="4" w:space="0"/>
            </w:tcBorders>
            <w:vAlign w:val="center"/>
          </w:tcPr>
          <w:p w14:paraId="37EED64F">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评标方法</w:t>
            </w:r>
          </w:p>
        </w:tc>
        <w:tc>
          <w:tcPr>
            <w:tcW w:w="6856" w:type="dxa"/>
            <w:tcBorders>
              <w:top w:val="single" w:color="auto" w:sz="4" w:space="0"/>
              <w:left w:val="single" w:color="auto" w:sz="4" w:space="0"/>
              <w:bottom w:val="single" w:color="auto" w:sz="4" w:space="0"/>
              <w:right w:val="single" w:color="auto" w:sz="4" w:space="0"/>
            </w:tcBorders>
            <w:vAlign w:val="center"/>
          </w:tcPr>
          <w:p w14:paraId="606C701F">
            <w:pPr>
              <w:keepNext w:val="0"/>
              <w:keepLines w:val="0"/>
              <w:pageBreakBefore w:val="0"/>
              <w:widowControl w:val="0"/>
              <w:kinsoku/>
              <w:wordWrap w:val="0"/>
              <w:overflowPunct/>
              <w:topLinePunct w:val="0"/>
              <w:autoSpaceDE/>
              <w:autoSpaceDN/>
              <w:bidi w:val="0"/>
              <w:adjustRightInd w:val="0"/>
              <w:snapToGrid w:val="0"/>
              <w:spacing w:line="500" w:lineRule="exact"/>
              <w:rPr>
                <w:rFonts w:hAnsi="宋体" w:cs="宋体"/>
                <w:snapToGrid w:val="0"/>
                <w:color w:val="auto"/>
                <w:kern w:val="0"/>
                <w:szCs w:val="24"/>
                <w:highlight w:val="none"/>
              </w:rPr>
            </w:pPr>
            <w:r>
              <w:rPr>
                <w:rFonts w:hint="eastAsia" w:hAnsi="宋体" w:cs="宋体"/>
                <w:snapToGrid w:val="0"/>
                <w:color w:val="auto"/>
                <w:kern w:val="0"/>
                <w:szCs w:val="24"/>
                <w:highlight w:val="none"/>
              </w:rPr>
              <w:t xml:space="preserve">    综合评估法</w:t>
            </w:r>
          </w:p>
        </w:tc>
      </w:tr>
      <w:tr w14:paraId="02325E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721" w:type="dxa"/>
            <w:tcBorders>
              <w:top w:val="single" w:color="auto" w:sz="4" w:space="0"/>
              <w:left w:val="single" w:color="auto" w:sz="4" w:space="0"/>
              <w:bottom w:val="single" w:color="auto" w:sz="4" w:space="0"/>
              <w:right w:val="single" w:color="auto" w:sz="4" w:space="0"/>
            </w:tcBorders>
            <w:vAlign w:val="center"/>
          </w:tcPr>
          <w:p w14:paraId="60E5DB36">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int="default" w:hAnsi="宋体" w:eastAsia="宋体" w:cs="宋体"/>
                <w:snapToGrid w:val="0"/>
                <w:color w:val="auto"/>
                <w:kern w:val="0"/>
                <w:szCs w:val="24"/>
                <w:highlight w:val="none"/>
                <w:lang w:val="en-US" w:eastAsia="zh-CN"/>
              </w:rPr>
            </w:pPr>
            <w:r>
              <w:rPr>
                <w:rFonts w:hint="eastAsia" w:hAnsi="宋体" w:cs="宋体"/>
                <w:snapToGrid w:val="0"/>
                <w:color w:val="auto"/>
                <w:kern w:val="0"/>
                <w:szCs w:val="24"/>
                <w:highlight w:val="none"/>
                <w:lang w:val="en-US" w:eastAsia="zh-CN"/>
              </w:rPr>
              <w:t>23</w:t>
            </w:r>
          </w:p>
        </w:tc>
        <w:tc>
          <w:tcPr>
            <w:tcW w:w="1725" w:type="dxa"/>
            <w:tcBorders>
              <w:top w:val="single" w:color="auto" w:sz="4" w:space="0"/>
              <w:left w:val="single" w:color="auto" w:sz="4" w:space="0"/>
              <w:bottom w:val="single" w:color="auto" w:sz="4" w:space="0"/>
              <w:right w:val="single" w:color="auto" w:sz="4" w:space="0"/>
            </w:tcBorders>
            <w:vAlign w:val="center"/>
          </w:tcPr>
          <w:p w14:paraId="67B3FC1B">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eastAsia" w:hAnsi="宋体" w:cs="宋体"/>
                <w:snapToGrid w:val="0"/>
                <w:color w:val="auto"/>
                <w:kern w:val="0"/>
                <w:szCs w:val="24"/>
                <w:highlight w:val="none"/>
              </w:rPr>
            </w:pPr>
            <w:r>
              <w:rPr>
                <w:rFonts w:hint="eastAsia" w:ascii="宋体" w:hAnsi="宋体" w:eastAsia="宋体" w:cs="宋体"/>
                <w:snapToGrid w:val="0"/>
                <w:color w:val="auto"/>
                <w:kern w:val="0"/>
                <w:sz w:val="24"/>
                <w:szCs w:val="24"/>
                <w:highlight w:val="none"/>
                <w:lang w:val="en-US" w:eastAsia="zh-CN"/>
              </w:rPr>
              <w:t>定标办法</w:t>
            </w:r>
          </w:p>
        </w:tc>
        <w:tc>
          <w:tcPr>
            <w:tcW w:w="6856" w:type="dxa"/>
            <w:tcBorders>
              <w:top w:val="single" w:color="auto" w:sz="4" w:space="0"/>
              <w:left w:val="single" w:color="auto" w:sz="4" w:space="0"/>
              <w:bottom w:val="single" w:color="auto" w:sz="4" w:space="0"/>
              <w:right w:val="single" w:color="auto" w:sz="4" w:space="0"/>
            </w:tcBorders>
            <w:vAlign w:val="center"/>
          </w:tcPr>
          <w:p w14:paraId="12BBFE05">
            <w:pPr>
              <w:keepNext w:val="0"/>
              <w:keepLines w:val="0"/>
              <w:pageBreakBefore w:val="0"/>
              <w:widowControl w:val="0"/>
              <w:suppressLineNumbers w:val="0"/>
              <w:kinsoku/>
              <w:wordWrap/>
              <w:overflowPunct/>
              <w:topLinePunct w:val="0"/>
              <w:autoSpaceDE/>
              <w:autoSpaceDN/>
              <w:bidi w:val="0"/>
              <w:adjustRightInd/>
              <w:snapToGrid/>
              <w:spacing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采用</w:t>
            </w:r>
            <w:r>
              <w:rPr>
                <w:rFonts w:hint="eastAsia" w:ascii="宋体" w:hAnsi="宋体" w:eastAsia="宋体" w:cs="宋体"/>
                <w:b/>
                <w:bCs w:val="0"/>
                <w:snapToGrid w:val="0"/>
                <w:color w:val="auto"/>
                <w:kern w:val="0"/>
                <w:sz w:val="24"/>
                <w:szCs w:val="24"/>
                <w:highlight w:val="none"/>
                <w:lang w:val="en-US" w:eastAsia="zh-CN"/>
              </w:rPr>
              <w:t>评定分离</w:t>
            </w:r>
            <w:r>
              <w:rPr>
                <w:rFonts w:hint="eastAsia" w:ascii="宋体" w:hAnsi="宋体" w:eastAsia="宋体" w:cs="宋体"/>
                <w:bCs/>
                <w:snapToGrid w:val="0"/>
                <w:color w:val="auto"/>
                <w:kern w:val="0"/>
                <w:sz w:val="24"/>
                <w:szCs w:val="24"/>
                <w:highlight w:val="none"/>
                <w:lang w:val="en-US" w:eastAsia="zh-CN"/>
              </w:rPr>
              <w:t>的项目，应选定下列定标办法：</w:t>
            </w:r>
          </w:p>
          <w:p w14:paraId="0342D386">
            <w:pPr>
              <w:keepNext w:val="0"/>
              <w:keepLines w:val="0"/>
              <w:pageBreakBefore w:val="0"/>
              <w:widowControl w:val="0"/>
              <w:suppressLineNumbers w:val="0"/>
              <w:kinsoku/>
              <w:wordWrap/>
              <w:overflowPunct/>
              <w:topLinePunct w:val="0"/>
              <w:autoSpaceDE/>
              <w:autoSpaceDN/>
              <w:bidi w:val="0"/>
              <w:adjustRightInd/>
              <w:snapToGrid/>
              <w:spacing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☑票决数量法</w:t>
            </w:r>
          </w:p>
          <w:p w14:paraId="6E7FB522">
            <w:pPr>
              <w:keepNext w:val="0"/>
              <w:keepLines w:val="0"/>
              <w:pageBreakBefore w:val="0"/>
              <w:widowControl w:val="0"/>
              <w:suppressLineNumbers w:val="0"/>
              <w:kinsoku/>
              <w:wordWrap/>
              <w:overflowPunct/>
              <w:topLinePunct w:val="0"/>
              <w:autoSpaceDE/>
              <w:autoSpaceDN/>
              <w:bidi w:val="0"/>
              <w:adjustRightInd/>
              <w:snapToGrid/>
              <w:spacing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□票决计分法</w:t>
            </w:r>
          </w:p>
          <w:p w14:paraId="491E6893">
            <w:pPr>
              <w:keepNext w:val="0"/>
              <w:keepLines w:val="0"/>
              <w:pageBreakBefore w:val="0"/>
              <w:widowControl w:val="0"/>
              <w:suppressLineNumbers w:val="0"/>
              <w:kinsoku/>
              <w:wordWrap/>
              <w:overflowPunct/>
              <w:topLinePunct w:val="0"/>
              <w:autoSpaceDE/>
              <w:autoSpaceDN/>
              <w:bidi w:val="0"/>
              <w:adjustRightInd/>
              <w:snapToGrid/>
              <w:spacing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□集体议事法</w:t>
            </w:r>
          </w:p>
          <w:p w14:paraId="1C405CF6">
            <w:pPr>
              <w:keepNext w:val="0"/>
              <w:keepLines w:val="0"/>
              <w:pageBreakBefore w:val="0"/>
              <w:widowControl w:val="0"/>
              <w:suppressLineNumbers w:val="0"/>
              <w:kinsoku/>
              <w:wordWrap/>
              <w:overflowPunct/>
              <w:topLinePunct w:val="0"/>
              <w:autoSpaceDE/>
              <w:autoSpaceDN/>
              <w:bidi w:val="0"/>
              <w:adjustRightInd/>
              <w:snapToGrid/>
              <w:spacing w:line="400" w:lineRule="exact"/>
              <w:ind w:left="120" w:leftChars="50" w:right="120" w:rightChars="50"/>
              <w:jc w:val="left"/>
              <w:textAlignment w:val="auto"/>
              <w:rPr>
                <w:rFonts w:hint="eastAsia" w:hAnsi="宋体" w:cs="宋体"/>
                <w:snapToGrid w:val="0"/>
                <w:color w:val="auto"/>
                <w:kern w:val="0"/>
                <w:szCs w:val="24"/>
                <w:highlight w:val="none"/>
              </w:rPr>
            </w:pPr>
            <w:r>
              <w:rPr>
                <w:rFonts w:hint="eastAsia" w:ascii="宋体" w:hAnsi="宋体" w:eastAsia="宋体" w:cs="宋体"/>
                <w:bCs/>
                <w:snapToGrid w:val="0"/>
                <w:color w:val="auto"/>
                <w:kern w:val="0"/>
                <w:sz w:val="24"/>
                <w:szCs w:val="24"/>
                <w:highlight w:val="none"/>
                <w:lang w:val="en-US" w:eastAsia="zh-CN"/>
              </w:rPr>
              <w:t>□其他方法：</w:t>
            </w:r>
            <w:r>
              <w:rPr>
                <w:rFonts w:hint="eastAsia" w:ascii="宋体" w:hAnsi="宋体" w:eastAsia="宋体" w:cs="宋体"/>
                <w:bCs/>
                <w:snapToGrid w:val="0"/>
                <w:color w:val="auto"/>
                <w:kern w:val="0"/>
                <w:sz w:val="24"/>
                <w:szCs w:val="24"/>
                <w:highlight w:val="none"/>
                <w:u w:val="single"/>
                <w:lang w:val="en-US" w:eastAsia="zh-CN"/>
              </w:rPr>
              <w:t xml:space="preserve">       </w:t>
            </w:r>
          </w:p>
        </w:tc>
      </w:tr>
      <w:tr w14:paraId="076C4A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trPr>
        <w:tc>
          <w:tcPr>
            <w:tcW w:w="721" w:type="dxa"/>
            <w:tcBorders>
              <w:top w:val="single" w:color="auto" w:sz="4" w:space="0"/>
              <w:left w:val="single" w:color="auto" w:sz="4" w:space="0"/>
              <w:bottom w:val="single" w:color="auto" w:sz="4" w:space="0"/>
              <w:right w:val="single" w:color="auto" w:sz="4" w:space="0"/>
            </w:tcBorders>
            <w:vAlign w:val="center"/>
          </w:tcPr>
          <w:p w14:paraId="0B5D8580">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int="eastAsia" w:hAnsi="宋体" w:eastAsia="宋体" w:cs="宋体"/>
                <w:snapToGrid w:val="0"/>
                <w:color w:val="auto"/>
                <w:kern w:val="0"/>
                <w:szCs w:val="24"/>
                <w:highlight w:val="none"/>
                <w:lang w:eastAsia="zh-CN"/>
              </w:rPr>
            </w:pPr>
            <w:r>
              <w:rPr>
                <w:rFonts w:hint="eastAsia" w:hAnsi="宋体" w:cs="宋体"/>
                <w:snapToGrid w:val="0"/>
                <w:color w:val="auto"/>
                <w:kern w:val="0"/>
                <w:szCs w:val="24"/>
                <w:highlight w:val="none"/>
              </w:rPr>
              <w:t>2</w:t>
            </w:r>
            <w:r>
              <w:rPr>
                <w:rFonts w:hint="eastAsia" w:hAnsi="宋体" w:cs="宋体"/>
                <w:snapToGrid w:val="0"/>
                <w:color w:val="auto"/>
                <w:kern w:val="0"/>
                <w:szCs w:val="24"/>
                <w:highlight w:val="none"/>
                <w:lang w:val="en-US" w:eastAsia="zh-CN"/>
              </w:rPr>
              <w:t>4</w:t>
            </w:r>
          </w:p>
        </w:tc>
        <w:tc>
          <w:tcPr>
            <w:tcW w:w="1725" w:type="dxa"/>
            <w:tcBorders>
              <w:top w:val="single" w:color="auto" w:sz="4" w:space="0"/>
              <w:left w:val="single" w:color="auto" w:sz="4" w:space="0"/>
              <w:bottom w:val="single" w:color="auto" w:sz="4" w:space="0"/>
              <w:right w:val="single" w:color="auto" w:sz="4" w:space="0"/>
            </w:tcBorders>
            <w:vAlign w:val="center"/>
          </w:tcPr>
          <w:p w14:paraId="794A6822">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hAnsi="宋体" w:cs="宋体"/>
                <w:snapToGrid w:val="0"/>
                <w:color w:val="auto"/>
                <w:kern w:val="0"/>
                <w:szCs w:val="24"/>
                <w:highlight w:val="none"/>
              </w:rPr>
            </w:pPr>
            <w:r>
              <w:rPr>
                <w:rFonts w:hint="eastAsia" w:hAnsi="宋体" w:cs="宋体"/>
                <w:snapToGrid w:val="0"/>
                <w:color w:val="auto"/>
                <w:kern w:val="0"/>
                <w:szCs w:val="24"/>
                <w:highlight w:val="none"/>
              </w:rPr>
              <w:t>监理大纲评审</w:t>
            </w:r>
          </w:p>
          <w:p w14:paraId="3AB04B4A">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方式</w:t>
            </w:r>
          </w:p>
        </w:tc>
        <w:tc>
          <w:tcPr>
            <w:tcW w:w="6856" w:type="dxa"/>
            <w:tcBorders>
              <w:top w:val="single" w:color="auto" w:sz="4" w:space="0"/>
              <w:left w:val="single" w:color="auto" w:sz="4" w:space="0"/>
              <w:bottom w:val="single" w:color="auto" w:sz="4" w:space="0"/>
              <w:right w:val="single" w:color="auto" w:sz="4" w:space="0"/>
            </w:tcBorders>
            <w:vAlign w:val="center"/>
          </w:tcPr>
          <w:p w14:paraId="6D01719C">
            <w:pPr>
              <w:keepNext w:val="0"/>
              <w:keepLines w:val="0"/>
              <w:pageBreakBefore w:val="0"/>
              <w:widowControl w:val="0"/>
              <w:kinsoku/>
              <w:wordWrap w:val="0"/>
              <w:overflowPunct/>
              <w:topLinePunct w:val="0"/>
              <w:autoSpaceDE/>
              <w:autoSpaceDN/>
              <w:bidi w:val="0"/>
              <w:adjustRightInd w:val="0"/>
              <w:snapToGrid w:val="0"/>
              <w:spacing w:line="24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本次招标监理大纲</w:t>
            </w:r>
            <w:r>
              <w:rPr>
                <w:rFonts w:hint="eastAsia" w:hAnsi="宋体" w:cs="宋体"/>
                <w:snapToGrid w:val="0"/>
                <w:color w:val="auto"/>
                <w:kern w:val="0"/>
                <w:szCs w:val="24"/>
                <w:highlight w:val="none"/>
                <w:u w:val="single"/>
              </w:rPr>
              <w:t xml:space="preserve"> 不采用 </w:t>
            </w:r>
            <w:r>
              <w:rPr>
                <w:rFonts w:hint="eastAsia" w:hAnsi="宋体" w:cs="宋体"/>
                <w:snapToGrid w:val="0"/>
                <w:color w:val="auto"/>
                <w:kern w:val="0"/>
                <w:szCs w:val="24"/>
                <w:highlight w:val="none"/>
              </w:rPr>
              <w:t>“暗标”方式进行评审。</w:t>
            </w:r>
          </w:p>
        </w:tc>
      </w:tr>
      <w:tr w14:paraId="2BF2ED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21" w:hRule="atLeast"/>
        </w:trPr>
        <w:tc>
          <w:tcPr>
            <w:tcW w:w="721" w:type="dxa"/>
            <w:tcBorders>
              <w:top w:val="single" w:color="auto" w:sz="4" w:space="0"/>
              <w:left w:val="single" w:color="auto" w:sz="4" w:space="0"/>
              <w:bottom w:val="single" w:color="auto" w:sz="4" w:space="0"/>
              <w:right w:val="single" w:color="auto" w:sz="4" w:space="0"/>
            </w:tcBorders>
            <w:vAlign w:val="center"/>
          </w:tcPr>
          <w:p w14:paraId="0A83B325">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int="eastAsia" w:hAnsi="宋体" w:eastAsia="宋体" w:cs="宋体"/>
                <w:snapToGrid w:val="0"/>
                <w:color w:val="auto"/>
                <w:kern w:val="0"/>
                <w:szCs w:val="24"/>
                <w:highlight w:val="none"/>
                <w:lang w:eastAsia="zh-CN"/>
              </w:rPr>
            </w:pPr>
            <w:r>
              <w:rPr>
                <w:rFonts w:hint="eastAsia" w:hAnsi="宋体" w:cs="宋体"/>
                <w:snapToGrid w:val="0"/>
                <w:color w:val="auto"/>
                <w:kern w:val="0"/>
                <w:szCs w:val="24"/>
                <w:highlight w:val="none"/>
              </w:rPr>
              <w:t>2</w:t>
            </w:r>
            <w:r>
              <w:rPr>
                <w:rFonts w:hint="eastAsia" w:hAnsi="宋体" w:cs="宋体"/>
                <w:snapToGrid w:val="0"/>
                <w:color w:val="auto"/>
                <w:kern w:val="0"/>
                <w:szCs w:val="24"/>
                <w:highlight w:val="none"/>
                <w:lang w:val="en-US" w:eastAsia="zh-CN"/>
              </w:rPr>
              <w:t>5</w:t>
            </w:r>
          </w:p>
        </w:tc>
        <w:tc>
          <w:tcPr>
            <w:tcW w:w="1725" w:type="dxa"/>
            <w:tcBorders>
              <w:top w:val="single" w:color="auto" w:sz="4" w:space="0"/>
              <w:left w:val="single" w:color="auto" w:sz="4" w:space="0"/>
              <w:bottom w:val="single" w:color="auto" w:sz="4" w:space="0"/>
              <w:right w:val="single" w:color="auto" w:sz="4" w:space="0"/>
            </w:tcBorders>
            <w:vAlign w:val="center"/>
          </w:tcPr>
          <w:p w14:paraId="6CC5BE86">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评标委员会</w:t>
            </w:r>
          </w:p>
        </w:tc>
        <w:tc>
          <w:tcPr>
            <w:tcW w:w="6856" w:type="dxa"/>
            <w:tcBorders>
              <w:top w:val="single" w:color="auto" w:sz="4" w:space="0"/>
              <w:left w:val="single" w:color="auto" w:sz="4" w:space="0"/>
              <w:bottom w:val="single" w:color="auto" w:sz="4" w:space="0"/>
              <w:right w:val="single" w:color="auto" w:sz="4" w:space="0"/>
            </w:tcBorders>
            <w:vAlign w:val="center"/>
          </w:tcPr>
          <w:p w14:paraId="71EEA215">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rPr>
                <w:rFonts w:hAnsi="宋体" w:cs="宋体"/>
                <w:snapToGrid w:val="0"/>
                <w:color w:val="auto"/>
                <w:kern w:val="0"/>
                <w:szCs w:val="24"/>
                <w:highlight w:val="none"/>
              </w:rPr>
            </w:pPr>
            <w:r>
              <w:rPr>
                <w:rFonts w:hint="eastAsia" w:hAnsi="宋体" w:cs="宋体"/>
                <w:snapToGrid w:val="0"/>
                <w:color w:val="auto"/>
                <w:kern w:val="0"/>
                <w:szCs w:val="24"/>
                <w:highlight w:val="none"/>
              </w:rPr>
              <w:t>评标委员会由</w:t>
            </w:r>
            <w:r>
              <w:rPr>
                <w:rFonts w:hint="eastAsia" w:hAnsi="宋体" w:cs="宋体"/>
                <w:snapToGrid w:val="0"/>
                <w:color w:val="auto"/>
                <w:kern w:val="0"/>
                <w:szCs w:val="24"/>
                <w:highlight w:val="none"/>
                <w:u w:val="single"/>
              </w:rPr>
              <w:t xml:space="preserve"> 5 </w:t>
            </w:r>
            <w:r>
              <w:rPr>
                <w:rFonts w:hint="eastAsia" w:hAnsi="宋体" w:cs="宋体"/>
                <w:snapToGrid w:val="0"/>
                <w:color w:val="auto"/>
                <w:kern w:val="0"/>
                <w:szCs w:val="24"/>
                <w:highlight w:val="none"/>
              </w:rPr>
              <w:t>人组成，其中招标人代表</w:t>
            </w:r>
            <w:r>
              <w:rPr>
                <w:rFonts w:hint="eastAsia" w:hAnsi="宋体" w:cs="宋体"/>
                <w:snapToGrid w:val="0"/>
                <w:color w:val="auto"/>
                <w:kern w:val="0"/>
                <w:szCs w:val="24"/>
                <w:highlight w:val="none"/>
                <w:u w:val="single"/>
              </w:rPr>
              <w:t xml:space="preserve"> 0 </w:t>
            </w:r>
            <w:r>
              <w:rPr>
                <w:rFonts w:hint="eastAsia" w:hAnsi="宋体" w:cs="宋体"/>
                <w:snapToGrid w:val="0"/>
                <w:color w:val="auto"/>
                <w:kern w:val="0"/>
                <w:szCs w:val="24"/>
                <w:highlight w:val="none"/>
              </w:rPr>
              <w:t>人，专家</w:t>
            </w:r>
            <w:r>
              <w:rPr>
                <w:rFonts w:hint="eastAsia" w:hAnsi="宋体" w:cs="宋体"/>
                <w:snapToGrid w:val="0"/>
                <w:color w:val="auto"/>
                <w:kern w:val="0"/>
                <w:szCs w:val="24"/>
                <w:highlight w:val="none"/>
                <w:u w:val="single"/>
              </w:rPr>
              <w:t xml:space="preserve"> 5 </w:t>
            </w:r>
            <w:r>
              <w:rPr>
                <w:rFonts w:hint="eastAsia" w:hAnsi="宋体" w:cs="宋体"/>
                <w:snapToGrid w:val="0"/>
                <w:color w:val="auto"/>
                <w:kern w:val="0"/>
                <w:szCs w:val="24"/>
                <w:highlight w:val="none"/>
              </w:rPr>
              <w:t>人。专家从广东省综合评标评审专家库</w:t>
            </w:r>
            <w:r>
              <w:rPr>
                <w:rFonts w:hint="eastAsia" w:hAnsi="宋体" w:cs="宋体"/>
                <w:snapToGrid w:val="0"/>
                <w:color w:val="auto"/>
                <w:kern w:val="0"/>
                <w:szCs w:val="24"/>
                <w:highlight w:val="none"/>
                <w:lang w:val="en-US" w:eastAsia="zh-CN"/>
              </w:rPr>
              <w:t>-韶关区域</w:t>
            </w:r>
            <w:r>
              <w:rPr>
                <w:rFonts w:hint="eastAsia" w:hAnsi="宋体" w:cs="宋体"/>
                <w:snapToGrid w:val="0"/>
                <w:color w:val="auto"/>
                <w:kern w:val="0"/>
                <w:szCs w:val="24"/>
                <w:highlight w:val="none"/>
              </w:rPr>
              <w:t>中随机抽取，其中技术类专家</w:t>
            </w:r>
            <w:r>
              <w:rPr>
                <w:rFonts w:hint="eastAsia" w:hAnsi="宋体" w:cs="宋体"/>
                <w:snapToGrid w:val="0"/>
                <w:color w:val="auto"/>
                <w:kern w:val="0"/>
                <w:szCs w:val="24"/>
                <w:highlight w:val="none"/>
                <w:u w:val="single"/>
              </w:rPr>
              <w:t xml:space="preserve"> 3 </w:t>
            </w:r>
            <w:r>
              <w:rPr>
                <w:rFonts w:hint="eastAsia" w:hAnsi="宋体" w:cs="宋体"/>
                <w:snapToGrid w:val="0"/>
                <w:color w:val="auto"/>
                <w:kern w:val="0"/>
                <w:szCs w:val="24"/>
                <w:highlight w:val="none"/>
              </w:rPr>
              <w:t>人，经济类专家</w:t>
            </w:r>
            <w:r>
              <w:rPr>
                <w:rFonts w:hint="eastAsia" w:hAnsi="宋体" w:cs="宋体"/>
                <w:snapToGrid w:val="0"/>
                <w:color w:val="auto"/>
                <w:kern w:val="0"/>
                <w:szCs w:val="24"/>
                <w:highlight w:val="none"/>
                <w:u w:val="single"/>
              </w:rPr>
              <w:t xml:space="preserve"> 2 </w:t>
            </w:r>
            <w:r>
              <w:rPr>
                <w:rFonts w:hint="eastAsia" w:hAnsi="宋体" w:cs="宋体"/>
                <w:snapToGrid w:val="0"/>
                <w:color w:val="auto"/>
                <w:kern w:val="0"/>
                <w:szCs w:val="24"/>
                <w:highlight w:val="none"/>
              </w:rPr>
              <w:t>人。</w:t>
            </w:r>
          </w:p>
        </w:tc>
      </w:tr>
      <w:tr w14:paraId="09E70B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8" w:hRule="atLeast"/>
        </w:trPr>
        <w:tc>
          <w:tcPr>
            <w:tcW w:w="721" w:type="dxa"/>
            <w:tcBorders>
              <w:top w:val="single" w:color="auto" w:sz="4" w:space="0"/>
              <w:left w:val="single" w:color="auto" w:sz="4" w:space="0"/>
              <w:bottom w:val="single" w:color="auto" w:sz="4" w:space="0"/>
              <w:right w:val="single" w:color="auto" w:sz="4" w:space="0"/>
            </w:tcBorders>
            <w:vAlign w:val="center"/>
          </w:tcPr>
          <w:p w14:paraId="66BF542A">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int="default" w:hAnsi="宋体" w:eastAsia="宋体" w:cs="宋体"/>
                <w:snapToGrid w:val="0"/>
                <w:color w:val="auto"/>
                <w:kern w:val="0"/>
                <w:szCs w:val="24"/>
                <w:highlight w:val="none"/>
                <w:lang w:val="en-US" w:eastAsia="zh-CN"/>
              </w:rPr>
            </w:pPr>
            <w:r>
              <w:rPr>
                <w:rFonts w:hint="eastAsia" w:hAnsi="宋体" w:cs="宋体"/>
                <w:snapToGrid w:val="0"/>
                <w:color w:val="auto"/>
                <w:kern w:val="0"/>
                <w:szCs w:val="24"/>
                <w:highlight w:val="none"/>
                <w:lang w:val="en-US" w:eastAsia="zh-CN"/>
              </w:rPr>
              <w:t>26</w:t>
            </w:r>
          </w:p>
        </w:tc>
        <w:tc>
          <w:tcPr>
            <w:tcW w:w="1725" w:type="dxa"/>
            <w:tcBorders>
              <w:top w:val="single" w:color="auto" w:sz="4" w:space="0"/>
              <w:left w:val="single" w:color="auto" w:sz="4" w:space="0"/>
              <w:bottom w:val="single" w:color="auto" w:sz="4" w:space="0"/>
              <w:right w:val="single" w:color="auto" w:sz="4" w:space="0"/>
            </w:tcBorders>
            <w:vAlign w:val="center"/>
          </w:tcPr>
          <w:p w14:paraId="23FFB231">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hAnsi="宋体" w:cs="宋体"/>
                <w:snapToGrid w:val="0"/>
                <w:color w:val="auto"/>
                <w:kern w:val="0"/>
                <w:szCs w:val="24"/>
                <w:highlight w:val="none"/>
              </w:rPr>
            </w:pPr>
            <w:r>
              <w:rPr>
                <w:rFonts w:hint="eastAsia" w:ascii="宋体" w:hAnsi="宋体" w:eastAsia="宋体" w:cs="宋体"/>
                <w:snapToGrid w:val="0"/>
                <w:color w:val="auto"/>
                <w:kern w:val="0"/>
                <w:sz w:val="24"/>
                <w:szCs w:val="24"/>
                <w:highlight w:val="none"/>
                <w:lang w:val="en-US" w:eastAsia="zh-CN"/>
              </w:rPr>
              <w:t>定标委员会</w:t>
            </w:r>
          </w:p>
        </w:tc>
        <w:tc>
          <w:tcPr>
            <w:tcW w:w="6856" w:type="dxa"/>
            <w:tcBorders>
              <w:top w:val="single" w:color="auto" w:sz="4" w:space="0"/>
              <w:left w:val="single" w:color="auto" w:sz="4" w:space="0"/>
              <w:bottom w:val="single" w:color="auto" w:sz="4" w:space="0"/>
              <w:right w:val="single" w:color="auto" w:sz="4" w:space="0"/>
            </w:tcBorders>
            <w:vAlign w:val="center"/>
          </w:tcPr>
          <w:p w14:paraId="636FAC1F">
            <w:pPr>
              <w:keepNext w:val="0"/>
              <w:keepLines w:val="0"/>
              <w:pageBreakBefore w:val="0"/>
              <w:kinsoku/>
              <w:wordWrap w:val="0"/>
              <w:overflowPunct/>
              <w:topLinePunct w:val="0"/>
              <w:autoSpaceDE/>
              <w:autoSpaceDN/>
              <w:bidi w:val="0"/>
              <w:adjustRightInd w:val="0"/>
              <w:snapToGrid w:val="0"/>
              <w:spacing w:line="500" w:lineRule="exact"/>
              <w:ind w:firstLine="480" w:firstLineChars="200"/>
              <w:jc w:val="both"/>
              <w:textAlignment w:val="auto"/>
              <w:rPr>
                <w:rFonts w:hint="eastAsia" w:hAnsi="宋体" w:cs="宋体"/>
                <w:snapToGrid w:val="0"/>
                <w:color w:val="auto"/>
                <w:kern w:val="0"/>
                <w:szCs w:val="24"/>
                <w:highlight w:val="none"/>
              </w:rPr>
            </w:pPr>
            <w:r>
              <w:rPr>
                <w:rFonts w:hint="eastAsia" w:ascii="宋体" w:hAnsi="宋体" w:eastAsia="宋体" w:cs="宋体"/>
                <w:snapToGrid w:val="0"/>
                <w:color w:val="auto"/>
                <w:kern w:val="0"/>
                <w:sz w:val="24"/>
                <w:szCs w:val="24"/>
                <w:highlight w:val="none"/>
                <w:lang w:val="en-US" w:eastAsia="zh-CN"/>
              </w:rPr>
              <w:t>本项目定标委员会组成人员为</w:t>
            </w:r>
            <w:r>
              <w:rPr>
                <w:rFonts w:hint="eastAsia" w:ascii="宋体" w:hAnsi="宋体" w:eastAsia="宋体" w:cs="宋体"/>
                <w:snapToGrid w:val="0"/>
                <w:color w:val="auto"/>
                <w:kern w:val="0"/>
                <w:sz w:val="24"/>
                <w:szCs w:val="24"/>
                <w:highlight w:val="none"/>
                <w:u w:val="single"/>
                <w:lang w:val="en-US" w:eastAsia="zh-CN"/>
              </w:rPr>
              <w:t xml:space="preserve"> 7 </w:t>
            </w:r>
            <w:r>
              <w:rPr>
                <w:rFonts w:hint="eastAsia" w:ascii="宋体" w:hAnsi="宋体" w:eastAsia="宋体" w:cs="宋体"/>
                <w:snapToGrid w:val="0"/>
                <w:color w:val="auto"/>
                <w:kern w:val="0"/>
                <w:sz w:val="24"/>
                <w:szCs w:val="24"/>
                <w:highlight w:val="none"/>
                <w:lang w:val="en-US" w:eastAsia="zh-CN"/>
              </w:rPr>
              <w:t>人。</w:t>
            </w:r>
          </w:p>
        </w:tc>
      </w:tr>
      <w:tr w14:paraId="0C4486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9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285B89BB">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hAnsi="宋体" w:cs="宋体"/>
                <w:snapToGrid w:val="0"/>
                <w:color w:val="auto"/>
                <w:kern w:val="0"/>
                <w:szCs w:val="24"/>
                <w:highlight w:val="none"/>
              </w:rPr>
              <w:t>2</w:t>
            </w:r>
            <w:r>
              <w:rPr>
                <w:rFonts w:hint="eastAsia" w:hAnsi="宋体" w:cs="宋体"/>
                <w:snapToGrid w:val="0"/>
                <w:color w:val="auto"/>
                <w:kern w:val="0"/>
                <w:szCs w:val="24"/>
                <w:highlight w:val="none"/>
                <w:lang w:val="en-US" w:eastAsia="zh-CN"/>
              </w:rPr>
              <w:t>7</w:t>
            </w:r>
          </w:p>
        </w:tc>
        <w:tc>
          <w:tcPr>
            <w:tcW w:w="1725" w:type="dxa"/>
            <w:tcBorders>
              <w:top w:val="single" w:color="auto" w:sz="4" w:space="0"/>
              <w:left w:val="single" w:color="auto" w:sz="4" w:space="0"/>
              <w:bottom w:val="single" w:color="auto" w:sz="4" w:space="0"/>
              <w:right w:val="single" w:color="auto" w:sz="4" w:space="0"/>
            </w:tcBorders>
            <w:vAlign w:val="center"/>
          </w:tcPr>
          <w:p w14:paraId="3196D7ED">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int="eastAsia" w:hAnsi="宋体" w:cs="宋体"/>
                <w:snapToGrid w:val="0"/>
                <w:color w:val="auto"/>
                <w:kern w:val="0"/>
                <w:szCs w:val="24"/>
                <w:highlight w:val="none"/>
              </w:rPr>
            </w:pPr>
            <w:r>
              <w:rPr>
                <w:rFonts w:hint="eastAsia" w:ascii="宋体" w:hAnsi="宋体" w:eastAsia="宋体" w:cs="宋体"/>
                <w:snapToGrid w:val="0"/>
                <w:color w:val="auto"/>
                <w:kern w:val="0"/>
                <w:sz w:val="24"/>
                <w:szCs w:val="24"/>
                <w:highlight w:val="none"/>
              </w:rPr>
              <w:t>招标文件要求提交的用于评审的证书、证件、证明原件</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如有</w:t>
            </w:r>
            <w:r>
              <w:rPr>
                <w:rFonts w:hint="eastAsia" w:ascii="宋体" w:hAnsi="宋体" w:eastAsia="宋体" w:cs="宋体"/>
                <w:snapToGrid w:val="0"/>
                <w:color w:val="auto"/>
                <w:kern w:val="0"/>
                <w:sz w:val="24"/>
                <w:szCs w:val="24"/>
                <w:highlight w:val="none"/>
                <w:lang w:eastAsia="zh-CN"/>
              </w:rPr>
              <w:t>）</w:t>
            </w:r>
          </w:p>
        </w:tc>
        <w:tc>
          <w:tcPr>
            <w:tcW w:w="6856" w:type="dxa"/>
            <w:tcBorders>
              <w:top w:val="single" w:color="auto" w:sz="4" w:space="0"/>
              <w:left w:val="single" w:color="auto" w:sz="4" w:space="0"/>
              <w:bottom w:val="single" w:color="auto" w:sz="4" w:space="0"/>
              <w:right w:val="single" w:color="auto" w:sz="4" w:space="0"/>
            </w:tcBorders>
            <w:vAlign w:val="center"/>
          </w:tcPr>
          <w:p w14:paraId="72AFF7D2">
            <w:pPr>
              <w:keepNext w:val="0"/>
              <w:keepLines w:val="0"/>
              <w:pageBreakBefore w:val="0"/>
              <w:widowControl w:val="0"/>
              <w:kinsoku/>
              <w:wordWrap w:val="0"/>
              <w:overflowPunct/>
              <w:topLinePunct w:val="0"/>
              <w:autoSpaceDE/>
              <w:autoSpaceDN/>
              <w:bidi w:val="0"/>
              <w:adjustRightInd w:val="0"/>
              <w:snapToGrid w:val="0"/>
              <w:spacing w:line="500" w:lineRule="exact"/>
              <w:jc w:val="left"/>
              <w:textAlignment w:val="auto"/>
              <w:rPr>
                <w:rFonts w:hint="eastAsia" w:hAnsi="宋体" w:cs="宋体"/>
                <w:snapToGrid w:val="0"/>
                <w:color w:val="auto"/>
                <w:kern w:val="0"/>
                <w:szCs w:val="24"/>
                <w:highlight w:val="none"/>
              </w:rPr>
            </w:pP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snapToGrid w:val="0"/>
                <w:color w:val="auto"/>
                <w:kern w:val="0"/>
                <w:sz w:val="24"/>
                <w:szCs w:val="24"/>
                <w:highlight w:val="none"/>
              </w:rPr>
              <w:t>投标人提交用于评审的证书、证件、证明原件的，应自行准备两张“原件一览表”(详见</w:t>
            </w:r>
            <w:r>
              <w:rPr>
                <w:rFonts w:hint="eastAsia" w:hAnsi="宋体" w:cs="宋体"/>
                <w:snapToGrid w:val="0"/>
                <w:color w:val="auto"/>
                <w:kern w:val="0"/>
                <w:sz w:val="24"/>
                <w:szCs w:val="24"/>
                <w:highlight w:val="none"/>
                <w:lang w:val="en-US" w:eastAsia="zh-CN"/>
              </w:rPr>
              <w:t>投标文件格式</w:t>
            </w:r>
            <w:r>
              <w:rPr>
                <w:rFonts w:hint="eastAsia" w:ascii="宋体" w:hAnsi="宋体" w:eastAsia="宋体" w:cs="宋体"/>
                <w:snapToGrid w:val="0"/>
                <w:color w:val="auto"/>
                <w:kern w:val="0"/>
                <w:sz w:val="24"/>
                <w:szCs w:val="24"/>
                <w:highlight w:val="none"/>
              </w:rPr>
              <w:t>，投标人须自行填写，表格可扩展)，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评标结束后，招标代理机构将退回投标人的原件。若投标人未按要求提交相应证明材料原件或投标文件中证明材料的彩色扫描件与原件不一致，评审时相应证明材料不予认可。</w:t>
            </w:r>
          </w:p>
        </w:tc>
      </w:tr>
      <w:tr w14:paraId="7161C5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9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7B8721E2">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hAnsi="宋体" w:cs="宋体"/>
                <w:snapToGrid w:val="0"/>
                <w:color w:val="auto"/>
                <w:kern w:val="0"/>
                <w:szCs w:val="24"/>
                <w:highlight w:val="none"/>
              </w:rPr>
              <w:t>2</w:t>
            </w:r>
            <w:r>
              <w:rPr>
                <w:rFonts w:hint="eastAsia" w:hAnsi="宋体" w:cs="宋体"/>
                <w:snapToGrid w:val="0"/>
                <w:color w:val="auto"/>
                <w:kern w:val="0"/>
                <w:szCs w:val="24"/>
                <w:highlight w:val="none"/>
                <w:lang w:val="en-US" w:eastAsia="zh-CN"/>
              </w:rPr>
              <w:t>8</w:t>
            </w:r>
          </w:p>
        </w:tc>
        <w:tc>
          <w:tcPr>
            <w:tcW w:w="1725" w:type="dxa"/>
            <w:tcBorders>
              <w:top w:val="single" w:color="auto" w:sz="4" w:space="0"/>
              <w:left w:val="single" w:color="auto" w:sz="4" w:space="0"/>
              <w:bottom w:val="single" w:color="auto" w:sz="4" w:space="0"/>
              <w:right w:val="single" w:color="auto" w:sz="4" w:space="0"/>
            </w:tcBorders>
            <w:vAlign w:val="center"/>
          </w:tcPr>
          <w:p w14:paraId="4CB5F7E5">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招标人</w:t>
            </w:r>
          </w:p>
          <w:p w14:paraId="7CA2CE30">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联系方式</w:t>
            </w:r>
          </w:p>
        </w:tc>
        <w:tc>
          <w:tcPr>
            <w:tcW w:w="6856" w:type="dxa"/>
            <w:tcBorders>
              <w:top w:val="single" w:color="auto" w:sz="4" w:space="0"/>
              <w:left w:val="single" w:color="auto" w:sz="4" w:space="0"/>
              <w:bottom w:val="single" w:color="auto" w:sz="4" w:space="0"/>
              <w:right w:val="single" w:color="auto" w:sz="4" w:space="0"/>
            </w:tcBorders>
            <w:vAlign w:val="center"/>
          </w:tcPr>
          <w:p w14:paraId="5DDFFDE3">
            <w:pPr>
              <w:keepNext w:val="0"/>
              <w:keepLines w:val="0"/>
              <w:pageBreakBefore w:val="0"/>
              <w:widowControl w:val="0"/>
              <w:suppressLineNumbers w:val="0"/>
              <w:kinsoku/>
              <w:wordWrap/>
              <w:overflowPunct/>
              <w:topLinePunct w:val="0"/>
              <w:autoSpaceDE/>
              <w:autoSpaceDN/>
              <w:bidi w:val="0"/>
              <w:adjustRightInd/>
              <w:snapToGrid/>
              <w:spacing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单位名称：韶关市武江区西河镇人民政府</w:t>
            </w:r>
          </w:p>
          <w:p w14:paraId="12891A94">
            <w:pPr>
              <w:keepNext w:val="0"/>
              <w:keepLines w:val="0"/>
              <w:pageBreakBefore w:val="0"/>
              <w:widowControl w:val="0"/>
              <w:suppressLineNumbers w:val="0"/>
              <w:kinsoku/>
              <w:wordWrap/>
              <w:overflowPunct/>
              <w:topLinePunct w:val="0"/>
              <w:autoSpaceDE/>
              <w:autoSpaceDN/>
              <w:bidi w:val="0"/>
              <w:adjustRightInd/>
              <w:snapToGrid/>
              <w:spacing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办公地址：韶关市武江区芙蓉北三路10号</w:t>
            </w:r>
          </w:p>
          <w:p w14:paraId="7D407942">
            <w:pPr>
              <w:keepNext w:val="0"/>
              <w:keepLines w:val="0"/>
              <w:pageBreakBefore w:val="0"/>
              <w:widowControl w:val="0"/>
              <w:suppressLineNumbers w:val="0"/>
              <w:kinsoku/>
              <w:wordWrap/>
              <w:overflowPunct/>
              <w:topLinePunct w:val="0"/>
              <w:autoSpaceDE/>
              <w:autoSpaceDN/>
              <w:bidi w:val="0"/>
              <w:adjustRightInd/>
              <w:snapToGrid/>
              <w:spacing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联系人（部门）：赖工</w:t>
            </w:r>
          </w:p>
          <w:p w14:paraId="2A6AE7A7">
            <w:pPr>
              <w:keepNext w:val="0"/>
              <w:keepLines w:val="0"/>
              <w:pageBreakBefore w:val="0"/>
              <w:widowControl w:val="0"/>
              <w:suppressLineNumbers w:val="0"/>
              <w:kinsoku/>
              <w:wordWrap/>
              <w:overflowPunct/>
              <w:topLinePunct w:val="0"/>
              <w:autoSpaceDE/>
              <w:autoSpaceDN/>
              <w:bidi w:val="0"/>
              <w:adjustRightInd/>
              <w:snapToGrid/>
              <w:spacing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联系电话：0751-8738087</w:t>
            </w:r>
          </w:p>
        </w:tc>
      </w:tr>
      <w:tr w14:paraId="06B4FD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75"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27824ACC">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hAnsi="宋体" w:cs="宋体"/>
                <w:snapToGrid w:val="0"/>
                <w:color w:val="auto"/>
                <w:kern w:val="0"/>
                <w:szCs w:val="24"/>
                <w:highlight w:val="none"/>
              </w:rPr>
              <w:t>2</w:t>
            </w:r>
            <w:r>
              <w:rPr>
                <w:rFonts w:hint="eastAsia" w:hAnsi="宋体" w:cs="宋体"/>
                <w:snapToGrid w:val="0"/>
                <w:color w:val="auto"/>
                <w:kern w:val="0"/>
                <w:szCs w:val="24"/>
                <w:highlight w:val="none"/>
                <w:lang w:val="en-US" w:eastAsia="zh-CN"/>
              </w:rPr>
              <w:t>9</w:t>
            </w:r>
          </w:p>
        </w:tc>
        <w:tc>
          <w:tcPr>
            <w:tcW w:w="1725" w:type="dxa"/>
            <w:tcBorders>
              <w:top w:val="single" w:color="auto" w:sz="4" w:space="0"/>
              <w:left w:val="single" w:color="auto" w:sz="4" w:space="0"/>
              <w:bottom w:val="single" w:color="auto" w:sz="4" w:space="0"/>
              <w:right w:val="single" w:color="auto" w:sz="4" w:space="0"/>
            </w:tcBorders>
            <w:vAlign w:val="center"/>
          </w:tcPr>
          <w:p w14:paraId="42B2F57F">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招标代理机构</w:t>
            </w:r>
          </w:p>
          <w:p w14:paraId="70009F99">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联系方式</w:t>
            </w:r>
          </w:p>
        </w:tc>
        <w:tc>
          <w:tcPr>
            <w:tcW w:w="6856" w:type="dxa"/>
            <w:tcBorders>
              <w:top w:val="single" w:color="auto" w:sz="4" w:space="0"/>
              <w:left w:val="single" w:color="auto" w:sz="4" w:space="0"/>
              <w:bottom w:val="single" w:color="auto" w:sz="4" w:space="0"/>
              <w:right w:val="single" w:color="auto" w:sz="4" w:space="0"/>
            </w:tcBorders>
            <w:vAlign w:val="center"/>
          </w:tcPr>
          <w:p w14:paraId="0DCCAF18">
            <w:pPr>
              <w:keepNext w:val="0"/>
              <w:keepLines w:val="0"/>
              <w:pageBreakBefore w:val="0"/>
              <w:widowControl w:val="0"/>
              <w:suppressLineNumbers w:val="0"/>
              <w:kinsoku/>
              <w:wordWrap/>
              <w:overflowPunct/>
              <w:topLinePunct w:val="0"/>
              <w:autoSpaceDE/>
              <w:autoSpaceDN/>
              <w:bidi w:val="0"/>
              <w:adjustRightInd/>
              <w:snapToGrid/>
              <w:spacing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单位名称：韶关市星尘工程咨询有限公司</w:t>
            </w:r>
          </w:p>
          <w:p w14:paraId="2D858D21">
            <w:pPr>
              <w:keepNext w:val="0"/>
              <w:keepLines w:val="0"/>
              <w:pageBreakBefore w:val="0"/>
              <w:widowControl w:val="0"/>
              <w:suppressLineNumbers w:val="0"/>
              <w:kinsoku/>
              <w:wordWrap/>
              <w:overflowPunct/>
              <w:topLinePunct w:val="0"/>
              <w:autoSpaceDE/>
              <w:autoSpaceDN/>
              <w:bidi w:val="0"/>
              <w:adjustRightInd/>
              <w:snapToGrid/>
              <w:spacing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办公地址：韶关市浈江区良村公路35号良村综合商贸城G栋401室</w:t>
            </w:r>
          </w:p>
          <w:p w14:paraId="5529FA9B">
            <w:pPr>
              <w:keepNext w:val="0"/>
              <w:keepLines w:val="0"/>
              <w:pageBreakBefore w:val="0"/>
              <w:widowControl w:val="0"/>
              <w:suppressLineNumbers w:val="0"/>
              <w:kinsoku/>
              <w:wordWrap/>
              <w:overflowPunct/>
              <w:topLinePunct w:val="0"/>
              <w:autoSpaceDE/>
              <w:autoSpaceDN/>
              <w:bidi w:val="0"/>
              <w:adjustRightInd/>
              <w:snapToGrid/>
              <w:spacing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联系人（部门）：项目负责人：周尘、经办人：龚劲松</w:t>
            </w:r>
          </w:p>
          <w:p w14:paraId="1ED21C5C">
            <w:pPr>
              <w:keepNext w:val="0"/>
              <w:keepLines w:val="0"/>
              <w:pageBreakBefore w:val="0"/>
              <w:widowControl w:val="0"/>
              <w:suppressLineNumbers w:val="0"/>
              <w:kinsoku/>
              <w:wordWrap/>
              <w:overflowPunct/>
              <w:topLinePunct w:val="0"/>
              <w:autoSpaceDE/>
              <w:autoSpaceDN/>
              <w:bidi w:val="0"/>
              <w:adjustRightInd/>
              <w:snapToGrid/>
              <w:spacing w:line="400" w:lineRule="exact"/>
              <w:ind w:left="120" w:leftChars="50" w:right="120" w:rightChars="50"/>
              <w:jc w:val="left"/>
              <w:textAlignment w:val="auto"/>
              <w:rPr>
                <w:rFonts w:hint="default"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联系电话：0751-8998998</w:t>
            </w:r>
          </w:p>
        </w:tc>
      </w:tr>
      <w:tr w14:paraId="613847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79"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4F5D1456">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int="default" w:ascii="宋体" w:hAnsi="宋体" w:eastAsia="宋体" w:cs="宋体"/>
                <w:snapToGrid w:val="0"/>
                <w:color w:val="auto"/>
                <w:kern w:val="0"/>
                <w:sz w:val="24"/>
                <w:szCs w:val="24"/>
                <w:highlight w:val="none"/>
                <w:lang w:val="en-US" w:eastAsia="zh-CN" w:bidi="ar-SA"/>
              </w:rPr>
            </w:pPr>
            <w:r>
              <w:rPr>
                <w:rFonts w:hint="eastAsia" w:hAnsi="宋体" w:cs="宋体"/>
                <w:snapToGrid w:val="0"/>
                <w:color w:val="auto"/>
                <w:kern w:val="0"/>
                <w:szCs w:val="24"/>
                <w:highlight w:val="none"/>
                <w:lang w:val="en-US" w:eastAsia="zh-CN"/>
              </w:rPr>
              <w:t>30</w:t>
            </w:r>
          </w:p>
        </w:tc>
        <w:tc>
          <w:tcPr>
            <w:tcW w:w="1725" w:type="dxa"/>
            <w:tcBorders>
              <w:top w:val="single" w:color="auto" w:sz="4" w:space="0"/>
              <w:left w:val="single" w:color="auto" w:sz="4" w:space="0"/>
              <w:bottom w:val="single" w:color="auto" w:sz="4" w:space="0"/>
              <w:right w:val="single" w:color="auto" w:sz="4" w:space="0"/>
            </w:tcBorders>
            <w:vAlign w:val="center"/>
          </w:tcPr>
          <w:p w14:paraId="767B8CA3">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交易场所</w:t>
            </w:r>
          </w:p>
          <w:p w14:paraId="4CC7096B">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联系方式</w:t>
            </w:r>
          </w:p>
        </w:tc>
        <w:tc>
          <w:tcPr>
            <w:tcW w:w="6856" w:type="dxa"/>
            <w:tcBorders>
              <w:top w:val="single" w:color="auto" w:sz="4" w:space="0"/>
              <w:left w:val="single" w:color="auto" w:sz="4" w:space="0"/>
              <w:bottom w:val="single" w:color="auto" w:sz="4" w:space="0"/>
              <w:right w:val="single" w:color="auto" w:sz="4" w:space="0"/>
            </w:tcBorders>
            <w:vAlign w:val="center"/>
          </w:tcPr>
          <w:p w14:paraId="3FE58A12">
            <w:pPr>
              <w:keepNext w:val="0"/>
              <w:keepLines w:val="0"/>
              <w:pageBreakBefore w:val="0"/>
              <w:widowControl w:val="0"/>
              <w:suppressLineNumbers w:val="0"/>
              <w:kinsoku/>
              <w:wordWrap/>
              <w:overflowPunct/>
              <w:topLinePunct w:val="0"/>
              <w:autoSpaceDE/>
              <w:autoSpaceDN/>
              <w:bidi w:val="0"/>
              <w:adjustRightInd/>
              <w:snapToGrid/>
              <w:spacing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单位名称：韶关市公共资源交易中心</w:t>
            </w:r>
          </w:p>
          <w:p w14:paraId="5B70FB2F">
            <w:pPr>
              <w:keepNext w:val="0"/>
              <w:keepLines w:val="0"/>
              <w:pageBreakBefore w:val="0"/>
              <w:widowControl w:val="0"/>
              <w:suppressLineNumbers w:val="0"/>
              <w:kinsoku/>
              <w:wordWrap/>
              <w:overflowPunct/>
              <w:topLinePunct w:val="0"/>
              <w:autoSpaceDE/>
              <w:autoSpaceDN/>
              <w:bidi w:val="0"/>
              <w:adjustRightInd/>
              <w:snapToGrid/>
              <w:spacing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办公地址：广东省韶关市武江区西联镇</w:t>
            </w:r>
          </w:p>
          <w:p w14:paraId="694CDE1F">
            <w:pPr>
              <w:keepNext w:val="0"/>
              <w:keepLines w:val="0"/>
              <w:pageBreakBefore w:val="0"/>
              <w:widowControl w:val="0"/>
              <w:suppressLineNumbers w:val="0"/>
              <w:kinsoku/>
              <w:wordWrap/>
              <w:overflowPunct/>
              <w:topLinePunct w:val="0"/>
              <w:autoSpaceDE/>
              <w:autoSpaceDN/>
              <w:bidi w:val="0"/>
              <w:adjustRightInd/>
              <w:snapToGrid/>
              <w:spacing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联系人（部门）：工程交易部</w:t>
            </w:r>
          </w:p>
          <w:p w14:paraId="4486DD7C">
            <w:pPr>
              <w:keepNext w:val="0"/>
              <w:keepLines w:val="0"/>
              <w:pageBreakBefore w:val="0"/>
              <w:widowControl w:val="0"/>
              <w:suppressLineNumbers w:val="0"/>
              <w:kinsoku/>
              <w:wordWrap/>
              <w:overflowPunct/>
              <w:topLinePunct w:val="0"/>
              <w:autoSpaceDE/>
              <w:autoSpaceDN/>
              <w:bidi w:val="0"/>
              <w:adjustRightInd/>
              <w:snapToGrid/>
              <w:spacing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联系电话：0751-8633071、0751-8633211</w:t>
            </w:r>
          </w:p>
        </w:tc>
      </w:tr>
      <w:tr w14:paraId="6D4149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9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3D05CDAF">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int="default" w:ascii="宋体" w:hAnsi="宋体" w:eastAsia="宋体" w:cs="宋体"/>
                <w:snapToGrid w:val="0"/>
                <w:color w:val="auto"/>
                <w:kern w:val="0"/>
                <w:sz w:val="24"/>
                <w:szCs w:val="24"/>
                <w:highlight w:val="none"/>
                <w:lang w:val="en-US" w:eastAsia="zh-CN" w:bidi="ar-SA"/>
              </w:rPr>
            </w:pPr>
            <w:r>
              <w:rPr>
                <w:rFonts w:hint="eastAsia" w:hAnsi="宋体" w:cs="宋体"/>
                <w:snapToGrid w:val="0"/>
                <w:color w:val="auto"/>
                <w:kern w:val="0"/>
                <w:szCs w:val="24"/>
                <w:highlight w:val="none"/>
                <w:lang w:val="en-US" w:eastAsia="zh-CN"/>
              </w:rPr>
              <w:t>31</w:t>
            </w:r>
          </w:p>
        </w:tc>
        <w:tc>
          <w:tcPr>
            <w:tcW w:w="1725" w:type="dxa"/>
            <w:tcBorders>
              <w:top w:val="single" w:color="auto" w:sz="4" w:space="0"/>
              <w:left w:val="single" w:color="auto" w:sz="4" w:space="0"/>
              <w:bottom w:val="single" w:color="auto" w:sz="4" w:space="0"/>
              <w:right w:val="single" w:color="auto" w:sz="4" w:space="0"/>
            </w:tcBorders>
            <w:vAlign w:val="center"/>
          </w:tcPr>
          <w:p w14:paraId="5EB098A6">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行政监督部门</w:t>
            </w:r>
          </w:p>
          <w:p w14:paraId="45C46398">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联系方式</w:t>
            </w:r>
          </w:p>
        </w:tc>
        <w:tc>
          <w:tcPr>
            <w:tcW w:w="6856" w:type="dxa"/>
            <w:tcBorders>
              <w:top w:val="single" w:color="auto" w:sz="4" w:space="0"/>
              <w:left w:val="single" w:color="auto" w:sz="4" w:space="0"/>
              <w:bottom w:val="single" w:color="auto" w:sz="4" w:space="0"/>
              <w:right w:val="single" w:color="auto" w:sz="4" w:space="0"/>
            </w:tcBorders>
            <w:vAlign w:val="center"/>
          </w:tcPr>
          <w:p w14:paraId="0536E172">
            <w:pPr>
              <w:keepNext w:val="0"/>
              <w:keepLines w:val="0"/>
              <w:pageBreakBefore w:val="0"/>
              <w:widowControl w:val="0"/>
              <w:suppressLineNumbers w:val="0"/>
              <w:kinsoku/>
              <w:wordWrap/>
              <w:overflowPunct/>
              <w:topLinePunct w:val="0"/>
              <w:autoSpaceDE/>
              <w:autoSpaceDN/>
              <w:bidi w:val="0"/>
              <w:adjustRightInd/>
              <w:snapToGrid/>
              <w:spacing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zh-CN" w:eastAsia="zh-CN"/>
              </w:rPr>
            </w:pPr>
            <w:r>
              <w:rPr>
                <w:rFonts w:hint="eastAsia" w:ascii="宋体" w:hAnsi="宋体" w:eastAsia="宋体" w:cs="宋体"/>
                <w:bCs/>
                <w:snapToGrid w:val="0"/>
                <w:color w:val="auto"/>
                <w:kern w:val="0"/>
                <w:sz w:val="24"/>
                <w:szCs w:val="24"/>
                <w:highlight w:val="none"/>
                <w:lang w:val="zh-CN" w:eastAsia="zh-CN"/>
              </w:rPr>
              <w:t>单位名称：韶关市武江区农业农村局</w:t>
            </w:r>
          </w:p>
          <w:p w14:paraId="4916C74A">
            <w:pPr>
              <w:keepNext w:val="0"/>
              <w:keepLines w:val="0"/>
              <w:pageBreakBefore w:val="0"/>
              <w:widowControl w:val="0"/>
              <w:suppressLineNumbers w:val="0"/>
              <w:kinsoku/>
              <w:wordWrap/>
              <w:overflowPunct/>
              <w:topLinePunct w:val="0"/>
              <w:autoSpaceDE/>
              <w:autoSpaceDN/>
              <w:bidi w:val="0"/>
              <w:adjustRightInd/>
              <w:snapToGrid/>
              <w:spacing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zh-CN" w:eastAsia="zh-CN"/>
              </w:rPr>
            </w:pPr>
            <w:r>
              <w:rPr>
                <w:rFonts w:hint="eastAsia" w:ascii="宋体" w:hAnsi="宋体" w:eastAsia="宋体" w:cs="宋体"/>
                <w:bCs/>
                <w:snapToGrid w:val="0"/>
                <w:color w:val="auto"/>
                <w:kern w:val="0"/>
                <w:sz w:val="24"/>
                <w:szCs w:val="24"/>
                <w:highlight w:val="none"/>
                <w:lang w:val="zh-CN" w:eastAsia="zh-CN"/>
              </w:rPr>
              <w:t>办公地址：广东省韶关市武江区惠民南路128号</w:t>
            </w:r>
          </w:p>
          <w:p w14:paraId="6368542B">
            <w:pPr>
              <w:keepNext w:val="0"/>
              <w:keepLines w:val="0"/>
              <w:pageBreakBefore w:val="0"/>
              <w:widowControl w:val="0"/>
              <w:suppressLineNumbers w:val="0"/>
              <w:kinsoku/>
              <w:wordWrap/>
              <w:overflowPunct/>
              <w:topLinePunct w:val="0"/>
              <w:autoSpaceDE/>
              <w:autoSpaceDN/>
              <w:bidi w:val="0"/>
              <w:adjustRightInd/>
              <w:snapToGrid/>
              <w:spacing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zh-CN" w:eastAsia="zh-CN"/>
              </w:rPr>
            </w:pPr>
            <w:r>
              <w:rPr>
                <w:rFonts w:hint="eastAsia" w:ascii="宋体" w:hAnsi="宋体" w:eastAsia="宋体" w:cs="宋体"/>
                <w:bCs/>
                <w:snapToGrid w:val="0"/>
                <w:color w:val="auto"/>
                <w:kern w:val="0"/>
                <w:sz w:val="24"/>
                <w:szCs w:val="24"/>
                <w:highlight w:val="none"/>
                <w:lang w:val="zh-CN" w:eastAsia="zh-CN"/>
              </w:rPr>
              <w:t>联系人（部门）：叶工</w:t>
            </w:r>
          </w:p>
          <w:p w14:paraId="1867FC9D">
            <w:pPr>
              <w:keepNext w:val="0"/>
              <w:keepLines w:val="0"/>
              <w:pageBreakBefore w:val="0"/>
              <w:widowControl w:val="0"/>
              <w:suppressLineNumbers w:val="0"/>
              <w:kinsoku/>
              <w:wordWrap/>
              <w:overflowPunct/>
              <w:topLinePunct w:val="0"/>
              <w:autoSpaceDE/>
              <w:autoSpaceDN/>
              <w:bidi w:val="0"/>
              <w:adjustRightInd/>
              <w:snapToGrid/>
              <w:spacing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zh-CN" w:eastAsia="zh-CN"/>
              </w:rPr>
              <w:t>联系电话：0751-8623830</w:t>
            </w:r>
          </w:p>
        </w:tc>
      </w:tr>
      <w:bookmarkEnd w:id="4"/>
      <w:tr w14:paraId="74867B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623"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565918AC">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int="eastAsia" w:ascii="宋体" w:hAnsi="宋体" w:eastAsia="宋体" w:cs="宋体"/>
                <w:snapToGrid w:val="0"/>
                <w:color w:val="auto"/>
                <w:kern w:val="0"/>
                <w:sz w:val="24"/>
                <w:szCs w:val="24"/>
                <w:highlight w:val="none"/>
                <w:lang w:val="en-US" w:eastAsia="zh-CN" w:bidi="ar-SA"/>
              </w:rPr>
            </w:pPr>
            <w:bookmarkStart w:id="5" w:name="_Toc122769943"/>
            <w:bookmarkStart w:id="6" w:name="_Toc122859103"/>
            <w:bookmarkStart w:id="7" w:name="_Toc122671103"/>
            <w:r>
              <w:rPr>
                <w:rFonts w:hint="eastAsia" w:hAnsi="宋体" w:cs="宋体"/>
                <w:snapToGrid w:val="0"/>
                <w:color w:val="auto"/>
                <w:kern w:val="0"/>
                <w:szCs w:val="24"/>
                <w:highlight w:val="none"/>
              </w:rPr>
              <w:t>3</w:t>
            </w:r>
            <w:r>
              <w:rPr>
                <w:rFonts w:hint="eastAsia" w:hAnsi="宋体" w:cs="宋体"/>
                <w:snapToGrid w:val="0"/>
                <w:color w:val="auto"/>
                <w:kern w:val="0"/>
                <w:szCs w:val="24"/>
                <w:highlight w:val="none"/>
                <w:lang w:val="en-US" w:eastAsia="zh-CN"/>
              </w:rPr>
              <w:t>2</w:t>
            </w:r>
          </w:p>
        </w:tc>
        <w:tc>
          <w:tcPr>
            <w:tcW w:w="1725" w:type="dxa"/>
            <w:tcBorders>
              <w:top w:val="single" w:color="auto" w:sz="4" w:space="0"/>
              <w:left w:val="single" w:color="auto" w:sz="4" w:space="0"/>
              <w:bottom w:val="single" w:color="auto" w:sz="4" w:space="0"/>
              <w:right w:val="single" w:color="auto" w:sz="4" w:space="0"/>
            </w:tcBorders>
            <w:vAlign w:val="center"/>
          </w:tcPr>
          <w:p w14:paraId="24C0BFAA">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术语</w:t>
            </w:r>
          </w:p>
        </w:tc>
        <w:tc>
          <w:tcPr>
            <w:tcW w:w="6856" w:type="dxa"/>
            <w:tcBorders>
              <w:top w:val="single" w:color="auto" w:sz="4" w:space="0"/>
              <w:left w:val="single" w:color="auto" w:sz="4" w:space="0"/>
              <w:bottom w:val="single" w:color="auto" w:sz="4" w:space="0"/>
              <w:right w:val="single" w:color="auto" w:sz="4" w:space="0"/>
            </w:tcBorders>
            <w:vAlign w:val="center"/>
          </w:tcPr>
          <w:p w14:paraId="1A8F6FFC">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rPr>
                <w:rFonts w:hAnsi="宋体" w:cs="宋体"/>
                <w:snapToGrid w:val="0"/>
                <w:color w:val="auto"/>
                <w:kern w:val="0"/>
                <w:szCs w:val="24"/>
                <w:highlight w:val="none"/>
              </w:rPr>
            </w:pPr>
            <w:r>
              <w:rPr>
                <w:rFonts w:hint="eastAsia" w:hAnsi="宋体" w:cs="宋体"/>
                <w:snapToGrid w:val="0"/>
                <w:color w:val="auto"/>
                <w:kern w:val="0"/>
                <w:szCs w:val="24"/>
                <w:highlight w:val="none"/>
              </w:rPr>
              <w:t>1．“监理”是指监理人受委托人的委托，依照法律法规、工程建设标准、勘察设计文件及合同，在施工阶段对建设工程质量、进度、造价进行控制，对合同、信息进行管理，对工程建设相关方的关系进行协调，并履行建设工程安全生产管理法定职责的服务活动。</w:t>
            </w:r>
          </w:p>
          <w:p w14:paraId="7AD3FB51">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rPr>
                <w:rFonts w:hAnsi="宋体" w:cs="宋体"/>
                <w:snapToGrid w:val="0"/>
                <w:color w:val="auto"/>
                <w:kern w:val="0"/>
                <w:szCs w:val="24"/>
                <w:highlight w:val="none"/>
              </w:rPr>
            </w:pPr>
            <w:r>
              <w:rPr>
                <w:rFonts w:hint="eastAsia" w:hAnsi="宋体" w:cs="宋体"/>
                <w:snapToGrid w:val="0"/>
                <w:color w:val="auto"/>
                <w:kern w:val="0"/>
                <w:szCs w:val="24"/>
                <w:highlight w:val="none"/>
              </w:rPr>
              <w:t>2．“相关服务”是指监理人受委托人的委托，按照合同约定，在勘察、设计、保修等阶段提供的服务活动。</w:t>
            </w:r>
          </w:p>
        </w:tc>
      </w:tr>
      <w:bookmarkEnd w:id="5"/>
      <w:bookmarkEnd w:id="6"/>
      <w:bookmarkEnd w:id="7"/>
      <w:tr w14:paraId="40921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00" w:hRule="atLeast"/>
        </w:trPr>
        <w:tc>
          <w:tcPr>
            <w:tcW w:w="721" w:type="dxa"/>
            <w:tcBorders>
              <w:top w:val="single" w:color="auto" w:sz="4" w:space="0"/>
              <w:left w:val="single" w:color="auto" w:sz="4" w:space="0"/>
              <w:bottom w:val="single" w:color="auto" w:sz="4" w:space="0"/>
              <w:right w:val="single" w:color="auto" w:sz="4" w:space="0"/>
            </w:tcBorders>
            <w:vAlign w:val="center"/>
          </w:tcPr>
          <w:p w14:paraId="57613CC9">
            <w:pPr>
              <w:keepNext w:val="0"/>
              <w:keepLines w:val="0"/>
              <w:pageBreakBefore w:val="0"/>
              <w:widowControl w:val="0"/>
              <w:kinsoku/>
              <w:wordWrap w:val="0"/>
              <w:overflowPunct/>
              <w:topLinePunct w:val="0"/>
              <w:autoSpaceDE/>
              <w:autoSpaceDN/>
              <w:bidi w:val="0"/>
              <w:adjustRightInd w:val="0"/>
              <w:snapToGrid w:val="0"/>
              <w:spacing w:line="500" w:lineRule="exact"/>
              <w:jc w:val="center"/>
              <w:rPr>
                <w:rFonts w:hint="default" w:hAnsi="宋体" w:eastAsia="宋体" w:cs="宋体"/>
                <w:snapToGrid w:val="0"/>
                <w:color w:val="auto"/>
                <w:kern w:val="0"/>
                <w:szCs w:val="24"/>
                <w:highlight w:val="none"/>
                <w:lang w:val="en-US" w:eastAsia="zh-CN"/>
              </w:rPr>
            </w:pPr>
            <w:r>
              <w:rPr>
                <w:rFonts w:hint="eastAsia" w:hAnsi="宋体" w:cs="宋体"/>
                <w:snapToGrid w:val="0"/>
                <w:color w:val="auto"/>
                <w:kern w:val="0"/>
                <w:szCs w:val="24"/>
                <w:highlight w:val="none"/>
                <w:lang w:val="en-US" w:eastAsia="zh-CN"/>
              </w:rPr>
              <w:t>33</w:t>
            </w:r>
          </w:p>
        </w:tc>
        <w:tc>
          <w:tcPr>
            <w:tcW w:w="1725" w:type="dxa"/>
            <w:tcBorders>
              <w:top w:val="single" w:color="auto" w:sz="4" w:space="0"/>
              <w:left w:val="single" w:color="auto" w:sz="4" w:space="0"/>
              <w:bottom w:val="single" w:color="auto" w:sz="4" w:space="0"/>
              <w:right w:val="single" w:color="auto" w:sz="4" w:space="0"/>
            </w:tcBorders>
            <w:vAlign w:val="center"/>
          </w:tcPr>
          <w:p w14:paraId="5B5FCE42">
            <w:pPr>
              <w:wordWrap w:val="0"/>
              <w:adjustRightInd w:val="0"/>
              <w:snapToGrid w:val="0"/>
              <w:spacing w:line="240" w:lineRule="auto"/>
              <w:rPr>
                <w:rFonts w:hAnsi="宋体" w:cs="宋体"/>
                <w:snapToGrid w:val="0"/>
                <w:color w:val="auto"/>
                <w:kern w:val="0"/>
                <w:szCs w:val="24"/>
                <w:highlight w:val="none"/>
              </w:rPr>
            </w:pPr>
            <w:r>
              <w:rPr>
                <w:rFonts w:hint="eastAsia" w:ascii="宋体" w:hAnsi="宋体" w:eastAsia="宋体" w:cs="宋体"/>
                <w:snapToGrid w:val="0"/>
                <w:color w:val="auto"/>
                <w:kern w:val="0"/>
                <w:sz w:val="24"/>
                <w:szCs w:val="24"/>
                <w:highlight w:val="none"/>
              </w:rPr>
              <w:t>招标代理服务费</w:t>
            </w:r>
          </w:p>
        </w:tc>
        <w:tc>
          <w:tcPr>
            <w:tcW w:w="6856" w:type="dxa"/>
            <w:tcBorders>
              <w:top w:val="single" w:color="auto" w:sz="4" w:space="0"/>
              <w:left w:val="single" w:color="auto" w:sz="4" w:space="0"/>
              <w:bottom w:val="single" w:color="auto" w:sz="4" w:space="0"/>
              <w:right w:val="single" w:color="auto" w:sz="4" w:space="0"/>
            </w:tcBorders>
            <w:vAlign w:val="center"/>
          </w:tcPr>
          <w:p w14:paraId="7DC1CEF4">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rPr>
                <w:rFonts w:hAnsi="宋体" w:cs="宋体"/>
                <w:snapToGrid w:val="0"/>
                <w:color w:val="auto"/>
                <w:szCs w:val="24"/>
                <w:highlight w:val="none"/>
              </w:rPr>
            </w:pPr>
            <w:r>
              <w:rPr>
                <w:rFonts w:hint="eastAsia" w:hAnsi="宋体" w:cs="宋体"/>
                <w:snapToGrid w:val="0"/>
                <w:color w:val="auto"/>
                <w:kern w:val="0"/>
                <w:szCs w:val="24"/>
                <w:highlight w:val="none"/>
              </w:rPr>
              <w:t>本项目的</w:t>
            </w:r>
            <w:r>
              <w:rPr>
                <w:rFonts w:hint="eastAsia" w:hAnsi="宋体" w:cs="宋体"/>
                <w:snapToGrid w:val="0"/>
                <w:color w:val="auto"/>
                <w:kern w:val="0"/>
                <w:szCs w:val="24"/>
                <w:highlight w:val="none"/>
                <w:lang w:val="en-US" w:eastAsia="zh-CN"/>
              </w:rPr>
              <w:t>监理招标代理费按《招标代理服务收费管理暂行办法》计价格〔2002〕1980号文计算，按标准收费收取，费用由中标单位支付。</w:t>
            </w:r>
            <w:r>
              <w:rPr>
                <w:rFonts w:hint="eastAsia" w:hAnsi="宋体" w:cs="宋体"/>
                <w:snapToGrid w:val="0"/>
                <w:color w:val="auto"/>
                <w:kern w:val="0"/>
                <w:szCs w:val="24"/>
                <w:highlight w:val="none"/>
              </w:rPr>
              <w:t>中标人须在中标</w:t>
            </w:r>
            <w:r>
              <w:rPr>
                <w:rFonts w:hint="eastAsia" w:hAnsi="宋体" w:cs="宋体"/>
                <w:snapToGrid w:val="0"/>
                <w:color w:val="auto"/>
                <w:kern w:val="0"/>
                <w:szCs w:val="24"/>
                <w:highlight w:val="none"/>
                <w:lang w:val="en-US" w:eastAsia="zh-CN"/>
              </w:rPr>
              <w:t>结果</w:t>
            </w:r>
            <w:r>
              <w:rPr>
                <w:rFonts w:hint="eastAsia" w:hAnsi="宋体" w:cs="宋体"/>
                <w:snapToGrid w:val="0"/>
                <w:color w:val="auto"/>
                <w:kern w:val="0"/>
                <w:szCs w:val="24"/>
                <w:highlight w:val="none"/>
              </w:rPr>
              <w:t>公示结束后</w:t>
            </w:r>
            <w:r>
              <w:rPr>
                <w:rFonts w:hint="eastAsia" w:hAnsi="宋体" w:cs="宋体"/>
                <w:snapToGrid w:val="0"/>
                <w:color w:val="auto"/>
                <w:kern w:val="0"/>
                <w:szCs w:val="24"/>
                <w:highlight w:val="none"/>
                <w:lang w:eastAsia="zh-CN"/>
              </w:rPr>
              <w:t>、</w:t>
            </w:r>
            <w:r>
              <w:rPr>
                <w:rFonts w:hint="eastAsia" w:hAnsi="宋体" w:cs="宋体"/>
                <w:snapToGrid w:val="0"/>
                <w:color w:val="auto"/>
                <w:kern w:val="0"/>
                <w:szCs w:val="24"/>
                <w:highlight w:val="none"/>
              </w:rPr>
              <w:t>领取中标通知书前向招标代理机构一次性付清招标代理服务费，方可领取中标通知书。</w:t>
            </w:r>
          </w:p>
        </w:tc>
      </w:tr>
    </w:tbl>
    <w:p w14:paraId="484FE4CC">
      <w:pPr>
        <w:pStyle w:val="3"/>
        <w:wordWrap w:val="0"/>
        <w:autoSpaceDE/>
        <w:autoSpaceDN/>
        <w:snapToGrid w:val="0"/>
        <w:spacing w:before="260" w:after="260" w:line="440" w:lineRule="exact"/>
        <w:jc w:val="both"/>
        <w:rPr>
          <w:rFonts w:ascii="Times New Roman"/>
          <w:b/>
          <w:snapToGrid w:val="0"/>
          <w:color w:val="auto"/>
          <w:highlight w:val="none"/>
        </w:rPr>
        <w:sectPr>
          <w:footerReference r:id="rId6" w:type="default"/>
          <w:endnotePr>
            <w:numFmt w:val="decimal"/>
          </w:endnotePr>
          <w:pgSz w:w="11906" w:h="16838"/>
          <w:pgMar w:top="1417" w:right="1417" w:bottom="1417" w:left="1417" w:header="850" w:footer="992" w:gutter="0"/>
          <w:pgNumType w:start="1"/>
          <w:cols w:space="0" w:num="1"/>
          <w:docGrid w:linePitch="327" w:charSpace="0"/>
        </w:sectPr>
      </w:pPr>
    </w:p>
    <w:p w14:paraId="21CE9C32">
      <w:pPr>
        <w:pStyle w:val="3"/>
        <w:wordWrap w:val="0"/>
        <w:autoSpaceDE/>
        <w:autoSpaceDN/>
        <w:snapToGrid w:val="0"/>
        <w:spacing w:after="120" w:afterLines="50" w:line="440" w:lineRule="exact"/>
        <w:jc w:val="both"/>
        <w:rPr>
          <w:rFonts w:ascii="Times New Roman"/>
          <w:snapToGrid w:val="0"/>
          <w:color w:val="auto"/>
          <w:highlight w:val="none"/>
        </w:rPr>
      </w:pPr>
      <w:bookmarkStart w:id="8" w:name="_Toc714"/>
      <w:bookmarkStart w:id="9" w:name="_Toc32223"/>
      <w:r>
        <w:rPr>
          <w:rFonts w:hint="eastAsia" w:ascii="Times New Roman"/>
          <w:b/>
          <w:snapToGrid w:val="0"/>
          <w:color w:val="auto"/>
          <w:highlight w:val="none"/>
        </w:rPr>
        <w:t>第二节 重要事项时间地点一览表</w:t>
      </w:r>
      <w:bookmarkEnd w:id="8"/>
      <w:bookmarkEnd w:id="9"/>
    </w:p>
    <w:tbl>
      <w:tblPr>
        <w:tblStyle w:val="31"/>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1455"/>
        <w:gridCol w:w="7124"/>
      </w:tblGrid>
      <w:tr w14:paraId="4DA2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600" w:type="dxa"/>
            <w:noWrap w:val="0"/>
            <w:vAlign w:val="center"/>
          </w:tcPr>
          <w:p w14:paraId="1B37F3D1">
            <w:pPr>
              <w:pStyle w:val="88"/>
              <w:keepNext w:val="0"/>
              <w:keepLines w:val="0"/>
              <w:widowControl w:val="0"/>
              <w:suppressLineNumbers w:val="0"/>
              <w:pBdr>
                <w:top w:val="none" w:color="auto" w:sz="0" w:space="0"/>
                <w:left w:val="none" w:color="auto" w:sz="0" w:space="0"/>
                <w:bottom w:val="none" w:color="auto" w:sz="0" w:space="0"/>
                <w:right w:val="none" w:color="auto" w:sz="0" w:space="0"/>
              </w:pBdr>
              <w:tabs>
                <w:tab w:val="left" w:pos="1890"/>
              </w:tabs>
              <w:wordWrap w:val="0"/>
              <w:adjustRightInd w:val="0"/>
              <w:snapToGrid w:val="0"/>
              <w:spacing w:before="0" w:beforeLines="0" w:beforeAutospacing="0" w:after="260" w:afterLines="0" w:afterAutospacing="0" w:line="440" w:lineRule="exact"/>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1</w:t>
            </w:r>
          </w:p>
        </w:tc>
        <w:tc>
          <w:tcPr>
            <w:tcW w:w="1455" w:type="dxa"/>
            <w:noWrap w:val="0"/>
            <w:vAlign w:val="center"/>
          </w:tcPr>
          <w:p w14:paraId="02420B1E">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招标公告</w:t>
            </w:r>
          </w:p>
          <w:p w14:paraId="06B0FAE0">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发布时间</w:t>
            </w:r>
          </w:p>
        </w:tc>
        <w:tc>
          <w:tcPr>
            <w:tcW w:w="7124" w:type="dxa"/>
            <w:noWrap w:val="0"/>
            <w:vAlign w:val="center"/>
          </w:tcPr>
          <w:p w14:paraId="77DA56ED">
            <w:pPr>
              <w:pStyle w:val="27"/>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240" w:leftChars="0" w:right="0" w:rightChars="0" w:hanging="240" w:hangingChars="100"/>
              <w:jc w:val="left"/>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 </w:t>
            </w:r>
            <w:r>
              <w:rPr>
                <w:rFonts w:hint="eastAsia" w:ascii="宋体" w:hAnsi="宋体"/>
                <w:color w:val="auto"/>
                <w:sz w:val="24"/>
                <w:szCs w:val="20"/>
                <w:highlight w:val="none"/>
                <w:u w:val="single"/>
                <w:lang w:val="en-US" w:eastAsia="zh-CN"/>
              </w:rPr>
              <w:t>2026</w:t>
            </w:r>
            <w:r>
              <w:rPr>
                <w:rFonts w:hint="eastAsia" w:ascii="宋体" w:hAnsi="宋体"/>
                <w:i w:val="0"/>
                <w:iCs w:val="0"/>
                <w:color w:val="auto"/>
                <w:sz w:val="24"/>
                <w:szCs w:val="20"/>
                <w:highlight w:val="none"/>
                <w:u w:val="none"/>
                <w:lang w:val="en-US" w:eastAsia="zh-CN"/>
              </w:rPr>
              <w:t>年</w:t>
            </w:r>
            <w:r>
              <w:rPr>
                <w:rFonts w:hint="eastAsia" w:ascii="宋体" w:hAnsi="宋体"/>
                <w:color w:val="auto"/>
                <w:sz w:val="24"/>
                <w:szCs w:val="20"/>
                <w:highlight w:val="none"/>
                <w:u w:val="single"/>
                <w:lang w:val="en-US" w:eastAsia="zh-CN"/>
              </w:rPr>
              <w:t xml:space="preserve"> </w:t>
            </w:r>
            <w:r>
              <w:rPr>
                <w:rFonts w:hint="eastAsia"/>
                <w:color w:val="auto"/>
                <w:sz w:val="24"/>
                <w:szCs w:val="20"/>
                <w:highlight w:val="none"/>
                <w:u w:val="single"/>
                <w:lang w:val="en-US" w:eastAsia="zh-CN"/>
              </w:rPr>
              <w:t>5</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月</w:t>
            </w:r>
            <w:r>
              <w:rPr>
                <w:rFonts w:hint="eastAsia"/>
                <w:color w:val="auto"/>
                <w:sz w:val="24"/>
                <w:szCs w:val="20"/>
                <w:highlight w:val="none"/>
                <w:u w:val="single"/>
                <w:lang w:val="en-US" w:eastAsia="zh-CN"/>
              </w:rPr>
              <w:t>25</w:t>
            </w:r>
            <w:r>
              <w:rPr>
                <w:rFonts w:hint="eastAsia" w:ascii="宋体" w:hAnsi="宋体"/>
                <w:color w:val="auto"/>
                <w:sz w:val="24"/>
                <w:szCs w:val="20"/>
                <w:highlight w:val="none"/>
              </w:rPr>
              <w:t>日</w:t>
            </w:r>
            <w:r>
              <w:rPr>
                <w:rFonts w:hint="eastAsia" w:ascii="宋体" w:hAnsi="宋体"/>
                <w:color w:val="auto"/>
                <w:sz w:val="24"/>
                <w:szCs w:val="20"/>
                <w:highlight w:val="none"/>
                <w:u w:val="single"/>
                <w:lang w:val="en-US" w:eastAsia="zh-CN"/>
              </w:rPr>
              <w:t xml:space="preserve"> </w:t>
            </w:r>
            <w:r>
              <w:rPr>
                <w:rFonts w:hint="eastAsia"/>
                <w:color w:val="auto"/>
                <w:sz w:val="24"/>
                <w:szCs w:val="20"/>
                <w:highlight w:val="none"/>
                <w:u w:val="single"/>
                <w:lang w:val="en-US" w:eastAsia="zh-CN"/>
              </w:rPr>
              <w:t>20</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时</w:t>
            </w:r>
            <w:r>
              <w:rPr>
                <w:rFonts w:hint="eastAsia" w:ascii="宋体" w:hAnsi="宋体" w:eastAsia="宋体" w:cs="宋体"/>
                <w:color w:val="auto"/>
                <w:kern w:val="2"/>
                <w:sz w:val="24"/>
                <w:szCs w:val="24"/>
                <w:highlight w:val="none"/>
                <w:u w:val="single"/>
                <w:lang w:val="en-US" w:eastAsia="zh-CN" w:bidi="ar-SA"/>
              </w:rPr>
              <w:t>00</w:t>
            </w:r>
            <w:r>
              <w:rPr>
                <w:rFonts w:hint="eastAsia" w:ascii="宋体" w:hAnsi="宋体"/>
                <w:color w:val="auto"/>
                <w:sz w:val="24"/>
                <w:szCs w:val="20"/>
                <w:highlight w:val="none"/>
              </w:rPr>
              <w:t>分</w:t>
            </w:r>
          </w:p>
        </w:tc>
      </w:tr>
      <w:tr w14:paraId="7944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600" w:type="dxa"/>
            <w:noWrap w:val="0"/>
            <w:vAlign w:val="center"/>
          </w:tcPr>
          <w:p w14:paraId="787CE7C4">
            <w:pPr>
              <w:pStyle w:val="27"/>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2</w:t>
            </w:r>
          </w:p>
        </w:tc>
        <w:tc>
          <w:tcPr>
            <w:tcW w:w="1455" w:type="dxa"/>
            <w:noWrap w:val="0"/>
            <w:vAlign w:val="center"/>
          </w:tcPr>
          <w:p w14:paraId="183E06F5">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lang w:val="en-US" w:eastAsia="zh-CN"/>
              </w:rPr>
              <w:t>获取招标文件截止时</w:t>
            </w:r>
            <w:r>
              <w:rPr>
                <w:rFonts w:hint="eastAsia" w:ascii="宋体" w:hAnsi="宋体" w:eastAsia="宋体" w:cs="宋体"/>
                <w:i w:val="0"/>
                <w:caps w:val="0"/>
                <w:color w:val="auto"/>
                <w:spacing w:val="0"/>
                <w:sz w:val="24"/>
                <w:szCs w:val="24"/>
                <w:highlight w:val="none"/>
              </w:rPr>
              <w:t>间</w:t>
            </w:r>
          </w:p>
        </w:tc>
        <w:tc>
          <w:tcPr>
            <w:tcW w:w="7124" w:type="dxa"/>
            <w:noWrap w:val="0"/>
            <w:vAlign w:val="center"/>
          </w:tcPr>
          <w:p w14:paraId="04BA47C4">
            <w:pPr>
              <w:pStyle w:val="27"/>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left"/>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 </w:t>
            </w:r>
            <w:r>
              <w:rPr>
                <w:rFonts w:hint="eastAsia" w:ascii="宋体" w:hAnsi="宋体"/>
                <w:color w:val="auto"/>
                <w:sz w:val="24"/>
                <w:szCs w:val="20"/>
                <w:highlight w:val="none"/>
                <w:u w:val="single"/>
                <w:lang w:val="en-US" w:eastAsia="zh-CN"/>
              </w:rPr>
              <w:t>2026</w:t>
            </w:r>
            <w:r>
              <w:rPr>
                <w:rFonts w:hint="eastAsia" w:ascii="宋体" w:hAnsi="宋体"/>
                <w:i w:val="0"/>
                <w:iCs w:val="0"/>
                <w:color w:val="auto"/>
                <w:sz w:val="24"/>
                <w:szCs w:val="20"/>
                <w:highlight w:val="none"/>
                <w:u w:val="none"/>
                <w:lang w:val="en-US" w:eastAsia="zh-CN"/>
              </w:rPr>
              <w:t>年</w:t>
            </w:r>
            <w:r>
              <w:rPr>
                <w:rFonts w:hint="eastAsia" w:ascii="宋体" w:hAnsi="宋体"/>
                <w:color w:val="auto"/>
                <w:sz w:val="24"/>
                <w:szCs w:val="20"/>
                <w:highlight w:val="none"/>
                <w:u w:val="single"/>
                <w:lang w:val="en-US" w:eastAsia="zh-CN"/>
              </w:rPr>
              <w:t xml:space="preserve"> </w:t>
            </w:r>
            <w:r>
              <w:rPr>
                <w:rFonts w:hint="eastAsia"/>
                <w:color w:val="auto"/>
                <w:sz w:val="24"/>
                <w:szCs w:val="20"/>
                <w:highlight w:val="none"/>
                <w:u w:val="single"/>
                <w:lang w:val="en-US" w:eastAsia="zh-CN"/>
              </w:rPr>
              <w:t>6</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月</w:t>
            </w:r>
            <w:r>
              <w:rPr>
                <w:rFonts w:hint="eastAsia"/>
                <w:color w:val="auto"/>
                <w:sz w:val="24"/>
                <w:szCs w:val="20"/>
                <w:highlight w:val="none"/>
                <w:u w:val="single"/>
                <w:lang w:val="en-US" w:eastAsia="zh-CN"/>
              </w:rPr>
              <w:t>16</w:t>
            </w:r>
            <w:r>
              <w:rPr>
                <w:rFonts w:hint="eastAsia" w:ascii="宋体" w:hAnsi="宋体"/>
                <w:color w:val="auto"/>
                <w:sz w:val="24"/>
                <w:szCs w:val="20"/>
                <w:highlight w:val="none"/>
              </w:rPr>
              <w:t>日</w:t>
            </w:r>
            <w:r>
              <w:rPr>
                <w:rFonts w:hint="eastAsia"/>
                <w:color w:val="auto"/>
                <w:sz w:val="24"/>
                <w:szCs w:val="20"/>
                <w:highlight w:val="none"/>
                <w:u w:val="single"/>
                <w:lang w:val="en-US" w:eastAsia="zh-CN"/>
              </w:rPr>
              <w:t>10</w:t>
            </w:r>
            <w:r>
              <w:rPr>
                <w:rFonts w:hint="eastAsia" w:ascii="宋体" w:hAnsi="宋体"/>
                <w:color w:val="auto"/>
                <w:sz w:val="24"/>
                <w:szCs w:val="20"/>
                <w:highlight w:val="none"/>
              </w:rPr>
              <w:t>时</w:t>
            </w:r>
            <w:r>
              <w:rPr>
                <w:rFonts w:hint="eastAsia"/>
                <w:color w:val="auto"/>
                <w:sz w:val="24"/>
                <w:szCs w:val="20"/>
                <w:highlight w:val="none"/>
                <w:u w:val="single"/>
                <w:lang w:val="en-US" w:eastAsia="zh-CN"/>
              </w:rPr>
              <w:t>30</w:t>
            </w:r>
            <w:r>
              <w:rPr>
                <w:rFonts w:hint="eastAsia" w:ascii="宋体" w:hAnsi="宋体"/>
                <w:color w:val="auto"/>
                <w:sz w:val="24"/>
                <w:szCs w:val="20"/>
                <w:highlight w:val="none"/>
              </w:rPr>
              <w:t>分</w:t>
            </w:r>
          </w:p>
        </w:tc>
      </w:tr>
      <w:tr w14:paraId="5D35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600" w:type="dxa"/>
            <w:noWrap w:val="0"/>
            <w:vAlign w:val="center"/>
          </w:tcPr>
          <w:p w14:paraId="0B463BA3">
            <w:pPr>
              <w:pStyle w:val="27"/>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3</w:t>
            </w:r>
          </w:p>
        </w:tc>
        <w:tc>
          <w:tcPr>
            <w:tcW w:w="1455" w:type="dxa"/>
            <w:noWrap w:val="0"/>
            <w:vAlign w:val="center"/>
          </w:tcPr>
          <w:p w14:paraId="1E3855D0">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网上提问</w:t>
            </w:r>
          </w:p>
          <w:p w14:paraId="01E2C1F3">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截止时间</w:t>
            </w:r>
          </w:p>
        </w:tc>
        <w:tc>
          <w:tcPr>
            <w:tcW w:w="7124" w:type="dxa"/>
            <w:noWrap w:val="0"/>
            <w:vAlign w:val="center"/>
          </w:tcPr>
          <w:p w14:paraId="70B18913">
            <w:pPr>
              <w:pStyle w:val="27"/>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left"/>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 </w:t>
            </w:r>
            <w:r>
              <w:rPr>
                <w:rFonts w:hint="eastAsia" w:ascii="宋体" w:hAnsi="宋体" w:cs="宋体"/>
                <w:color w:val="auto"/>
                <w:kern w:val="0"/>
                <w:sz w:val="24"/>
                <w:highlight w:val="none"/>
                <w:u w:val="single"/>
                <w:lang w:val="en-US" w:eastAsia="zh-CN"/>
              </w:rPr>
              <w:t>2026</w:t>
            </w:r>
            <w:r>
              <w:rPr>
                <w:rFonts w:hint="eastAsia" w:ascii="宋体" w:hAnsi="宋体" w:cs="宋体"/>
                <w:color w:val="auto"/>
                <w:kern w:val="0"/>
                <w:sz w:val="24"/>
                <w:highlight w:val="none"/>
                <w:u w:val="none"/>
                <w:lang w:val="en-US" w:eastAsia="zh-CN"/>
              </w:rPr>
              <w:t>年</w:t>
            </w:r>
            <w:r>
              <w:rPr>
                <w:rFonts w:hint="eastAsia" w:ascii="宋体" w:hAnsi="宋体"/>
                <w:color w:val="auto"/>
                <w:sz w:val="24"/>
                <w:szCs w:val="20"/>
                <w:highlight w:val="none"/>
                <w:u w:val="single"/>
                <w:lang w:val="en-US" w:eastAsia="zh-CN"/>
              </w:rPr>
              <w:t xml:space="preserve"> </w:t>
            </w:r>
            <w:r>
              <w:rPr>
                <w:rFonts w:hint="eastAsia"/>
                <w:color w:val="auto"/>
                <w:sz w:val="24"/>
                <w:szCs w:val="20"/>
                <w:highlight w:val="none"/>
                <w:u w:val="single"/>
                <w:lang w:val="en-US" w:eastAsia="zh-CN"/>
              </w:rPr>
              <w:t>6</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月</w:t>
            </w:r>
            <w:r>
              <w:rPr>
                <w:rFonts w:hint="eastAsia" w:ascii="宋体" w:hAnsi="宋体"/>
                <w:color w:val="auto"/>
                <w:sz w:val="24"/>
                <w:szCs w:val="20"/>
                <w:highlight w:val="none"/>
                <w:u w:val="single"/>
                <w:lang w:val="en-US" w:eastAsia="zh-CN"/>
              </w:rPr>
              <w:t xml:space="preserve"> </w:t>
            </w:r>
            <w:r>
              <w:rPr>
                <w:rFonts w:hint="eastAsia"/>
                <w:color w:val="auto"/>
                <w:sz w:val="24"/>
                <w:szCs w:val="20"/>
                <w:highlight w:val="none"/>
                <w:u w:val="single"/>
                <w:lang w:val="en-US" w:eastAsia="zh-CN"/>
              </w:rPr>
              <w:t>6</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日</w:t>
            </w:r>
            <w:r>
              <w:rPr>
                <w:rFonts w:hint="eastAsia" w:ascii="宋体" w:hAnsi="宋体" w:eastAsia="宋体" w:cs="宋体"/>
                <w:color w:val="auto"/>
                <w:kern w:val="2"/>
                <w:sz w:val="24"/>
                <w:szCs w:val="24"/>
                <w:highlight w:val="none"/>
                <w:u w:val="single"/>
                <w:lang w:val="en-US" w:eastAsia="zh-CN" w:bidi="ar-SA"/>
              </w:rPr>
              <w:t>16</w:t>
            </w:r>
            <w:r>
              <w:rPr>
                <w:rFonts w:hint="eastAsia" w:ascii="宋体" w:hAnsi="宋体" w:eastAsia="宋体" w:cs="宋体"/>
                <w:color w:val="auto"/>
                <w:kern w:val="2"/>
                <w:sz w:val="24"/>
                <w:szCs w:val="24"/>
                <w:highlight w:val="none"/>
                <w:lang w:val="en-US" w:eastAsia="zh-CN" w:bidi="ar-SA"/>
              </w:rPr>
              <w:t>时</w:t>
            </w:r>
            <w:r>
              <w:rPr>
                <w:rFonts w:hint="eastAsia" w:ascii="宋体" w:hAnsi="宋体" w:eastAsia="宋体" w:cs="宋体"/>
                <w:color w:val="auto"/>
                <w:kern w:val="2"/>
                <w:sz w:val="24"/>
                <w:szCs w:val="24"/>
                <w:highlight w:val="none"/>
                <w:u w:val="single"/>
                <w:lang w:val="en-US" w:eastAsia="zh-CN" w:bidi="ar-SA"/>
              </w:rPr>
              <w:t>00</w:t>
            </w:r>
            <w:r>
              <w:rPr>
                <w:rFonts w:hint="eastAsia" w:ascii="宋体" w:hAnsi="宋体" w:eastAsia="宋体" w:cs="宋体"/>
                <w:color w:val="auto"/>
                <w:kern w:val="2"/>
                <w:sz w:val="24"/>
                <w:szCs w:val="24"/>
                <w:highlight w:val="none"/>
                <w:lang w:val="en-US" w:eastAsia="zh-CN" w:bidi="ar-SA"/>
              </w:rPr>
              <w:t>分</w:t>
            </w:r>
          </w:p>
        </w:tc>
      </w:tr>
      <w:tr w14:paraId="69B45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600" w:type="dxa"/>
            <w:noWrap w:val="0"/>
            <w:vAlign w:val="center"/>
          </w:tcPr>
          <w:p w14:paraId="5E189C42">
            <w:pPr>
              <w:pStyle w:val="27"/>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4</w:t>
            </w:r>
          </w:p>
        </w:tc>
        <w:tc>
          <w:tcPr>
            <w:tcW w:w="1455" w:type="dxa"/>
            <w:noWrap w:val="0"/>
            <w:vAlign w:val="center"/>
          </w:tcPr>
          <w:p w14:paraId="5328B2D6">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网上答疑</w:t>
            </w:r>
          </w:p>
          <w:p w14:paraId="2C204C8A">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时间</w:t>
            </w:r>
          </w:p>
        </w:tc>
        <w:tc>
          <w:tcPr>
            <w:tcW w:w="7124" w:type="dxa"/>
            <w:noWrap w:val="0"/>
            <w:vAlign w:val="center"/>
          </w:tcPr>
          <w:p w14:paraId="36BBF248">
            <w:pPr>
              <w:pStyle w:val="27"/>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240" w:leftChars="0" w:right="0" w:rightChars="0" w:hanging="240" w:hangingChars="100"/>
              <w:jc w:val="left"/>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 </w:t>
            </w:r>
            <w:r>
              <w:rPr>
                <w:rFonts w:hint="eastAsia" w:ascii="宋体" w:hAnsi="宋体" w:cs="宋体"/>
                <w:color w:val="auto"/>
                <w:kern w:val="0"/>
                <w:sz w:val="24"/>
                <w:highlight w:val="none"/>
                <w:u w:val="single"/>
                <w:lang w:val="en-US" w:eastAsia="zh-CN"/>
              </w:rPr>
              <w:t>2026</w:t>
            </w:r>
            <w:r>
              <w:rPr>
                <w:rFonts w:hint="eastAsia" w:ascii="宋体" w:hAnsi="宋体" w:cs="宋体"/>
                <w:color w:val="auto"/>
                <w:kern w:val="0"/>
                <w:sz w:val="24"/>
                <w:highlight w:val="none"/>
                <w:u w:val="none"/>
                <w:lang w:val="en-US" w:eastAsia="zh-CN"/>
              </w:rPr>
              <w:t>年</w:t>
            </w:r>
            <w:r>
              <w:rPr>
                <w:rFonts w:hint="eastAsia" w:ascii="宋体" w:hAnsi="宋体"/>
                <w:color w:val="auto"/>
                <w:sz w:val="24"/>
                <w:szCs w:val="20"/>
                <w:highlight w:val="none"/>
                <w:u w:val="single"/>
                <w:lang w:val="en-US" w:eastAsia="zh-CN"/>
              </w:rPr>
              <w:t xml:space="preserve"> </w:t>
            </w:r>
            <w:r>
              <w:rPr>
                <w:rFonts w:hint="eastAsia"/>
                <w:color w:val="auto"/>
                <w:sz w:val="24"/>
                <w:szCs w:val="20"/>
                <w:highlight w:val="none"/>
                <w:u w:val="single"/>
                <w:lang w:val="en-US" w:eastAsia="zh-CN"/>
              </w:rPr>
              <w:t>6</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月</w:t>
            </w:r>
            <w:r>
              <w:rPr>
                <w:rFonts w:hint="eastAsia" w:ascii="宋体" w:hAnsi="宋体"/>
                <w:color w:val="auto"/>
                <w:sz w:val="24"/>
                <w:szCs w:val="20"/>
                <w:highlight w:val="none"/>
                <w:u w:val="single"/>
                <w:lang w:val="en-US" w:eastAsia="zh-CN"/>
              </w:rPr>
              <w:t xml:space="preserve"> </w:t>
            </w:r>
            <w:r>
              <w:rPr>
                <w:rFonts w:hint="eastAsia"/>
                <w:color w:val="auto"/>
                <w:sz w:val="24"/>
                <w:szCs w:val="20"/>
                <w:highlight w:val="none"/>
                <w:u w:val="single"/>
                <w:lang w:val="en-US" w:eastAsia="zh-CN"/>
              </w:rPr>
              <w:t>6</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日</w:t>
            </w:r>
            <w:r>
              <w:rPr>
                <w:rFonts w:hint="eastAsia" w:ascii="宋体" w:hAnsi="宋体" w:eastAsia="宋体" w:cs="宋体"/>
                <w:color w:val="auto"/>
                <w:kern w:val="2"/>
                <w:sz w:val="24"/>
                <w:szCs w:val="24"/>
                <w:highlight w:val="none"/>
                <w:u w:val="single"/>
                <w:lang w:val="en-US" w:eastAsia="zh-CN" w:bidi="ar-SA"/>
              </w:rPr>
              <w:t xml:space="preserve">16 </w:t>
            </w:r>
            <w:r>
              <w:rPr>
                <w:rFonts w:hint="eastAsia" w:ascii="宋体" w:hAnsi="宋体" w:eastAsia="宋体" w:cs="宋体"/>
                <w:color w:val="auto"/>
                <w:kern w:val="2"/>
                <w:sz w:val="24"/>
                <w:szCs w:val="24"/>
                <w:highlight w:val="none"/>
                <w:lang w:val="en-US" w:eastAsia="zh-CN" w:bidi="ar-SA"/>
              </w:rPr>
              <w:t>时</w:t>
            </w:r>
            <w:r>
              <w:rPr>
                <w:rFonts w:hint="eastAsia" w:ascii="宋体" w:hAnsi="宋体" w:eastAsia="宋体" w:cs="宋体"/>
                <w:color w:val="auto"/>
                <w:kern w:val="2"/>
                <w:sz w:val="24"/>
                <w:szCs w:val="24"/>
                <w:highlight w:val="none"/>
                <w:u w:val="single"/>
                <w:lang w:val="en-US" w:eastAsia="zh-CN" w:bidi="ar-SA"/>
              </w:rPr>
              <w:t>30</w:t>
            </w:r>
            <w:r>
              <w:rPr>
                <w:rFonts w:hint="eastAsia" w:ascii="宋体" w:hAnsi="宋体" w:eastAsia="宋体" w:cs="宋体"/>
                <w:color w:val="auto"/>
                <w:kern w:val="2"/>
                <w:sz w:val="24"/>
                <w:szCs w:val="24"/>
                <w:highlight w:val="none"/>
                <w:lang w:val="en-US" w:eastAsia="zh-CN" w:bidi="ar-SA"/>
              </w:rPr>
              <w:t>分至</w:t>
            </w:r>
            <w:r>
              <w:rPr>
                <w:rFonts w:hint="eastAsia" w:ascii="宋体" w:hAnsi="宋体" w:cs="宋体"/>
                <w:color w:val="auto"/>
                <w:kern w:val="0"/>
                <w:sz w:val="24"/>
                <w:highlight w:val="none"/>
                <w:u w:val="single"/>
                <w:lang w:val="en-US" w:eastAsia="zh-CN"/>
              </w:rPr>
              <w:t>2026</w:t>
            </w:r>
            <w:r>
              <w:rPr>
                <w:rFonts w:hint="eastAsia" w:ascii="宋体" w:hAnsi="宋体" w:cs="宋体"/>
                <w:color w:val="auto"/>
                <w:kern w:val="0"/>
                <w:sz w:val="24"/>
                <w:highlight w:val="none"/>
                <w:u w:val="none"/>
                <w:lang w:val="en-US" w:eastAsia="zh-CN"/>
              </w:rPr>
              <w:t>年</w:t>
            </w:r>
            <w:r>
              <w:rPr>
                <w:rFonts w:hint="eastAsia" w:ascii="宋体" w:hAnsi="宋体"/>
                <w:color w:val="auto"/>
                <w:sz w:val="24"/>
                <w:szCs w:val="20"/>
                <w:highlight w:val="none"/>
                <w:u w:val="single"/>
                <w:lang w:val="en-US" w:eastAsia="zh-CN"/>
              </w:rPr>
              <w:t xml:space="preserve"> </w:t>
            </w:r>
            <w:r>
              <w:rPr>
                <w:rFonts w:hint="eastAsia"/>
                <w:color w:val="auto"/>
                <w:sz w:val="24"/>
                <w:szCs w:val="20"/>
                <w:highlight w:val="none"/>
                <w:u w:val="single"/>
                <w:lang w:val="en-US" w:eastAsia="zh-CN"/>
              </w:rPr>
              <w:t>6</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月</w:t>
            </w:r>
            <w:r>
              <w:rPr>
                <w:rFonts w:hint="eastAsia" w:ascii="宋体" w:hAnsi="宋体"/>
                <w:color w:val="auto"/>
                <w:sz w:val="24"/>
                <w:szCs w:val="20"/>
                <w:highlight w:val="none"/>
                <w:u w:val="single"/>
                <w:lang w:val="en-US" w:eastAsia="zh-CN"/>
              </w:rPr>
              <w:t xml:space="preserve"> </w:t>
            </w:r>
            <w:r>
              <w:rPr>
                <w:rFonts w:hint="eastAsia"/>
                <w:color w:val="auto"/>
                <w:sz w:val="24"/>
                <w:szCs w:val="20"/>
                <w:highlight w:val="none"/>
                <w:u w:val="single"/>
                <w:lang w:val="en-US" w:eastAsia="zh-CN"/>
              </w:rPr>
              <w:t>9</w:t>
            </w:r>
            <w:bookmarkStart w:id="350" w:name="_GoBack"/>
            <w:bookmarkEnd w:id="350"/>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日</w:t>
            </w:r>
            <w:r>
              <w:rPr>
                <w:rFonts w:hint="eastAsia" w:ascii="宋体" w:hAnsi="宋体" w:eastAsia="宋体" w:cs="宋体"/>
                <w:color w:val="auto"/>
                <w:kern w:val="2"/>
                <w:sz w:val="24"/>
                <w:szCs w:val="24"/>
                <w:highlight w:val="none"/>
                <w:u w:val="single"/>
                <w:lang w:val="en-US" w:eastAsia="zh-CN" w:bidi="ar-SA"/>
              </w:rPr>
              <w:t>16</w:t>
            </w:r>
            <w:r>
              <w:rPr>
                <w:rFonts w:hint="eastAsia" w:ascii="宋体" w:hAnsi="宋体" w:eastAsia="宋体" w:cs="宋体"/>
                <w:color w:val="auto"/>
                <w:kern w:val="2"/>
                <w:sz w:val="24"/>
                <w:szCs w:val="24"/>
                <w:highlight w:val="none"/>
                <w:lang w:val="en-US" w:eastAsia="zh-CN" w:bidi="ar-SA"/>
              </w:rPr>
              <w:t>时</w:t>
            </w:r>
            <w:r>
              <w:rPr>
                <w:rFonts w:hint="eastAsia" w:ascii="宋体" w:hAnsi="宋体" w:eastAsia="宋体" w:cs="宋体"/>
                <w:color w:val="auto"/>
                <w:kern w:val="2"/>
                <w:sz w:val="24"/>
                <w:szCs w:val="24"/>
                <w:highlight w:val="none"/>
                <w:u w:val="single"/>
                <w:lang w:val="en-US" w:eastAsia="zh-CN" w:bidi="ar-SA"/>
              </w:rPr>
              <w:t>00</w:t>
            </w:r>
            <w:r>
              <w:rPr>
                <w:rFonts w:hint="eastAsia" w:ascii="宋体" w:hAnsi="宋体" w:eastAsia="宋体" w:cs="宋体"/>
                <w:color w:val="auto"/>
                <w:kern w:val="2"/>
                <w:sz w:val="24"/>
                <w:szCs w:val="24"/>
                <w:highlight w:val="none"/>
                <w:lang w:val="en-US" w:eastAsia="zh-CN" w:bidi="ar-SA"/>
              </w:rPr>
              <w:t>分</w:t>
            </w:r>
          </w:p>
        </w:tc>
      </w:tr>
      <w:tr w14:paraId="7887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600" w:type="dxa"/>
            <w:noWrap w:val="0"/>
            <w:vAlign w:val="center"/>
          </w:tcPr>
          <w:p w14:paraId="3C724208">
            <w:pPr>
              <w:pStyle w:val="27"/>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5</w:t>
            </w:r>
          </w:p>
        </w:tc>
        <w:tc>
          <w:tcPr>
            <w:tcW w:w="1455" w:type="dxa"/>
            <w:noWrap w:val="0"/>
            <w:vAlign w:val="center"/>
          </w:tcPr>
          <w:p w14:paraId="3B324EF6">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投标保证缴</w:t>
            </w:r>
          </w:p>
          <w:p w14:paraId="04B7ADE6">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纳截止时间</w:t>
            </w:r>
          </w:p>
        </w:tc>
        <w:tc>
          <w:tcPr>
            <w:tcW w:w="7124" w:type="dxa"/>
            <w:noWrap w:val="0"/>
            <w:vAlign w:val="center"/>
          </w:tcPr>
          <w:p w14:paraId="268A259D">
            <w:pPr>
              <w:pStyle w:val="27"/>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right="0" w:firstLine="210"/>
              <w:jc w:val="left"/>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投标保证金到账截止时间：</w:t>
            </w:r>
            <w:r>
              <w:rPr>
                <w:rFonts w:hint="eastAsia" w:ascii="宋体" w:hAnsi="宋体" w:eastAsia="宋体" w:cs="宋体"/>
                <w:i w:val="0"/>
                <w:caps w:val="0"/>
                <w:color w:val="auto"/>
                <w:spacing w:val="0"/>
                <w:sz w:val="24"/>
                <w:szCs w:val="24"/>
                <w:highlight w:val="none"/>
                <w:lang w:val="en-US" w:eastAsia="zh-CN"/>
              </w:rPr>
              <w:t xml:space="preserve"> </w:t>
            </w:r>
            <w:r>
              <w:rPr>
                <w:rFonts w:hint="eastAsia" w:ascii="宋体" w:hAnsi="宋体"/>
                <w:color w:val="auto"/>
                <w:sz w:val="24"/>
                <w:szCs w:val="20"/>
                <w:highlight w:val="none"/>
                <w:u w:val="single"/>
                <w:lang w:val="en-US" w:eastAsia="zh-CN"/>
              </w:rPr>
              <w:t>2026</w:t>
            </w:r>
            <w:r>
              <w:rPr>
                <w:rFonts w:hint="eastAsia" w:ascii="宋体" w:hAnsi="宋体"/>
                <w:i w:val="0"/>
                <w:iCs w:val="0"/>
                <w:color w:val="auto"/>
                <w:sz w:val="24"/>
                <w:szCs w:val="20"/>
                <w:highlight w:val="none"/>
                <w:u w:val="none"/>
                <w:lang w:val="en-US" w:eastAsia="zh-CN"/>
              </w:rPr>
              <w:t>年</w:t>
            </w:r>
            <w:r>
              <w:rPr>
                <w:rFonts w:hint="eastAsia" w:ascii="宋体" w:hAnsi="宋体"/>
                <w:color w:val="auto"/>
                <w:sz w:val="24"/>
                <w:szCs w:val="20"/>
                <w:highlight w:val="none"/>
                <w:u w:val="single"/>
                <w:lang w:val="en-US" w:eastAsia="zh-CN"/>
              </w:rPr>
              <w:t xml:space="preserve"> </w:t>
            </w:r>
            <w:r>
              <w:rPr>
                <w:rFonts w:hint="eastAsia"/>
                <w:color w:val="auto"/>
                <w:sz w:val="24"/>
                <w:szCs w:val="20"/>
                <w:highlight w:val="none"/>
                <w:u w:val="single"/>
                <w:lang w:val="en-US" w:eastAsia="zh-CN"/>
              </w:rPr>
              <w:t>6</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月</w:t>
            </w:r>
            <w:r>
              <w:rPr>
                <w:rFonts w:hint="eastAsia"/>
                <w:color w:val="auto"/>
                <w:sz w:val="24"/>
                <w:szCs w:val="20"/>
                <w:highlight w:val="none"/>
                <w:u w:val="single"/>
                <w:lang w:val="en-US" w:eastAsia="zh-CN"/>
              </w:rPr>
              <w:t>15</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日</w:t>
            </w:r>
            <w:r>
              <w:rPr>
                <w:rFonts w:hint="eastAsia"/>
                <w:color w:val="auto"/>
                <w:sz w:val="24"/>
                <w:szCs w:val="20"/>
                <w:highlight w:val="none"/>
                <w:u w:val="single"/>
                <w:lang w:val="en-US" w:eastAsia="zh-CN"/>
              </w:rPr>
              <w:t>10</w:t>
            </w:r>
            <w:r>
              <w:rPr>
                <w:rFonts w:hint="eastAsia" w:ascii="宋体" w:hAnsi="宋体"/>
                <w:color w:val="auto"/>
                <w:sz w:val="24"/>
                <w:szCs w:val="20"/>
                <w:highlight w:val="none"/>
              </w:rPr>
              <w:t>时</w:t>
            </w:r>
            <w:r>
              <w:rPr>
                <w:rFonts w:hint="eastAsia"/>
                <w:color w:val="auto"/>
                <w:sz w:val="24"/>
                <w:szCs w:val="20"/>
                <w:highlight w:val="none"/>
                <w:u w:val="single"/>
                <w:lang w:val="en-US" w:eastAsia="zh-CN"/>
              </w:rPr>
              <w:t>30</w:t>
            </w:r>
            <w:r>
              <w:rPr>
                <w:rFonts w:hint="eastAsia" w:ascii="宋体" w:hAnsi="宋体"/>
                <w:color w:val="auto"/>
                <w:sz w:val="24"/>
                <w:szCs w:val="20"/>
                <w:highlight w:val="none"/>
              </w:rPr>
              <w:t>分</w:t>
            </w:r>
            <w:r>
              <w:rPr>
                <w:rFonts w:hint="eastAsia" w:ascii="宋体" w:hAnsi="宋体" w:eastAsia="宋体" w:cs="宋体"/>
                <w:i w:val="0"/>
                <w:caps w:val="0"/>
                <w:color w:val="auto"/>
                <w:spacing w:val="0"/>
                <w:sz w:val="24"/>
                <w:szCs w:val="24"/>
                <w:highlight w:val="none"/>
              </w:rPr>
              <w:t>；</w:t>
            </w:r>
          </w:p>
          <w:p w14:paraId="3840CD88">
            <w:pPr>
              <w:pStyle w:val="27"/>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right="0" w:firstLine="210"/>
              <w:jc w:val="left"/>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rPr>
              <w:t>投标保证担保</w:t>
            </w:r>
            <w:r>
              <w:rPr>
                <w:rFonts w:hint="eastAsia" w:ascii="宋体" w:hAnsi="宋体" w:eastAsia="宋体" w:cs="宋体"/>
                <w:i w:val="0"/>
                <w:caps w:val="0"/>
                <w:color w:val="auto"/>
                <w:spacing w:val="0"/>
                <w:sz w:val="24"/>
                <w:szCs w:val="24"/>
                <w:highlight w:val="none"/>
                <w:lang w:val="en-US" w:eastAsia="zh-CN"/>
              </w:rPr>
              <w:t>办理</w:t>
            </w:r>
            <w:r>
              <w:rPr>
                <w:rFonts w:hint="eastAsia" w:ascii="宋体" w:hAnsi="宋体" w:eastAsia="宋体" w:cs="宋体"/>
                <w:i w:val="0"/>
                <w:caps w:val="0"/>
                <w:color w:val="auto"/>
                <w:spacing w:val="0"/>
                <w:sz w:val="24"/>
                <w:szCs w:val="24"/>
                <w:highlight w:val="none"/>
              </w:rPr>
              <w:t>截止时间：</w:t>
            </w:r>
            <w:r>
              <w:rPr>
                <w:rFonts w:hint="eastAsia" w:ascii="宋体" w:hAnsi="宋体"/>
                <w:color w:val="auto"/>
                <w:sz w:val="24"/>
                <w:szCs w:val="20"/>
                <w:highlight w:val="none"/>
                <w:u w:val="single"/>
                <w:lang w:val="en-US" w:eastAsia="zh-CN"/>
              </w:rPr>
              <w:t>2026</w:t>
            </w:r>
            <w:r>
              <w:rPr>
                <w:rFonts w:hint="eastAsia" w:ascii="宋体" w:hAnsi="宋体"/>
                <w:i w:val="0"/>
                <w:iCs w:val="0"/>
                <w:color w:val="auto"/>
                <w:sz w:val="24"/>
                <w:szCs w:val="20"/>
                <w:highlight w:val="none"/>
                <w:u w:val="none"/>
                <w:lang w:val="en-US" w:eastAsia="zh-CN"/>
              </w:rPr>
              <w:t>年</w:t>
            </w:r>
            <w:r>
              <w:rPr>
                <w:rFonts w:hint="eastAsia" w:ascii="宋体" w:hAnsi="宋体"/>
                <w:color w:val="auto"/>
                <w:sz w:val="24"/>
                <w:szCs w:val="20"/>
                <w:highlight w:val="none"/>
                <w:u w:val="single"/>
                <w:lang w:val="en-US" w:eastAsia="zh-CN"/>
              </w:rPr>
              <w:t xml:space="preserve"> </w:t>
            </w:r>
            <w:r>
              <w:rPr>
                <w:rFonts w:hint="eastAsia"/>
                <w:color w:val="auto"/>
                <w:sz w:val="24"/>
                <w:szCs w:val="20"/>
                <w:highlight w:val="none"/>
                <w:u w:val="single"/>
                <w:lang w:val="en-US" w:eastAsia="zh-CN"/>
              </w:rPr>
              <w:t>6</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月</w:t>
            </w:r>
            <w:r>
              <w:rPr>
                <w:rFonts w:hint="eastAsia"/>
                <w:color w:val="auto"/>
                <w:sz w:val="24"/>
                <w:szCs w:val="20"/>
                <w:highlight w:val="none"/>
                <w:u w:val="single"/>
                <w:lang w:val="en-US" w:eastAsia="zh-CN"/>
              </w:rPr>
              <w:t>15</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日</w:t>
            </w:r>
            <w:r>
              <w:rPr>
                <w:rFonts w:hint="eastAsia"/>
                <w:color w:val="auto"/>
                <w:sz w:val="24"/>
                <w:szCs w:val="20"/>
                <w:highlight w:val="none"/>
                <w:u w:val="single"/>
                <w:lang w:val="en-US" w:eastAsia="zh-CN"/>
              </w:rPr>
              <w:t>10</w:t>
            </w:r>
            <w:r>
              <w:rPr>
                <w:rFonts w:hint="eastAsia" w:ascii="宋体" w:hAnsi="宋体"/>
                <w:color w:val="auto"/>
                <w:sz w:val="24"/>
                <w:szCs w:val="20"/>
                <w:highlight w:val="none"/>
              </w:rPr>
              <w:t>时</w:t>
            </w:r>
            <w:r>
              <w:rPr>
                <w:rFonts w:hint="eastAsia"/>
                <w:color w:val="auto"/>
                <w:sz w:val="24"/>
                <w:szCs w:val="20"/>
                <w:highlight w:val="none"/>
                <w:u w:val="single"/>
                <w:lang w:val="en-US" w:eastAsia="zh-CN"/>
              </w:rPr>
              <w:t>30</w:t>
            </w:r>
            <w:r>
              <w:rPr>
                <w:rFonts w:hint="eastAsia" w:ascii="宋体" w:hAnsi="宋体"/>
                <w:color w:val="auto"/>
                <w:sz w:val="24"/>
                <w:szCs w:val="20"/>
                <w:highlight w:val="none"/>
              </w:rPr>
              <w:t>分</w:t>
            </w:r>
            <w:r>
              <w:rPr>
                <w:rFonts w:hint="eastAsia" w:ascii="宋体" w:hAnsi="宋体" w:eastAsia="宋体" w:cs="宋体"/>
                <w:i w:val="0"/>
                <w:caps w:val="0"/>
                <w:color w:val="auto"/>
                <w:spacing w:val="0"/>
                <w:sz w:val="24"/>
                <w:szCs w:val="24"/>
                <w:highlight w:val="none"/>
                <w:lang w:val="en-US" w:eastAsia="zh-CN"/>
              </w:rPr>
              <w:t>；</w:t>
            </w:r>
          </w:p>
          <w:p w14:paraId="23332E6F">
            <w:pPr>
              <w:pStyle w:val="27"/>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right="0" w:firstLine="210"/>
              <w:jc w:val="left"/>
              <w:rPr>
                <w:rFonts w:hint="eastAsia" w:ascii="宋体" w:hAnsi="宋体" w:eastAsia="宋体" w:cs="宋体"/>
                <w:color w:val="auto"/>
                <w:sz w:val="24"/>
                <w:szCs w:val="24"/>
                <w:highlight w:val="none"/>
                <w:lang w:eastAsia="zh-CN"/>
              </w:rPr>
            </w:pPr>
            <w:r>
              <w:rPr>
                <w:rFonts w:hint="eastAsia" w:ascii="宋体" w:hAnsi="宋体" w:eastAsia="宋体" w:cs="宋体"/>
                <w:caps w:val="0"/>
                <w:smallCaps w:val="0"/>
                <w:snapToGrid w:val="0"/>
                <w:color w:val="auto"/>
                <w:spacing w:val="0"/>
                <w:kern w:val="0"/>
                <w:sz w:val="24"/>
                <w:szCs w:val="24"/>
                <w:highlight w:val="none"/>
                <w:lang w:eastAsia="zh-CN"/>
              </w:rPr>
              <w:t>投标保证保险投保截止时间：</w:t>
            </w:r>
            <w:r>
              <w:rPr>
                <w:rFonts w:hint="eastAsia" w:ascii="宋体" w:hAnsi="宋体"/>
                <w:color w:val="auto"/>
                <w:sz w:val="24"/>
                <w:szCs w:val="20"/>
                <w:highlight w:val="none"/>
                <w:u w:val="single"/>
                <w:lang w:val="en-US" w:eastAsia="zh-CN"/>
              </w:rPr>
              <w:t>2026</w:t>
            </w:r>
            <w:r>
              <w:rPr>
                <w:rFonts w:hint="eastAsia" w:ascii="宋体" w:hAnsi="宋体"/>
                <w:i w:val="0"/>
                <w:iCs w:val="0"/>
                <w:color w:val="auto"/>
                <w:sz w:val="24"/>
                <w:szCs w:val="20"/>
                <w:highlight w:val="none"/>
                <w:u w:val="none"/>
                <w:lang w:val="en-US" w:eastAsia="zh-CN"/>
              </w:rPr>
              <w:t>年</w:t>
            </w:r>
            <w:r>
              <w:rPr>
                <w:rFonts w:hint="eastAsia" w:ascii="宋体" w:hAnsi="宋体"/>
                <w:color w:val="auto"/>
                <w:sz w:val="24"/>
                <w:szCs w:val="20"/>
                <w:highlight w:val="none"/>
                <w:u w:val="single"/>
                <w:lang w:val="en-US" w:eastAsia="zh-CN"/>
              </w:rPr>
              <w:t xml:space="preserve"> </w:t>
            </w:r>
            <w:r>
              <w:rPr>
                <w:rFonts w:hint="eastAsia"/>
                <w:color w:val="auto"/>
                <w:sz w:val="24"/>
                <w:szCs w:val="20"/>
                <w:highlight w:val="none"/>
                <w:u w:val="single"/>
                <w:lang w:val="en-US" w:eastAsia="zh-CN"/>
              </w:rPr>
              <w:t>6</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月</w:t>
            </w:r>
            <w:r>
              <w:rPr>
                <w:rFonts w:hint="eastAsia"/>
                <w:color w:val="auto"/>
                <w:sz w:val="24"/>
                <w:szCs w:val="20"/>
                <w:highlight w:val="none"/>
                <w:u w:val="single"/>
                <w:lang w:val="en-US" w:eastAsia="zh-CN"/>
              </w:rPr>
              <w:t>15</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日</w:t>
            </w:r>
            <w:r>
              <w:rPr>
                <w:rFonts w:hint="eastAsia"/>
                <w:color w:val="auto"/>
                <w:sz w:val="24"/>
                <w:szCs w:val="20"/>
                <w:highlight w:val="none"/>
                <w:u w:val="single"/>
                <w:lang w:val="en-US" w:eastAsia="zh-CN"/>
              </w:rPr>
              <w:t>10</w:t>
            </w:r>
            <w:r>
              <w:rPr>
                <w:rFonts w:hint="eastAsia" w:ascii="宋体" w:hAnsi="宋体"/>
                <w:color w:val="auto"/>
                <w:sz w:val="24"/>
                <w:szCs w:val="20"/>
                <w:highlight w:val="none"/>
              </w:rPr>
              <w:t>时</w:t>
            </w:r>
            <w:r>
              <w:rPr>
                <w:rFonts w:hint="eastAsia"/>
                <w:color w:val="auto"/>
                <w:sz w:val="24"/>
                <w:szCs w:val="20"/>
                <w:highlight w:val="none"/>
                <w:u w:val="single"/>
                <w:lang w:val="en-US" w:eastAsia="zh-CN"/>
              </w:rPr>
              <w:t>30</w:t>
            </w:r>
            <w:r>
              <w:rPr>
                <w:rFonts w:hint="eastAsia" w:ascii="宋体" w:hAnsi="宋体"/>
                <w:color w:val="auto"/>
                <w:sz w:val="24"/>
                <w:szCs w:val="20"/>
                <w:highlight w:val="none"/>
              </w:rPr>
              <w:t>分</w:t>
            </w:r>
            <w:r>
              <w:rPr>
                <w:rFonts w:hint="eastAsia" w:ascii="宋体" w:hAnsi="宋体" w:eastAsia="宋体" w:cs="宋体"/>
                <w:caps w:val="0"/>
                <w:smallCaps w:val="0"/>
                <w:snapToGrid w:val="0"/>
                <w:color w:val="auto"/>
                <w:spacing w:val="0"/>
                <w:kern w:val="0"/>
                <w:sz w:val="24"/>
                <w:szCs w:val="24"/>
                <w:highlight w:val="none"/>
                <w:lang w:eastAsia="zh-CN"/>
              </w:rPr>
              <w:t>。</w:t>
            </w:r>
          </w:p>
        </w:tc>
      </w:tr>
      <w:tr w14:paraId="393AB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600" w:type="dxa"/>
            <w:noWrap w:val="0"/>
            <w:vAlign w:val="center"/>
          </w:tcPr>
          <w:p w14:paraId="664C0EE9">
            <w:pPr>
              <w:pStyle w:val="27"/>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6</w:t>
            </w:r>
          </w:p>
        </w:tc>
        <w:tc>
          <w:tcPr>
            <w:tcW w:w="1455" w:type="dxa"/>
            <w:noWrap w:val="0"/>
            <w:vAlign w:val="center"/>
          </w:tcPr>
          <w:p w14:paraId="6EA4AD4A">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电子投标</w:t>
            </w:r>
          </w:p>
          <w:p w14:paraId="4FFE2BB5">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截止时间</w:t>
            </w:r>
          </w:p>
        </w:tc>
        <w:tc>
          <w:tcPr>
            <w:tcW w:w="7124" w:type="dxa"/>
            <w:noWrap w:val="0"/>
            <w:vAlign w:val="center"/>
          </w:tcPr>
          <w:p w14:paraId="76C9B4D9">
            <w:pPr>
              <w:pStyle w:val="27"/>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left"/>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 </w:t>
            </w:r>
            <w:r>
              <w:rPr>
                <w:rFonts w:hint="eastAsia" w:ascii="宋体" w:hAnsi="宋体"/>
                <w:color w:val="auto"/>
                <w:sz w:val="24"/>
                <w:szCs w:val="20"/>
                <w:highlight w:val="none"/>
                <w:u w:val="single"/>
                <w:lang w:val="en-US" w:eastAsia="zh-CN"/>
              </w:rPr>
              <w:t>2026</w:t>
            </w:r>
            <w:r>
              <w:rPr>
                <w:rFonts w:hint="eastAsia" w:ascii="宋体" w:hAnsi="宋体"/>
                <w:i w:val="0"/>
                <w:iCs w:val="0"/>
                <w:color w:val="auto"/>
                <w:sz w:val="24"/>
                <w:szCs w:val="20"/>
                <w:highlight w:val="none"/>
                <w:u w:val="none"/>
                <w:lang w:val="en-US" w:eastAsia="zh-CN"/>
              </w:rPr>
              <w:t>年</w:t>
            </w:r>
            <w:r>
              <w:rPr>
                <w:rFonts w:hint="eastAsia" w:ascii="宋体" w:hAnsi="宋体"/>
                <w:color w:val="auto"/>
                <w:sz w:val="24"/>
                <w:szCs w:val="20"/>
                <w:highlight w:val="none"/>
                <w:u w:val="single"/>
                <w:lang w:val="en-US" w:eastAsia="zh-CN"/>
              </w:rPr>
              <w:t xml:space="preserve"> </w:t>
            </w:r>
            <w:r>
              <w:rPr>
                <w:rFonts w:hint="eastAsia"/>
                <w:color w:val="auto"/>
                <w:sz w:val="24"/>
                <w:szCs w:val="20"/>
                <w:highlight w:val="none"/>
                <w:u w:val="single"/>
                <w:lang w:val="en-US" w:eastAsia="zh-CN"/>
              </w:rPr>
              <w:t>6</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月</w:t>
            </w:r>
            <w:r>
              <w:rPr>
                <w:rFonts w:hint="eastAsia"/>
                <w:color w:val="auto"/>
                <w:sz w:val="24"/>
                <w:szCs w:val="20"/>
                <w:highlight w:val="none"/>
                <w:u w:val="single"/>
                <w:lang w:val="en-US" w:eastAsia="zh-CN"/>
              </w:rPr>
              <w:t>16</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日</w:t>
            </w:r>
            <w:r>
              <w:rPr>
                <w:rFonts w:hint="eastAsia"/>
                <w:color w:val="auto"/>
                <w:sz w:val="24"/>
                <w:szCs w:val="20"/>
                <w:highlight w:val="none"/>
                <w:u w:val="single"/>
                <w:lang w:val="en-US" w:eastAsia="zh-CN"/>
              </w:rPr>
              <w:t>10</w:t>
            </w:r>
            <w:r>
              <w:rPr>
                <w:rFonts w:hint="eastAsia" w:ascii="宋体" w:hAnsi="宋体"/>
                <w:color w:val="auto"/>
                <w:sz w:val="24"/>
                <w:szCs w:val="20"/>
                <w:highlight w:val="none"/>
              </w:rPr>
              <w:t>时</w:t>
            </w:r>
            <w:r>
              <w:rPr>
                <w:rFonts w:hint="eastAsia"/>
                <w:color w:val="auto"/>
                <w:sz w:val="24"/>
                <w:szCs w:val="20"/>
                <w:highlight w:val="none"/>
                <w:u w:val="single"/>
                <w:lang w:val="en-US" w:eastAsia="zh-CN"/>
              </w:rPr>
              <w:t>30</w:t>
            </w:r>
            <w:r>
              <w:rPr>
                <w:rFonts w:hint="eastAsia" w:ascii="宋体" w:hAnsi="宋体"/>
                <w:color w:val="auto"/>
                <w:sz w:val="24"/>
                <w:szCs w:val="20"/>
                <w:highlight w:val="none"/>
              </w:rPr>
              <w:t>分</w:t>
            </w:r>
          </w:p>
        </w:tc>
      </w:tr>
      <w:tr w14:paraId="2839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600" w:type="dxa"/>
            <w:noWrap w:val="0"/>
            <w:vAlign w:val="center"/>
          </w:tcPr>
          <w:p w14:paraId="52BF59A7">
            <w:pPr>
              <w:pStyle w:val="88"/>
              <w:tabs>
                <w:tab w:val="left" w:pos="1890"/>
              </w:tabs>
              <w:wordWrap w:val="0"/>
              <w:adjustRightInd w:val="0"/>
              <w:snapToGrid w:val="0"/>
              <w:spacing w:line="360" w:lineRule="exact"/>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7</w:t>
            </w:r>
          </w:p>
        </w:tc>
        <w:tc>
          <w:tcPr>
            <w:tcW w:w="1455" w:type="dxa"/>
            <w:noWrap w:val="0"/>
            <w:vAlign w:val="center"/>
          </w:tcPr>
          <w:p w14:paraId="5FC8423D">
            <w:pPr>
              <w:pStyle w:val="88"/>
              <w:tabs>
                <w:tab w:val="left" w:pos="1890"/>
              </w:tabs>
              <w:wordWrap w:val="0"/>
              <w:adjustRightInd w:val="0"/>
              <w:snapToGrid w:val="0"/>
              <w:spacing w:line="360" w:lineRule="exact"/>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投标相关资料（如有）</w:t>
            </w:r>
          </w:p>
          <w:p w14:paraId="1C2803B0">
            <w:pPr>
              <w:pStyle w:val="88"/>
              <w:tabs>
                <w:tab w:val="left" w:pos="1890"/>
              </w:tabs>
              <w:wordWrap w:val="0"/>
              <w:adjustRightInd w:val="0"/>
              <w:snapToGrid w:val="0"/>
              <w:spacing w:line="360" w:lineRule="exact"/>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递交时间</w:t>
            </w:r>
          </w:p>
        </w:tc>
        <w:tc>
          <w:tcPr>
            <w:tcW w:w="7124" w:type="dxa"/>
            <w:noWrap w:val="0"/>
            <w:vAlign w:val="center"/>
          </w:tcPr>
          <w:p w14:paraId="4F677A70">
            <w:pPr>
              <w:pStyle w:val="88"/>
              <w:tabs>
                <w:tab w:val="left" w:pos="1890"/>
              </w:tabs>
              <w:wordWrap w:val="0"/>
              <w:adjustRightInd w:val="0"/>
              <w:snapToGrid w:val="0"/>
              <w:spacing w:line="400" w:lineRule="exact"/>
              <w:jc w:val="left"/>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 xml:space="preserve">  </w:t>
            </w:r>
            <w:r>
              <w:rPr>
                <w:rFonts w:hint="eastAsia" w:ascii="宋体" w:hAnsi="宋体"/>
                <w:color w:val="auto"/>
                <w:sz w:val="24"/>
                <w:szCs w:val="20"/>
                <w:highlight w:val="none"/>
                <w:u w:val="single"/>
                <w:lang w:val="en-US" w:eastAsia="zh-CN"/>
              </w:rPr>
              <w:t>2026</w:t>
            </w:r>
            <w:r>
              <w:rPr>
                <w:rFonts w:hint="eastAsia" w:ascii="宋体" w:hAnsi="宋体"/>
                <w:i w:val="0"/>
                <w:iCs w:val="0"/>
                <w:color w:val="auto"/>
                <w:sz w:val="24"/>
                <w:szCs w:val="20"/>
                <w:highlight w:val="none"/>
                <w:u w:val="none"/>
                <w:lang w:val="en-US" w:eastAsia="zh-CN"/>
              </w:rPr>
              <w:t>年</w:t>
            </w:r>
            <w:r>
              <w:rPr>
                <w:rFonts w:hint="eastAsia" w:ascii="宋体" w:hAnsi="宋体"/>
                <w:color w:val="auto"/>
                <w:sz w:val="24"/>
                <w:szCs w:val="20"/>
                <w:highlight w:val="none"/>
                <w:u w:val="single"/>
                <w:lang w:val="en-US" w:eastAsia="zh-CN"/>
              </w:rPr>
              <w:t xml:space="preserve"> </w:t>
            </w:r>
            <w:r>
              <w:rPr>
                <w:rFonts w:hint="eastAsia"/>
                <w:color w:val="auto"/>
                <w:sz w:val="24"/>
                <w:szCs w:val="20"/>
                <w:highlight w:val="none"/>
                <w:u w:val="single"/>
                <w:lang w:val="en-US" w:eastAsia="zh-CN"/>
              </w:rPr>
              <w:t>6</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月</w:t>
            </w:r>
            <w:r>
              <w:rPr>
                <w:rFonts w:hint="eastAsia"/>
                <w:color w:val="auto"/>
                <w:sz w:val="24"/>
                <w:szCs w:val="20"/>
                <w:highlight w:val="none"/>
                <w:u w:val="single"/>
                <w:lang w:val="en-US" w:eastAsia="zh-CN"/>
              </w:rPr>
              <w:t>16</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日</w:t>
            </w:r>
            <w:r>
              <w:rPr>
                <w:rFonts w:hint="eastAsia"/>
                <w:color w:val="auto"/>
                <w:sz w:val="24"/>
                <w:szCs w:val="20"/>
                <w:highlight w:val="none"/>
                <w:u w:val="single"/>
                <w:lang w:val="en-US" w:eastAsia="zh-CN"/>
              </w:rPr>
              <w:t>10</w:t>
            </w:r>
            <w:r>
              <w:rPr>
                <w:rFonts w:hint="eastAsia" w:ascii="宋体" w:hAnsi="宋体"/>
                <w:color w:val="auto"/>
                <w:sz w:val="24"/>
                <w:szCs w:val="20"/>
                <w:highlight w:val="none"/>
              </w:rPr>
              <w:t>时</w:t>
            </w:r>
            <w:r>
              <w:rPr>
                <w:rFonts w:hint="eastAsia"/>
                <w:color w:val="auto"/>
                <w:sz w:val="24"/>
                <w:szCs w:val="20"/>
                <w:highlight w:val="none"/>
                <w:u w:val="single"/>
                <w:lang w:val="en-US" w:eastAsia="zh-CN"/>
              </w:rPr>
              <w:t>00</w:t>
            </w:r>
            <w:r>
              <w:rPr>
                <w:rFonts w:hint="eastAsia" w:ascii="宋体" w:hAnsi="宋体"/>
                <w:color w:val="auto"/>
                <w:sz w:val="24"/>
                <w:szCs w:val="20"/>
                <w:highlight w:val="none"/>
              </w:rPr>
              <w:t>分</w:t>
            </w:r>
            <w:r>
              <w:rPr>
                <w:rFonts w:hint="eastAsia" w:ascii="宋体" w:hAnsi="宋体" w:eastAsia="宋体" w:cs="宋体"/>
                <w:color w:val="auto"/>
                <w:kern w:val="2"/>
                <w:sz w:val="24"/>
                <w:szCs w:val="24"/>
                <w:highlight w:val="none"/>
                <w:lang w:val="en-US" w:eastAsia="zh-CN" w:bidi="ar-SA"/>
              </w:rPr>
              <w:t>至</w:t>
            </w:r>
            <w:r>
              <w:rPr>
                <w:rFonts w:hint="eastAsia" w:ascii="宋体" w:hAnsi="宋体"/>
                <w:color w:val="auto"/>
                <w:sz w:val="24"/>
                <w:szCs w:val="20"/>
                <w:highlight w:val="none"/>
                <w:u w:val="single"/>
                <w:lang w:val="en-US" w:eastAsia="zh-CN"/>
              </w:rPr>
              <w:t>2026</w:t>
            </w:r>
            <w:r>
              <w:rPr>
                <w:rFonts w:hint="eastAsia" w:ascii="宋体" w:hAnsi="宋体"/>
                <w:i w:val="0"/>
                <w:iCs w:val="0"/>
                <w:color w:val="auto"/>
                <w:sz w:val="24"/>
                <w:szCs w:val="20"/>
                <w:highlight w:val="none"/>
                <w:u w:val="none"/>
                <w:lang w:val="en-US" w:eastAsia="zh-CN"/>
              </w:rPr>
              <w:t>年</w:t>
            </w:r>
            <w:r>
              <w:rPr>
                <w:rFonts w:hint="eastAsia" w:ascii="宋体" w:hAnsi="宋体"/>
                <w:color w:val="auto"/>
                <w:sz w:val="24"/>
                <w:szCs w:val="20"/>
                <w:highlight w:val="none"/>
                <w:u w:val="single"/>
                <w:lang w:val="en-US" w:eastAsia="zh-CN"/>
              </w:rPr>
              <w:t xml:space="preserve"> </w:t>
            </w:r>
            <w:r>
              <w:rPr>
                <w:rFonts w:hint="eastAsia"/>
                <w:color w:val="auto"/>
                <w:sz w:val="24"/>
                <w:szCs w:val="20"/>
                <w:highlight w:val="none"/>
                <w:u w:val="single"/>
                <w:lang w:val="en-US" w:eastAsia="zh-CN"/>
              </w:rPr>
              <w:t>6</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月</w:t>
            </w:r>
            <w:r>
              <w:rPr>
                <w:rFonts w:hint="eastAsia"/>
                <w:color w:val="auto"/>
                <w:sz w:val="24"/>
                <w:szCs w:val="20"/>
                <w:highlight w:val="none"/>
                <w:u w:val="single"/>
                <w:lang w:val="en-US" w:eastAsia="zh-CN"/>
              </w:rPr>
              <w:t>16</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日</w:t>
            </w:r>
            <w:r>
              <w:rPr>
                <w:rFonts w:hint="eastAsia"/>
                <w:color w:val="auto"/>
                <w:sz w:val="24"/>
                <w:szCs w:val="20"/>
                <w:highlight w:val="none"/>
                <w:u w:val="single"/>
                <w:lang w:val="en-US" w:eastAsia="zh-CN"/>
              </w:rPr>
              <w:t>10</w:t>
            </w:r>
            <w:r>
              <w:rPr>
                <w:rFonts w:hint="eastAsia" w:ascii="宋体" w:hAnsi="宋体"/>
                <w:color w:val="auto"/>
                <w:sz w:val="24"/>
                <w:szCs w:val="20"/>
                <w:highlight w:val="none"/>
              </w:rPr>
              <w:t>时</w:t>
            </w:r>
            <w:r>
              <w:rPr>
                <w:rFonts w:hint="eastAsia"/>
                <w:color w:val="auto"/>
                <w:sz w:val="24"/>
                <w:szCs w:val="20"/>
                <w:highlight w:val="none"/>
                <w:u w:val="single"/>
                <w:lang w:val="en-US" w:eastAsia="zh-CN"/>
              </w:rPr>
              <w:t>30</w:t>
            </w:r>
            <w:r>
              <w:rPr>
                <w:rFonts w:hint="eastAsia" w:ascii="宋体" w:hAnsi="宋体"/>
                <w:color w:val="auto"/>
                <w:sz w:val="24"/>
                <w:szCs w:val="20"/>
                <w:highlight w:val="none"/>
              </w:rPr>
              <w:t>分</w:t>
            </w:r>
          </w:p>
        </w:tc>
      </w:tr>
      <w:tr w14:paraId="61B25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600" w:type="dxa"/>
            <w:noWrap w:val="0"/>
            <w:vAlign w:val="center"/>
          </w:tcPr>
          <w:p w14:paraId="27752D4E">
            <w:pPr>
              <w:pStyle w:val="88"/>
              <w:tabs>
                <w:tab w:val="left" w:pos="1890"/>
              </w:tabs>
              <w:wordWrap w:val="0"/>
              <w:adjustRightInd w:val="0"/>
              <w:snapToGrid w:val="0"/>
              <w:spacing w:line="360" w:lineRule="exact"/>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8</w:t>
            </w:r>
          </w:p>
        </w:tc>
        <w:tc>
          <w:tcPr>
            <w:tcW w:w="1455" w:type="dxa"/>
            <w:noWrap w:val="0"/>
            <w:vAlign w:val="center"/>
          </w:tcPr>
          <w:p w14:paraId="04583A87">
            <w:pPr>
              <w:pStyle w:val="88"/>
              <w:tabs>
                <w:tab w:val="left" w:pos="1890"/>
              </w:tabs>
              <w:wordWrap w:val="0"/>
              <w:adjustRightInd w:val="0"/>
              <w:snapToGrid w:val="0"/>
              <w:spacing w:line="360" w:lineRule="exact"/>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投标相关资料（如有）</w:t>
            </w:r>
          </w:p>
          <w:p w14:paraId="5FED563E">
            <w:pPr>
              <w:pStyle w:val="88"/>
              <w:tabs>
                <w:tab w:val="left" w:pos="1890"/>
              </w:tabs>
              <w:wordWrap w:val="0"/>
              <w:adjustRightInd w:val="0"/>
              <w:snapToGrid w:val="0"/>
              <w:spacing w:line="360" w:lineRule="exact"/>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递交地点</w:t>
            </w:r>
          </w:p>
        </w:tc>
        <w:tc>
          <w:tcPr>
            <w:tcW w:w="7124" w:type="dxa"/>
            <w:noWrap w:val="0"/>
            <w:vAlign w:val="center"/>
          </w:tcPr>
          <w:p w14:paraId="4CB7EE78">
            <w:pPr>
              <w:pStyle w:val="88"/>
              <w:tabs>
                <w:tab w:val="left" w:pos="1890"/>
              </w:tabs>
              <w:wordWrap w:val="0"/>
              <w:adjustRightInd w:val="0"/>
              <w:snapToGrid w:val="0"/>
              <w:spacing w:line="400" w:lineRule="exact"/>
              <w:ind w:firstLine="240" w:firstLineChars="100"/>
              <w:jc w:val="left"/>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递交场所：</w:t>
            </w:r>
            <w:r>
              <w:rPr>
                <w:rFonts w:hint="eastAsia" w:ascii="宋体" w:hAnsi="宋体" w:eastAsia="宋体" w:cs="宋体"/>
                <w:color w:val="auto"/>
                <w:kern w:val="2"/>
                <w:sz w:val="24"/>
                <w:szCs w:val="24"/>
                <w:highlight w:val="none"/>
                <w:u w:val="single"/>
                <w:lang w:val="en-US" w:eastAsia="zh-CN" w:bidi="ar-SA"/>
              </w:rPr>
              <w:t>韶关市公共资源交易中心</w:t>
            </w:r>
            <w:r>
              <w:rPr>
                <w:rFonts w:hint="eastAsia" w:ascii="宋体" w:hAnsi="宋体" w:eastAsia="宋体" w:cs="宋体"/>
                <w:color w:val="auto"/>
                <w:kern w:val="2"/>
                <w:sz w:val="24"/>
                <w:szCs w:val="24"/>
                <w:highlight w:val="none"/>
                <w:lang w:val="en-US" w:eastAsia="zh-CN" w:bidi="ar-SA"/>
              </w:rPr>
              <w:t>，地址：</w:t>
            </w:r>
            <w:r>
              <w:rPr>
                <w:rFonts w:hint="eastAsia" w:ascii="宋体" w:hAnsi="宋体" w:eastAsia="宋体" w:cs="宋体"/>
                <w:color w:val="auto"/>
                <w:kern w:val="2"/>
                <w:sz w:val="24"/>
                <w:szCs w:val="24"/>
                <w:highlight w:val="none"/>
                <w:u w:val="single"/>
                <w:lang w:val="en-US" w:eastAsia="zh-CN" w:bidi="ar-SA"/>
              </w:rPr>
              <w:t>广东省韶关市武江区西联镇</w:t>
            </w:r>
            <w:r>
              <w:rPr>
                <w:rFonts w:hint="eastAsia" w:ascii="宋体" w:hAnsi="宋体" w:eastAsia="宋体" w:cs="宋体"/>
                <w:color w:val="auto"/>
                <w:kern w:val="2"/>
                <w:sz w:val="24"/>
                <w:szCs w:val="24"/>
                <w:highlight w:val="none"/>
                <w:lang w:val="en-US" w:eastAsia="zh-CN" w:bidi="ar-SA"/>
              </w:rPr>
              <w:t>，具体房间号以当日现场通知为准。</w:t>
            </w:r>
          </w:p>
        </w:tc>
      </w:tr>
      <w:tr w14:paraId="31CB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600" w:type="dxa"/>
            <w:noWrap w:val="0"/>
            <w:vAlign w:val="center"/>
          </w:tcPr>
          <w:p w14:paraId="78F6BC76">
            <w:pPr>
              <w:pStyle w:val="27"/>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1455" w:type="dxa"/>
            <w:noWrap w:val="0"/>
            <w:vAlign w:val="center"/>
          </w:tcPr>
          <w:p w14:paraId="3D852BEC">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开标时间</w:t>
            </w:r>
          </w:p>
        </w:tc>
        <w:tc>
          <w:tcPr>
            <w:tcW w:w="7124" w:type="dxa"/>
            <w:noWrap w:val="0"/>
            <w:vAlign w:val="center"/>
          </w:tcPr>
          <w:p w14:paraId="4372E2AB">
            <w:pPr>
              <w:pStyle w:val="27"/>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left"/>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 </w:t>
            </w:r>
            <w:r>
              <w:rPr>
                <w:rFonts w:hint="eastAsia" w:ascii="宋体" w:hAnsi="宋体"/>
                <w:color w:val="auto"/>
                <w:sz w:val="24"/>
                <w:szCs w:val="20"/>
                <w:highlight w:val="none"/>
                <w:u w:val="single"/>
                <w:lang w:val="en-US" w:eastAsia="zh-CN"/>
              </w:rPr>
              <w:t>2026</w:t>
            </w:r>
            <w:r>
              <w:rPr>
                <w:rFonts w:hint="eastAsia" w:ascii="宋体" w:hAnsi="宋体"/>
                <w:i w:val="0"/>
                <w:iCs w:val="0"/>
                <w:color w:val="auto"/>
                <w:sz w:val="24"/>
                <w:szCs w:val="20"/>
                <w:highlight w:val="none"/>
                <w:u w:val="none"/>
                <w:lang w:val="en-US" w:eastAsia="zh-CN"/>
              </w:rPr>
              <w:t>年</w:t>
            </w:r>
            <w:r>
              <w:rPr>
                <w:rFonts w:hint="eastAsia" w:ascii="宋体" w:hAnsi="宋体"/>
                <w:color w:val="auto"/>
                <w:sz w:val="24"/>
                <w:szCs w:val="20"/>
                <w:highlight w:val="none"/>
                <w:u w:val="single"/>
                <w:lang w:val="en-US" w:eastAsia="zh-CN"/>
              </w:rPr>
              <w:t xml:space="preserve"> </w:t>
            </w:r>
            <w:r>
              <w:rPr>
                <w:rFonts w:hint="eastAsia"/>
                <w:color w:val="auto"/>
                <w:sz w:val="24"/>
                <w:szCs w:val="20"/>
                <w:highlight w:val="none"/>
                <w:u w:val="single"/>
                <w:lang w:val="en-US" w:eastAsia="zh-CN"/>
              </w:rPr>
              <w:t>6</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月</w:t>
            </w:r>
            <w:r>
              <w:rPr>
                <w:rFonts w:hint="eastAsia"/>
                <w:color w:val="auto"/>
                <w:sz w:val="24"/>
                <w:szCs w:val="20"/>
                <w:highlight w:val="none"/>
                <w:u w:val="single"/>
                <w:lang w:val="en-US" w:eastAsia="zh-CN"/>
              </w:rPr>
              <w:t>16</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rPr>
              <w:t>日</w:t>
            </w:r>
            <w:r>
              <w:rPr>
                <w:rFonts w:hint="eastAsia"/>
                <w:color w:val="auto"/>
                <w:sz w:val="24"/>
                <w:szCs w:val="20"/>
                <w:highlight w:val="none"/>
                <w:u w:val="single"/>
                <w:lang w:val="en-US" w:eastAsia="zh-CN"/>
              </w:rPr>
              <w:t>10</w:t>
            </w:r>
            <w:r>
              <w:rPr>
                <w:rFonts w:hint="eastAsia" w:ascii="宋体" w:hAnsi="宋体"/>
                <w:color w:val="auto"/>
                <w:sz w:val="24"/>
                <w:szCs w:val="20"/>
                <w:highlight w:val="none"/>
              </w:rPr>
              <w:t>时</w:t>
            </w:r>
            <w:r>
              <w:rPr>
                <w:rFonts w:hint="eastAsia"/>
                <w:color w:val="auto"/>
                <w:sz w:val="24"/>
                <w:szCs w:val="20"/>
                <w:highlight w:val="none"/>
                <w:u w:val="single"/>
                <w:lang w:val="en-US" w:eastAsia="zh-CN"/>
              </w:rPr>
              <w:t>30</w:t>
            </w:r>
            <w:r>
              <w:rPr>
                <w:rFonts w:hint="eastAsia" w:ascii="宋体" w:hAnsi="宋体"/>
                <w:color w:val="auto"/>
                <w:sz w:val="24"/>
                <w:szCs w:val="20"/>
                <w:highlight w:val="none"/>
              </w:rPr>
              <w:t>分</w:t>
            </w:r>
          </w:p>
        </w:tc>
      </w:tr>
      <w:tr w14:paraId="320C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5" w:hRule="atLeast"/>
          <w:jc w:val="center"/>
        </w:trPr>
        <w:tc>
          <w:tcPr>
            <w:tcW w:w="600" w:type="dxa"/>
            <w:noWrap w:val="0"/>
            <w:vAlign w:val="center"/>
          </w:tcPr>
          <w:p w14:paraId="0E63CB16">
            <w:pPr>
              <w:pStyle w:val="27"/>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455" w:type="dxa"/>
            <w:noWrap w:val="0"/>
            <w:vAlign w:val="center"/>
          </w:tcPr>
          <w:p w14:paraId="4CBB9428">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开标地点</w:t>
            </w:r>
          </w:p>
        </w:tc>
        <w:tc>
          <w:tcPr>
            <w:tcW w:w="7124" w:type="dxa"/>
            <w:noWrap w:val="0"/>
            <w:vAlign w:val="center"/>
          </w:tcPr>
          <w:p w14:paraId="253348DF">
            <w:pPr>
              <w:pStyle w:val="27"/>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firstLine="21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开标场所：</w:t>
            </w:r>
            <w:r>
              <w:rPr>
                <w:rFonts w:hint="eastAsia" w:ascii="宋体" w:hAnsi="宋体" w:eastAsia="宋体" w:cs="宋体"/>
                <w:color w:val="auto"/>
                <w:kern w:val="2"/>
                <w:sz w:val="24"/>
                <w:szCs w:val="24"/>
                <w:highlight w:val="none"/>
                <w:u w:val="single"/>
                <w:lang w:val="en-US" w:eastAsia="zh-CN" w:bidi="ar-SA"/>
              </w:rPr>
              <w:t>韶关市公共资源交易中心</w:t>
            </w:r>
            <w:r>
              <w:rPr>
                <w:rFonts w:hint="eastAsia" w:ascii="宋体" w:hAnsi="宋体" w:eastAsia="宋体" w:cs="宋体"/>
                <w:color w:val="auto"/>
                <w:kern w:val="2"/>
                <w:sz w:val="24"/>
                <w:szCs w:val="24"/>
                <w:highlight w:val="none"/>
                <w:lang w:val="en-US" w:eastAsia="zh-CN" w:bidi="ar-SA"/>
              </w:rPr>
              <w:t>，地址：</w:t>
            </w:r>
            <w:r>
              <w:rPr>
                <w:rFonts w:hint="eastAsia" w:ascii="宋体" w:hAnsi="宋体" w:eastAsia="宋体" w:cs="宋体"/>
                <w:color w:val="auto"/>
                <w:kern w:val="2"/>
                <w:sz w:val="24"/>
                <w:szCs w:val="24"/>
                <w:highlight w:val="none"/>
                <w:u w:val="single"/>
                <w:lang w:val="en-US" w:eastAsia="zh-CN" w:bidi="ar-SA"/>
              </w:rPr>
              <w:t>广东省韶关市武江区西联镇</w:t>
            </w:r>
            <w:r>
              <w:rPr>
                <w:rFonts w:hint="eastAsia" w:ascii="宋体" w:hAnsi="宋体" w:eastAsia="宋体" w:cs="宋体"/>
                <w:color w:val="auto"/>
                <w:kern w:val="2"/>
                <w:sz w:val="24"/>
                <w:szCs w:val="24"/>
                <w:highlight w:val="none"/>
                <w:lang w:val="en-US" w:eastAsia="zh-CN" w:bidi="ar-SA"/>
              </w:rPr>
              <w:t>，具体房间号以当日现场通知为准。</w:t>
            </w:r>
          </w:p>
        </w:tc>
      </w:tr>
      <w:tr w14:paraId="13DB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600" w:type="dxa"/>
            <w:noWrap w:val="0"/>
            <w:vAlign w:val="center"/>
          </w:tcPr>
          <w:p w14:paraId="1B469871">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宋体" w:hAnsi="宋体" w:eastAsia="宋体" w:cs="宋体"/>
                <w:i w:val="0"/>
                <w:caps w:val="0"/>
                <w:color w:val="auto"/>
                <w:spacing w:val="0"/>
                <w:sz w:val="24"/>
                <w:szCs w:val="24"/>
                <w:highlight w:val="none"/>
                <w:lang w:val="en-US"/>
              </w:rPr>
            </w:pPr>
            <w:r>
              <w:rPr>
                <w:rFonts w:hint="eastAsia" w:ascii="宋体" w:hAnsi="宋体" w:eastAsia="宋体" w:cs="宋体"/>
                <w:color w:val="auto"/>
                <w:kern w:val="2"/>
                <w:sz w:val="24"/>
                <w:szCs w:val="24"/>
                <w:highlight w:val="none"/>
                <w:lang w:val="en-US" w:eastAsia="zh-CN" w:bidi="ar-SA"/>
              </w:rPr>
              <w:t>11</w:t>
            </w:r>
          </w:p>
        </w:tc>
        <w:tc>
          <w:tcPr>
            <w:tcW w:w="1455" w:type="dxa"/>
            <w:noWrap w:val="0"/>
            <w:vAlign w:val="center"/>
          </w:tcPr>
          <w:p w14:paraId="2E05A177">
            <w:pPr>
              <w:pStyle w:val="88"/>
              <w:tabs>
                <w:tab w:val="left" w:pos="1890"/>
              </w:tabs>
              <w:wordWrap w:val="0"/>
              <w:adjustRightInd w:val="0"/>
              <w:snapToGrid w:val="0"/>
              <w:spacing w:line="360" w:lineRule="exact"/>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其他</w:t>
            </w:r>
          </w:p>
        </w:tc>
        <w:tc>
          <w:tcPr>
            <w:tcW w:w="7124" w:type="dxa"/>
            <w:noWrap w:val="0"/>
            <w:vAlign w:val="center"/>
          </w:tcPr>
          <w:p w14:paraId="423BA51D">
            <w:pPr>
              <w:pStyle w:val="88"/>
              <w:tabs>
                <w:tab w:val="left" w:pos="1890"/>
              </w:tabs>
              <w:wordWrap w:val="0"/>
              <w:adjustRightInd w:val="0"/>
              <w:snapToGrid w:val="0"/>
              <w:spacing w:line="400" w:lineRule="exact"/>
              <w:ind w:firstLine="240" w:firstLineChars="100"/>
              <w:jc w:val="left"/>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投标人应按有关计划时间安排办理企业CA认证、企业入库等，投标人自行下载招标文件、资料文件及招标答疑书等。若由于投标人自身原因未能及时取得上述资料的，由此发生的任何责任由投标人自负。</w:t>
            </w:r>
          </w:p>
        </w:tc>
      </w:tr>
    </w:tbl>
    <w:p w14:paraId="201A1718">
      <w:pPr>
        <w:pStyle w:val="40"/>
        <w:rPr>
          <w:color w:val="auto"/>
          <w:highlight w:val="none"/>
        </w:rPr>
        <w:sectPr>
          <w:endnotePr>
            <w:numFmt w:val="decimal"/>
          </w:endnotePr>
          <w:pgSz w:w="11906" w:h="16838"/>
          <w:pgMar w:top="1417" w:right="1417" w:bottom="1417" w:left="1417" w:header="850" w:footer="992" w:gutter="0"/>
          <w:cols w:space="0" w:num="1"/>
          <w:docGrid w:linePitch="327" w:charSpace="0"/>
        </w:sectPr>
      </w:pPr>
    </w:p>
    <w:p w14:paraId="59BCED9A">
      <w:pPr>
        <w:pStyle w:val="3"/>
        <w:keepNext w:val="0"/>
        <w:keepLines w:val="0"/>
        <w:pageBreakBefore w:val="0"/>
        <w:topLinePunct w:val="0"/>
        <w:bidi w:val="0"/>
        <w:spacing w:line="500" w:lineRule="exact"/>
        <w:textAlignment w:val="auto"/>
        <w:rPr>
          <w:b/>
          <w:bCs/>
          <w:color w:val="auto"/>
          <w:highlight w:val="none"/>
        </w:rPr>
      </w:pPr>
      <w:bookmarkStart w:id="10" w:name="_Hlt87793819"/>
      <w:bookmarkEnd w:id="10"/>
      <w:bookmarkStart w:id="11" w:name="_Toc29916"/>
      <w:bookmarkStart w:id="12" w:name="_Toc9819"/>
      <w:bookmarkStart w:id="13" w:name="_Hlt69698705"/>
      <w:bookmarkStart w:id="14" w:name="_Hlt69698754"/>
      <w:r>
        <w:rPr>
          <w:rFonts w:hint="eastAsia"/>
          <w:b/>
          <w:bCs/>
          <w:color w:val="auto"/>
          <w:highlight w:val="none"/>
        </w:rPr>
        <w:t>第三节 投标人须知</w:t>
      </w:r>
      <w:bookmarkStart w:id="15" w:name="_Hlt69669159"/>
      <w:bookmarkEnd w:id="15"/>
      <w:r>
        <w:rPr>
          <w:rFonts w:hint="eastAsia"/>
          <w:b/>
          <w:bCs/>
          <w:color w:val="auto"/>
          <w:highlight w:val="none"/>
        </w:rPr>
        <w:t>正文</w:t>
      </w:r>
      <w:bookmarkEnd w:id="11"/>
      <w:bookmarkEnd w:id="12"/>
    </w:p>
    <w:bookmarkEnd w:id="13"/>
    <w:bookmarkEnd w:id="14"/>
    <w:p w14:paraId="1CAD0699">
      <w:pPr>
        <w:pStyle w:val="9"/>
        <w:keepNext w:val="0"/>
        <w:keepLines w:val="0"/>
        <w:pageBreakBefore w:val="0"/>
        <w:widowControl w:val="0"/>
        <w:tabs>
          <w:tab w:val="left" w:pos="1890"/>
        </w:tabs>
        <w:kinsoku w:val="0"/>
        <w:wordWrap w:val="0"/>
        <w:overflowPunct w:val="0"/>
        <w:topLinePunct w:val="0"/>
        <w:autoSpaceDE w:val="0"/>
        <w:autoSpaceDN w:val="0"/>
        <w:bidi w:val="0"/>
        <w:adjustRightInd/>
        <w:snapToGrid/>
        <w:spacing w:line="5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武江区什石园村乡村振兴和人居环境整治项目</w:t>
      </w:r>
      <w:r>
        <w:rPr>
          <w:rFonts w:hint="eastAsia" w:hAnsi="宋体" w:cs="宋体"/>
          <w:b w:val="0"/>
          <w:bCs w:val="0"/>
          <w:caps w:val="0"/>
          <w:smallCaps w:val="0"/>
          <w:snapToGrid w:val="0"/>
          <w:color w:val="auto"/>
          <w:spacing w:val="0"/>
          <w:kern w:val="0"/>
          <w:sz w:val="24"/>
          <w:szCs w:val="24"/>
          <w:highlight w:val="none"/>
          <w:u w:val="single"/>
          <w:lang w:val="en-US" w:eastAsia="zh-CN"/>
        </w:rPr>
        <w:t>监理</w:t>
      </w:r>
      <w:r>
        <w:rPr>
          <w:rFonts w:hint="eastAsia" w:ascii="宋体" w:hAnsi="宋体" w:eastAsia="宋体" w:cs="宋体"/>
          <w:b w:val="0"/>
          <w:bCs w:val="0"/>
          <w:caps w:val="0"/>
          <w:smallCaps w:val="0"/>
          <w:snapToGrid w:val="0"/>
          <w:color w:val="auto"/>
          <w:spacing w:val="0"/>
          <w:kern w:val="0"/>
          <w:sz w:val="24"/>
          <w:szCs w:val="24"/>
          <w:highlight w:val="none"/>
          <w:lang w:val="en-US" w:eastAsia="zh-CN"/>
        </w:rPr>
        <w:t>经</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韶关市武江区发展和改革局</w:t>
      </w:r>
      <w:r>
        <w:rPr>
          <w:rFonts w:hint="eastAsia" w:ascii="宋体" w:hAnsi="宋体" w:eastAsia="宋体" w:cs="宋体"/>
          <w:b w:val="0"/>
          <w:bCs w:val="0"/>
          <w:caps w:val="0"/>
          <w:smallCaps w:val="0"/>
          <w:snapToGrid w:val="0"/>
          <w:color w:val="auto"/>
          <w:spacing w:val="0"/>
          <w:kern w:val="0"/>
          <w:sz w:val="24"/>
          <w:szCs w:val="24"/>
          <w:highlight w:val="none"/>
          <w:lang w:val="en-US" w:eastAsia="zh-CN"/>
        </w:rPr>
        <w:t>以</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《韶关市武江区发展和改革局关于广东省韶关市</w:t>
      </w:r>
      <w:r>
        <w:rPr>
          <w:rFonts w:hint="default" w:ascii="宋体" w:hAnsi="宋体" w:eastAsia="宋体" w:cs="宋体"/>
          <w:b w:val="0"/>
          <w:bCs w:val="0"/>
          <w:caps w:val="0"/>
          <w:smallCaps w:val="0"/>
          <w:snapToGrid w:val="0"/>
          <w:color w:val="auto"/>
          <w:spacing w:val="0"/>
          <w:kern w:val="0"/>
          <w:sz w:val="24"/>
          <w:szCs w:val="24"/>
          <w:highlight w:val="none"/>
          <w:u w:val="single"/>
          <w:lang w:val="en-US" w:eastAsia="zh-CN"/>
        </w:rPr>
        <w:t>武江区人居环境整治建设项目可行性研究报告的批复</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w:t>
      </w:r>
      <w:r>
        <w:rPr>
          <w:rFonts w:hint="eastAsia" w:ascii="宋体" w:hAnsi="宋体" w:eastAsia="宋体" w:cs="宋体"/>
          <w:b w:val="0"/>
          <w:bCs w:val="0"/>
          <w:caps w:val="0"/>
          <w:smallCaps w:val="0"/>
          <w:snapToGrid w:val="0"/>
          <w:color w:val="auto"/>
          <w:spacing w:val="0"/>
          <w:kern w:val="0"/>
          <w:sz w:val="24"/>
          <w:szCs w:val="24"/>
          <w:highlight w:val="none"/>
          <w:lang w:val="en-US" w:eastAsia="zh-CN"/>
        </w:rPr>
        <w:t>批准招标，项目批准文号为</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 xml:space="preserve"> </w:t>
      </w:r>
      <w:r>
        <w:rPr>
          <w:rFonts w:hint="default" w:ascii="宋体" w:hAnsi="宋体" w:eastAsia="宋体" w:cs="宋体"/>
          <w:b w:val="0"/>
          <w:bCs w:val="0"/>
          <w:caps w:val="0"/>
          <w:smallCaps w:val="0"/>
          <w:snapToGrid w:val="0"/>
          <w:color w:val="auto"/>
          <w:spacing w:val="0"/>
          <w:kern w:val="0"/>
          <w:sz w:val="24"/>
          <w:szCs w:val="24"/>
          <w:highlight w:val="none"/>
          <w:u w:val="single"/>
          <w:lang w:val="en-US" w:eastAsia="zh-CN"/>
        </w:rPr>
        <w:t>韶武发改投审〔2024〕76号</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w:t>
      </w:r>
      <w:r>
        <w:rPr>
          <w:rFonts w:hint="eastAsia" w:ascii="宋体" w:hAnsi="宋体" w:eastAsia="宋体" w:cs="宋体"/>
          <w:b w:val="0"/>
          <w:bCs w:val="0"/>
          <w:caps w:val="0"/>
          <w:smallCaps w:val="0"/>
          <w:snapToGrid w:val="0"/>
          <w:color w:val="auto"/>
          <w:spacing w:val="0"/>
          <w:kern w:val="0"/>
          <w:sz w:val="24"/>
          <w:szCs w:val="24"/>
          <w:highlight w:val="none"/>
          <w:lang w:val="en-US" w:eastAsia="zh-CN"/>
        </w:rPr>
        <w:t>项目代码为</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2407-440203-20-01-713624、2511-440203-20-01-848353</w:t>
      </w:r>
      <w:r>
        <w:rPr>
          <w:rFonts w:hint="eastAsia" w:ascii="宋体" w:hAnsi="宋体" w:eastAsia="宋体" w:cs="宋体"/>
          <w:b w:val="0"/>
          <w:bCs w:val="0"/>
          <w:caps w:val="0"/>
          <w:smallCaps w:val="0"/>
          <w:snapToGrid w:val="0"/>
          <w:color w:val="auto"/>
          <w:spacing w:val="0"/>
          <w:kern w:val="0"/>
          <w:sz w:val="24"/>
          <w:szCs w:val="24"/>
          <w:highlight w:val="none"/>
          <w:lang w:val="en-US" w:eastAsia="zh-CN"/>
        </w:rPr>
        <w:t>，本工程项目业主为</w:t>
      </w:r>
      <w:r>
        <w:rPr>
          <w:rFonts w:hint="eastAsia"/>
          <w:snapToGrid w:val="0"/>
          <w:color w:val="auto"/>
          <w:kern w:val="0"/>
          <w:highlight w:val="none"/>
          <w:u w:val="single"/>
          <w:lang w:eastAsia="zh-CN"/>
        </w:rPr>
        <w:t>韶关市武江区西河镇人民政府</w:t>
      </w:r>
      <w:r>
        <w:rPr>
          <w:rFonts w:hint="eastAsia" w:ascii="宋体" w:hAnsi="宋体" w:eastAsia="宋体" w:cs="宋体"/>
          <w:b w:val="0"/>
          <w:bCs w:val="0"/>
          <w:caps w:val="0"/>
          <w:smallCaps w:val="0"/>
          <w:snapToGrid w:val="0"/>
          <w:color w:val="auto"/>
          <w:spacing w:val="0"/>
          <w:kern w:val="0"/>
          <w:sz w:val="24"/>
          <w:szCs w:val="24"/>
          <w:highlight w:val="none"/>
          <w:lang w:val="en-US" w:eastAsia="zh-CN"/>
        </w:rPr>
        <w:t>，建设资金来自</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区财政统筹</w:t>
      </w:r>
      <w:r>
        <w:rPr>
          <w:rFonts w:hint="eastAsia" w:ascii="宋体" w:hAnsi="宋体" w:eastAsia="宋体" w:cs="宋体"/>
          <w:b w:val="0"/>
          <w:bCs w:val="0"/>
          <w:caps w:val="0"/>
          <w:smallCaps w:val="0"/>
          <w:snapToGrid w:val="0"/>
          <w:color w:val="auto"/>
          <w:spacing w:val="0"/>
          <w:kern w:val="0"/>
          <w:sz w:val="24"/>
          <w:szCs w:val="24"/>
          <w:highlight w:val="none"/>
          <w:lang w:val="en-US" w:eastAsia="zh-CN"/>
        </w:rPr>
        <w:t>，出资比例为</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100%</w:t>
      </w:r>
      <w:r>
        <w:rPr>
          <w:rFonts w:hint="eastAsia" w:ascii="宋体" w:hAnsi="宋体" w:eastAsia="宋体" w:cs="宋体"/>
          <w:b w:val="0"/>
          <w:bCs w:val="0"/>
          <w:caps w:val="0"/>
          <w:smallCaps w:val="0"/>
          <w:snapToGrid w:val="0"/>
          <w:color w:val="auto"/>
          <w:spacing w:val="0"/>
          <w:kern w:val="0"/>
          <w:sz w:val="24"/>
          <w:szCs w:val="24"/>
          <w:highlight w:val="none"/>
          <w:lang w:val="en-US" w:eastAsia="zh-CN"/>
        </w:rPr>
        <w:t>，招标人为</w:t>
      </w:r>
      <w:r>
        <w:rPr>
          <w:rFonts w:hint="eastAsia"/>
          <w:snapToGrid w:val="0"/>
          <w:color w:val="auto"/>
          <w:kern w:val="0"/>
          <w:highlight w:val="none"/>
          <w:u w:val="single"/>
          <w:lang w:eastAsia="zh-CN"/>
        </w:rPr>
        <w:t>韶关市武江区西河镇人民政府</w:t>
      </w:r>
      <w:r>
        <w:rPr>
          <w:rFonts w:hint="eastAsia" w:ascii="宋体" w:hAnsi="宋体" w:eastAsia="宋体" w:cs="宋体"/>
          <w:b w:val="0"/>
          <w:bCs w:val="0"/>
          <w:caps w:val="0"/>
          <w:smallCaps w:val="0"/>
          <w:snapToGrid w:val="0"/>
          <w:color w:val="auto"/>
          <w:spacing w:val="0"/>
          <w:kern w:val="0"/>
          <w:sz w:val="24"/>
          <w:szCs w:val="24"/>
          <w:highlight w:val="none"/>
          <w:lang w:val="en-US" w:eastAsia="zh-CN"/>
        </w:rPr>
        <w:t>，</w:t>
      </w:r>
      <w:r>
        <w:rPr>
          <w:rFonts w:hint="eastAsia" w:ascii="宋体" w:hAnsi="宋体" w:eastAsia="宋体" w:cs="宋体"/>
          <w:snapToGrid w:val="0"/>
          <w:color w:val="auto"/>
          <w:kern w:val="0"/>
          <w:szCs w:val="24"/>
          <w:highlight w:val="none"/>
        </w:rPr>
        <w:t>招标代理机构为</w:t>
      </w:r>
      <w:r>
        <w:rPr>
          <w:rFonts w:hint="eastAsia"/>
          <w:snapToGrid w:val="0"/>
          <w:color w:val="auto"/>
          <w:kern w:val="0"/>
          <w:highlight w:val="none"/>
          <w:u w:val="single"/>
          <w:lang w:eastAsia="zh-CN"/>
        </w:rPr>
        <w:t>韶关市星尘工程咨询有限公司</w:t>
      </w:r>
      <w:r>
        <w:rPr>
          <w:rFonts w:hint="eastAsia" w:ascii="宋体" w:hAnsi="宋体" w:eastAsia="宋体" w:cs="宋体"/>
          <w:snapToGrid w:val="0"/>
          <w:color w:val="auto"/>
          <w:kern w:val="0"/>
          <w:szCs w:val="24"/>
          <w:highlight w:val="none"/>
        </w:rPr>
        <w:t>。</w:t>
      </w:r>
      <w:r>
        <w:rPr>
          <w:rFonts w:hint="eastAsia" w:ascii="宋体" w:hAnsi="宋体" w:eastAsia="宋体" w:cs="宋体"/>
          <w:color w:val="auto"/>
          <w:kern w:val="0"/>
          <w:sz w:val="24"/>
          <w:szCs w:val="22"/>
          <w:highlight w:val="none"/>
        </w:rPr>
        <w:t>项目已具备招标条件，现对该项目</w:t>
      </w:r>
      <w:r>
        <w:rPr>
          <w:rFonts w:hint="eastAsia" w:ascii="宋体" w:hAnsi="宋体" w:eastAsia="宋体" w:cs="宋体"/>
          <w:color w:val="auto"/>
          <w:kern w:val="0"/>
          <w:sz w:val="24"/>
          <w:szCs w:val="22"/>
          <w:highlight w:val="none"/>
          <w:lang w:val="en-US" w:eastAsia="zh-CN"/>
        </w:rPr>
        <w:t>的</w:t>
      </w:r>
      <w:r>
        <w:rPr>
          <w:rFonts w:hint="eastAsia" w:hAnsi="宋体" w:cs="宋体"/>
          <w:color w:val="auto"/>
          <w:sz w:val="24"/>
          <w:szCs w:val="24"/>
          <w:highlight w:val="none"/>
          <w:u w:val="single"/>
          <w:lang w:val="en-US" w:eastAsia="zh-CN"/>
        </w:rPr>
        <w:t>监理</w:t>
      </w:r>
      <w:r>
        <w:rPr>
          <w:rFonts w:hint="eastAsia" w:ascii="宋体" w:hAnsi="宋体" w:eastAsia="宋体" w:cs="宋体"/>
          <w:color w:val="auto"/>
          <w:kern w:val="0"/>
          <w:sz w:val="24"/>
          <w:szCs w:val="22"/>
          <w:highlight w:val="none"/>
        </w:rPr>
        <w:t>进行公开招标。</w:t>
      </w:r>
    </w:p>
    <w:p w14:paraId="6E939B6A">
      <w:pPr>
        <w:pStyle w:val="88"/>
        <w:keepNext w:val="0"/>
        <w:keepLines w:val="0"/>
        <w:pageBreakBefore w:val="0"/>
        <w:wordWrap w:val="0"/>
        <w:topLinePunct w:val="0"/>
        <w:bidi w:val="0"/>
        <w:adjustRightInd w:val="0"/>
        <w:snapToGrid w:val="0"/>
        <w:spacing w:line="500" w:lineRule="exact"/>
        <w:ind w:firstLine="480"/>
        <w:jc w:val="left"/>
        <w:textAlignment w:val="auto"/>
        <w:outlineLvl w:val="2"/>
        <w:rPr>
          <w:b/>
          <w:bCs/>
          <w:snapToGrid w:val="0"/>
          <w:color w:val="auto"/>
          <w:kern w:val="0"/>
          <w:sz w:val="24"/>
          <w:highlight w:val="none"/>
        </w:rPr>
      </w:pPr>
      <w:bookmarkStart w:id="16" w:name="_Toc5851"/>
      <w:r>
        <w:rPr>
          <w:rFonts w:hint="eastAsia"/>
          <w:b/>
          <w:bCs/>
          <w:snapToGrid w:val="0"/>
          <w:color w:val="auto"/>
          <w:kern w:val="0"/>
          <w:sz w:val="24"/>
          <w:highlight w:val="none"/>
        </w:rPr>
        <w:t>1．项目概况、招标范围和标段划分、投标费用</w:t>
      </w:r>
      <w:bookmarkEnd w:id="16"/>
    </w:p>
    <w:p w14:paraId="5A9B532C">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1.1</w:t>
      </w:r>
      <w:r>
        <w:rPr>
          <w:rFonts w:hint="eastAsia" w:ascii="宋体" w:hAnsi="宋体" w:cs="宋体"/>
          <w:snapToGrid w:val="0"/>
          <w:color w:val="auto"/>
          <w:kern w:val="0"/>
          <w:sz w:val="24"/>
          <w:highlight w:val="none"/>
        </w:rPr>
        <w:t xml:space="preserve"> 项目概况</w:t>
      </w:r>
    </w:p>
    <w:p w14:paraId="457EF3D7">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1.1.1</w:t>
      </w:r>
      <w:r>
        <w:rPr>
          <w:rFonts w:hint="eastAsia" w:ascii="宋体" w:hAnsi="宋体" w:cs="宋体"/>
          <w:snapToGrid w:val="0"/>
          <w:color w:val="auto"/>
          <w:kern w:val="0"/>
          <w:sz w:val="24"/>
          <w:highlight w:val="none"/>
        </w:rPr>
        <w:t xml:space="preserve"> 建设地点：</w:t>
      </w:r>
      <w:r>
        <w:rPr>
          <w:rFonts w:hint="eastAsia" w:hAnsi="宋体" w:cs="宋体"/>
          <w:snapToGrid w:val="0"/>
          <w:color w:val="auto"/>
          <w:kern w:val="0"/>
          <w:sz w:val="24"/>
          <w:szCs w:val="24"/>
          <w:highlight w:val="none"/>
          <w:lang w:eastAsia="zh-CN"/>
        </w:rPr>
        <w:t>韶关市武江区西河镇什石园村</w:t>
      </w:r>
      <w:r>
        <w:rPr>
          <w:rFonts w:hint="eastAsia" w:hAnsi="宋体" w:eastAsia="宋体" w:cs="宋体"/>
          <w:snapToGrid w:val="0"/>
          <w:color w:val="auto"/>
          <w:kern w:val="0"/>
          <w:sz w:val="24"/>
          <w:szCs w:val="24"/>
          <w:highlight w:val="none"/>
          <w:lang w:eastAsia="zh-CN"/>
        </w:rPr>
        <w:t>。</w:t>
      </w:r>
    </w:p>
    <w:p w14:paraId="74BEFDF3">
      <w:pPr>
        <w:pStyle w:val="88"/>
        <w:keepNext w:val="0"/>
        <w:keepLines w:val="0"/>
        <w:pageBreakBefore w:val="0"/>
        <w:wordWrap w:val="0"/>
        <w:topLinePunct w:val="0"/>
        <w:bidi w:val="0"/>
        <w:adjustRightInd w:val="0"/>
        <w:snapToGrid w:val="0"/>
        <w:spacing w:line="500" w:lineRule="exact"/>
        <w:ind w:firstLine="480"/>
        <w:jc w:val="left"/>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宋体" w:hAnsi="宋体" w:cs="宋体"/>
          <w:b/>
          <w:bCs/>
          <w:snapToGrid w:val="0"/>
          <w:color w:val="auto"/>
          <w:kern w:val="0"/>
          <w:sz w:val="24"/>
          <w:highlight w:val="none"/>
          <w:lang w:val="en-US" w:eastAsia="zh-CN"/>
        </w:rPr>
        <w:t xml:space="preserve">1.1.2 </w:t>
      </w:r>
      <w:r>
        <w:rPr>
          <w:rFonts w:hint="eastAsia" w:ascii="宋体" w:hAnsi="宋体" w:cs="宋体"/>
          <w:b w:val="0"/>
          <w:bCs w:val="0"/>
          <w:snapToGrid w:val="0"/>
          <w:color w:val="auto"/>
          <w:kern w:val="0"/>
          <w:sz w:val="24"/>
          <w:highlight w:val="none"/>
          <w:lang w:val="en-US" w:eastAsia="zh-CN"/>
        </w:rPr>
        <w:t>建设内容：</w:t>
      </w:r>
      <w:r>
        <w:rPr>
          <w:rFonts w:hint="eastAsia" w:asciiTheme="minorEastAsia" w:hAnsiTheme="minorEastAsia" w:eastAsiaTheme="minorEastAsia" w:cstheme="minorEastAsia"/>
          <w:snapToGrid w:val="0"/>
          <w:color w:val="auto"/>
          <w:kern w:val="0"/>
          <w:sz w:val="24"/>
          <w:szCs w:val="24"/>
          <w:highlight w:val="none"/>
          <w:lang w:val="en-US" w:eastAsia="zh-CN"/>
        </w:rPr>
        <w:t>什石园村内道路和配套设施提升约7000平方米、给排水基础设施及排洪渠提升约2千米、房屋和围墙等修缮提升约1.5万平方米，节点提升5处，新建路灯约100盏，三线整修约8千米条，绿化提升约2000平方米，撂荒地整治约6700平方米。</w:t>
      </w:r>
    </w:p>
    <w:p w14:paraId="7FDC4FD4">
      <w:pPr>
        <w:pStyle w:val="88"/>
        <w:keepNext w:val="0"/>
        <w:keepLines w:val="0"/>
        <w:pageBreakBefore w:val="0"/>
        <w:wordWrap w:val="0"/>
        <w:topLinePunct w:val="0"/>
        <w:bidi w:val="0"/>
        <w:adjustRightInd w:val="0"/>
        <w:snapToGrid w:val="0"/>
        <w:spacing w:line="500" w:lineRule="exact"/>
        <w:ind w:firstLine="480"/>
        <w:jc w:val="left"/>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cs="宋体"/>
          <w:b/>
          <w:bCs/>
          <w:snapToGrid w:val="0"/>
          <w:color w:val="auto"/>
          <w:kern w:val="0"/>
          <w:sz w:val="24"/>
          <w:highlight w:val="none"/>
        </w:rPr>
        <w:t xml:space="preserve">1.1.3 </w:t>
      </w:r>
      <w:r>
        <w:rPr>
          <w:rFonts w:hint="eastAsia" w:ascii="宋体" w:hAnsi="宋体" w:eastAsia="宋体" w:cs="宋体"/>
          <w:snapToGrid w:val="0"/>
          <w:color w:val="auto"/>
          <w:kern w:val="0"/>
          <w:sz w:val="24"/>
          <w:szCs w:val="24"/>
          <w:highlight w:val="none"/>
          <w:lang w:val="en-US" w:eastAsia="zh-CN"/>
        </w:rPr>
        <w:t>项目总投资：</w:t>
      </w:r>
      <w:r>
        <w:rPr>
          <w:rFonts w:hint="eastAsia" w:ascii="宋体" w:hAnsi="宋体" w:cs="宋体"/>
          <w:snapToGrid w:val="0"/>
          <w:color w:val="auto"/>
          <w:kern w:val="0"/>
          <w:sz w:val="24"/>
          <w:szCs w:val="24"/>
          <w:highlight w:val="none"/>
          <w:lang w:val="en-US" w:eastAsia="zh-CN"/>
        </w:rPr>
        <w:t>本项目建安工程造价约496.98万元。</w:t>
      </w:r>
    </w:p>
    <w:p w14:paraId="737B5441">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 xml:space="preserve">1.2 </w:t>
      </w:r>
      <w:r>
        <w:rPr>
          <w:rFonts w:hint="eastAsia" w:ascii="宋体" w:hAnsi="宋体" w:cs="宋体"/>
          <w:snapToGrid w:val="0"/>
          <w:color w:val="auto"/>
          <w:kern w:val="0"/>
          <w:sz w:val="24"/>
          <w:highlight w:val="none"/>
        </w:rPr>
        <w:t>招标范围和标段划分</w:t>
      </w:r>
    </w:p>
    <w:p w14:paraId="5C8BB663">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1.2.1</w:t>
      </w:r>
      <w:r>
        <w:rPr>
          <w:rFonts w:hint="eastAsia" w:ascii="宋体" w:hAnsi="宋体" w:cs="宋体"/>
          <w:snapToGrid w:val="0"/>
          <w:color w:val="auto"/>
          <w:kern w:val="0"/>
          <w:sz w:val="24"/>
          <w:highlight w:val="none"/>
        </w:rPr>
        <w:t xml:space="preserve"> 招标范围</w:t>
      </w:r>
    </w:p>
    <w:p w14:paraId="0F812CFE">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监理：项目建设施工阶段监理（含施工准备阶段、施工阶段、工程竣工结算阶段和保修阶段监理）</w:t>
      </w:r>
    </w:p>
    <w:p w14:paraId="76AFCD12">
      <w:pPr>
        <w:keepNext w:val="0"/>
        <w:keepLines w:val="0"/>
        <w:pageBreakBefore w:val="0"/>
        <w:wordWrap w:val="0"/>
        <w:topLinePunct w:val="0"/>
        <w:bidi w:val="0"/>
        <w:adjustRightInd w:val="0"/>
        <w:snapToGrid w:val="0"/>
        <w:spacing w:line="500" w:lineRule="exact"/>
        <w:ind w:firstLine="480"/>
        <w:textAlignment w:val="auto"/>
        <w:rPr>
          <w:rFonts w:hAnsi="宋体" w:cs="宋体"/>
          <w:b/>
          <w:bCs/>
          <w:snapToGrid w:val="0"/>
          <w:color w:val="auto"/>
          <w:kern w:val="0"/>
          <w:szCs w:val="24"/>
          <w:highlight w:val="none"/>
        </w:rPr>
      </w:pPr>
      <w:r>
        <w:rPr>
          <w:rFonts w:hint="eastAsia" w:hAnsi="宋体" w:cs="宋体"/>
          <w:b/>
          <w:bCs/>
          <w:snapToGrid w:val="0"/>
          <w:color w:val="auto"/>
          <w:kern w:val="0"/>
          <w:szCs w:val="24"/>
          <w:highlight w:val="none"/>
        </w:rPr>
        <w:t>1.2.2</w:t>
      </w:r>
      <w:r>
        <w:rPr>
          <w:rFonts w:hint="eastAsia" w:hAnsi="宋体" w:cs="宋体"/>
          <w:snapToGrid w:val="0"/>
          <w:color w:val="auto"/>
          <w:kern w:val="0"/>
          <w:szCs w:val="24"/>
          <w:highlight w:val="none"/>
        </w:rPr>
        <w:t xml:space="preserve"> 标段划分：本招标项目不划分标段。</w:t>
      </w:r>
    </w:p>
    <w:p w14:paraId="5632ADE2">
      <w:pPr>
        <w:keepNext w:val="0"/>
        <w:keepLines w:val="0"/>
        <w:pageBreakBefore w:val="0"/>
        <w:wordWrap w:val="0"/>
        <w:topLinePunct w:val="0"/>
        <w:bidi w:val="0"/>
        <w:adjustRightInd w:val="0"/>
        <w:snapToGrid w:val="0"/>
        <w:spacing w:line="500" w:lineRule="exact"/>
        <w:ind w:firstLine="532" w:firstLineChars="221"/>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1.3</w:t>
      </w:r>
      <w:r>
        <w:rPr>
          <w:rFonts w:hint="eastAsia" w:hAnsi="宋体" w:cs="宋体"/>
          <w:snapToGrid w:val="0"/>
          <w:color w:val="auto"/>
          <w:kern w:val="0"/>
          <w:szCs w:val="24"/>
          <w:highlight w:val="none"/>
        </w:rPr>
        <w:t xml:space="preserve"> 投标费用：投标人应承担所有准备和参加投标的相关费用，不论投标结果如何，招标人均无义务和责任承担这些费用。</w:t>
      </w:r>
    </w:p>
    <w:p w14:paraId="6BE91A1C">
      <w:pPr>
        <w:pStyle w:val="88"/>
        <w:keepNext w:val="0"/>
        <w:keepLines w:val="0"/>
        <w:pageBreakBefore w:val="0"/>
        <w:wordWrap w:val="0"/>
        <w:topLinePunct w:val="0"/>
        <w:bidi w:val="0"/>
        <w:adjustRightInd w:val="0"/>
        <w:snapToGrid w:val="0"/>
        <w:spacing w:line="500" w:lineRule="exact"/>
        <w:ind w:firstLine="480"/>
        <w:jc w:val="left"/>
        <w:textAlignment w:val="auto"/>
        <w:outlineLvl w:val="2"/>
        <w:rPr>
          <w:rFonts w:hint="eastAsia"/>
          <w:b/>
          <w:bCs/>
          <w:snapToGrid w:val="0"/>
          <w:color w:val="auto"/>
          <w:kern w:val="0"/>
          <w:sz w:val="24"/>
          <w:highlight w:val="none"/>
        </w:rPr>
      </w:pPr>
      <w:bookmarkStart w:id="17" w:name="_Toc31795"/>
      <w:bookmarkStart w:id="18" w:name="_Toc1649"/>
      <w:r>
        <w:rPr>
          <w:rFonts w:hint="eastAsia"/>
          <w:b/>
          <w:bCs/>
          <w:snapToGrid w:val="0"/>
          <w:color w:val="auto"/>
          <w:kern w:val="0"/>
          <w:sz w:val="24"/>
          <w:highlight w:val="none"/>
        </w:rPr>
        <w:t>2．投标人资格要求</w:t>
      </w:r>
      <w:bookmarkEnd w:id="17"/>
      <w:bookmarkEnd w:id="18"/>
      <w:bookmarkStart w:id="19" w:name="_Hlt74496495"/>
      <w:bookmarkEnd w:id="19"/>
    </w:p>
    <w:p w14:paraId="229AFBAA">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2.1</w:t>
      </w:r>
      <w:r>
        <w:rPr>
          <w:rFonts w:hint="eastAsia" w:ascii="宋体" w:hAnsi="宋体" w:cs="宋体"/>
          <w:snapToGrid w:val="0"/>
          <w:color w:val="auto"/>
          <w:kern w:val="0"/>
          <w:sz w:val="24"/>
          <w:highlight w:val="none"/>
        </w:rPr>
        <w:t xml:space="preserve"> 本次招标不接受联合体投标。</w:t>
      </w:r>
    </w:p>
    <w:p w14:paraId="376870ED">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2.2</w:t>
      </w:r>
      <w:r>
        <w:rPr>
          <w:rFonts w:hint="eastAsia" w:ascii="宋体" w:hAnsi="宋体" w:cs="宋体"/>
          <w:snapToGrid w:val="0"/>
          <w:color w:val="auto"/>
          <w:kern w:val="0"/>
          <w:sz w:val="24"/>
          <w:highlight w:val="none"/>
        </w:rPr>
        <w:t xml:space="preserve"> 资格资质要求</w:t>
      </w:r>
    </w:p>
    <w:p w14:paraId="296608D7">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2.2.1</w:t>
      </w:r>
      <w:r>
        <w:rPr>
          <w:rFonts w:hint="eastAsia" w:ascii="宋体" w:hAnsi="宋体" w:cs="宋体"/>
          <w:snapToGrid w:val="0"/>
          <w:color w:val="auto"/>
          <w:kern w:val="0"/>
          <w:sz w:val="24"/>
          <w:highlight w:val="none"/>
        </w:rPr>
        <w:t xml:space="preserve"> 投标人须具备独立法人资格，按国家法律经营。</w:t>
      </w:r>
    </w:p>
    <w:p w14:paraId="3918A31D">
      <w:pPr>
        <w:keepNext w:val="0"/>
        <w:keepLines w:val="0"/>
        <w:pageBreakBefore w:val="0"/>
        <w:wordWrap w:val="0"/>
        <w:topLinePunct w:val="0"/>
        <w:bidi w:val="0"/>
        <w:adjustRightInd w:val="0"/>
        <w:snapToGrid w:val="0"/>
        <w:spacing w:line="500" w:lineRule="exact"/>
        <w:ind w:firstLine="482" w:firstLineChars="200"/>
        <w:jc w:val="left"/>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2.2.2</w:t>
      </w:r>
      <w:r>
        <w:rPr>
          <w:rFonts w:hint="eastAsia" w:hAnsi="宋体" w:cs="宋体"/>
          <w:snapToGrid w:val="0"/>
          <w:color w:val="auto"/>
          <w:kern w:val="0"/>
          <w:szCs w:val="24"/>
          <w:highlight w:val="none"/>
        </w:rPr>
        <w:t xml:space="preserve"> </w:t>
      </w:r>
      <w:r>
        <w:rPr>
          <w:rFonts w:hint="eastAsia" w:ascii="宋体" w:hAnsi="宋体" w:eastAsia="宋体" w:cs="宋体"/>
          <w:color w:val="auto"/>
          <w:szCs w:val="24"/>
          <w:highlight w:val="none"/>
        </w:rPr>
        <w:t>投标人须具备以下资质之一：①工程监理综合资质；②市政公用工程监理</w:t>
      </w:r>
      <w:r>
        <w:rPr>
          <w:rFonts w:hint="eastAsia" w:hAnsi="宋体" w:cs="宋体"/>
          <w:color w:val="auto"/>
          <w:szCs w:val="24"/>
          <w:highlight w:val="none"/>
          <w:lang w:val="en-US" w:eastAsia="zh-CN"/>
        </w:rPr>
        <w:t>乙</w:t>
      </w:r>
      <w:r>
        <w:rPr>
          <w:rFonts w:hint="eastAsia" w:ascii="宋体" w:hAnsi="宋体" w:eastAsia="宋体" w:cs="宋体"/>
          <w:color w:val="auto"/>
          <w:szCs w:val="24"/>
          <w:highlight w:val="none"/>
        </w:rPr>
        <w:t>级以上（含</w:t>
      </w:r>
      <w:r>
        <w:rPr>
          <w:rFonts w:hint="eastAsia" w:hAnsi="宋体" w:cs="宋体"/>
          <w:color w:val="auto"/>
          <w:szCs w:val="24"/>
          <w:highlight w:val="none"/>
          <w:lang w:val="en-US" w:eastAsia="zh-CN"/>
        </w:rPr>
        <w:t>乙</w:t>
      </w:r>
      <w:r>
        <w:rPr>
          <w:rFonts w:hint="eastAsia" w:ascii="宋体" w:hAnsi="宋体" w:eastAsia="宋体" w:cs="宋体"/>
          <w:color w:val="auto"/>
          <w:szCs w:val="24"/>
          <w:highlight w:val="none"/>
        </w:rPr>
        <w:t>级）资质</w:t>
      </w:r>
      <w:r>
        <w:rPr>
          <w:rFonts w:hint="eastAsia" w:hAnsi="宋体" w:cs="宋体"/>
          <w:snapToGrid w:val="0"/>
          <w:color w:val="auto"/>
          <w:kern w:val="0"/>
          <w:szCs w:val="24"/>
          <w:highlight w:val="none"/>
        </w:rPr>
        <w:t>。</w:t>
      </w:r>
    </w:p>
    <w:p w14:paraId="6AE8E91B">
      <w:pPr>
        <w:keepNext w:val="0"/>
        <w:keepLines w:val="0"/>
        <w:pageBreakBefore w:val="0"/>
        <w:wordWrap w:val="0"/>
        <w:topLinePunct w:val="0"/>
        <w:bidi w:val="0"/>
        <w:adjustRightInd w:val="0"/>
        <w:snapToGrid w:val="0"/>
        <w:spacing w:line="500" w:lineRule="exact"/>
        <w:ind w:firstLine="482" w:firstLineChars="200"/>
        <w:jc w:val="left"/>
        <w:textAlignment w:val="auto"/>
        <w:rPr>
          <w:rFonts w:hAnsi="宋体" w:cs="宋体"/>
          <w:color w:val="auto"/>
          <w:szCs w:val="24"/>
          <w:highlight w:val="none"/>
        </w:rPr>
      </w:pPr>
      <w:r>
        <w:rPr>
          <w:rFonts w:hint="eastAsia" w:hAnsi="宋体" w:cs="宋体"/>
          <w:b/>
          <w:bCs/>
          <w:snapToGrid w:val="0"/>
          <w:color w:val="auto"/>
          <w:kern w:val="0"/>
          <w:szCs w:val="24"/>
          <w:highlight w:val="none"/>
        </w:rPr>
        <w:t>2.2.3</w:t>
      </w:r>
      <w:r>
        <w:rPr>
          <w:rFonts w:hint="eastAsia" w:hAnsi="宋体" w:cs="宋体"/>
          <w:snapToGrid w:val="0"/>
          <w:color w:val="auto"/>
          <w:kern w:val="0"/>
          <w:szCs w:val="24"/>
          <w:highlight w:val="none"/>
        </w:rPr>
        <w:t xml:space="preserve"> </w:t>
      </w:r>
      <w:r>
        <w:rPr>
          <w:rFonts w:hint="eastAsia" w:hAnsi="宋体" w:cs="宋体"/>
          <w:color w:val="auto"/>
          <w:szCs w:val="24"/>
          <w:highlight w:val="none"/>
        </w:rPr>
        <w:t>投标人的企业相关证书、人员资质、资格有效期到期的，均按该证书的发证机构相关行业主管部门最新文件执行（如自动顺延或推迟办理延期业务的通知），投标人必须将相关文件附在该证书后面中，证明在开标日继续有效。</w:t>
      </w:r>
    </w:p>
    <w:p w14:paraId="53EE3233">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2.3</w:t>
      </w:r>
      <w:r>
        <w:rPr>
          <w:rFonts w:hint="eastAsia" w:ascii="宋体" w:hAnsi="宋体" w:cs="宋体"/>
          <w:snapToGrid w:val="0"/>
          <w:color w:val="auto"/>
          <w:kern w:val="0"/>
          <w:sz w:val="24"/>
          <w:highlight w:val="none"/>
        </w:rPr>
        <w:t xml:space="preserve"> 相关人员要求</w:t>
      </w:r>
    </w:p>
    <w:p w14:paraId="3BEF3E14">
      <w:pPr>
        <w:keepNext w:val="0"/>
        <w:keepLines w:val="0"/>
        <w:pageBreakBefore w:val="0"/>
        <w:wordWrap w:val="0"/>
        <w:topLinePunct w:val="0"/>
        <w:bidi w:val="0"/>
        <w:adjustRightInd w:val="0"/>
        <w:snapToGrid w:val="0"/>
        <w:spacing w:line="500" w:lineRule="exact"/>
        <w:ind w:firstLine="482" w:firstLineChars="200"/>
        <w:jc w:val="left"/>
        <w:textAlignment w:val="auto"/>
        <w:rPr>
          <w:rFonts w:hAnsi="宋体" w:cs="宋体"/>
          <w:color w:val="auto"/>
          <w:szCs w:val="24"/>
          <w:highlight w:val="none"/>
        </w:rPr>
      </w:pPr>
      <w:r>
        <w:rPr>
          <w:rFonts w:hint="eastAsia" w:ascii="宋体" w:hAnsi="宋体" w:cs="宋体"/>
          <w:b/>
          <w:bCs/>
          <w:snapToGrid w:val="0"/>
          <w:color w:val="auto"/>
          <w:kern w:val="0"/>
          <w:sz w:val="24"/>
          <w:highlight w:val="none"/>
        </w:rPr>
        <w:t>2.3.1</w:t>
      </w:r>
      <w:r>
        <w:rPr>
          <w:rFonts w:hint="eastAsia" w:ascii="宋体" w:hAnsi="宋体" w:cs="宋体"/>
          <w:snapToGrid w:val="0"/>
          <w:color w:val="auto"/>
          <w:kern w:val="0"/>
          <w:sz w:val="24"/>
          <w:highlight w:val="none"/>
        </w:rPr>
        <w:t xml:space="preserve"> </w:t>
      </w:r>
      <w:r>
        <w:rPr>
          <w:rFonts w:hint="eastAsia" w:hAnsi="宋体" w:cs="宋体"/>
          <w:color w:val="auto"/>
          <w:szCs w:val="24"/>
          <w:highlight w:val="none"/>
        </w:rPr>
        <w:t>拟派总监理工程师为市政公用工程专业注册监理工程师，应持有国家住建部印发的有效注册证书，其担任总监理工程师职务的其他在施（包括已中标未开工、已开工未竣工）建设工程项目不得超过</w:t>
      </w:r>
      <w:r>
        <w:rPr>
          <w:rFonts w:hint="eastAsia" w:hAnsi="宋体" w:cs="宋体"/>
          <w:color w:val="auto"/>
          <w:szCs w:val="24"/>
          <w:highlight w:val="none"/>
          <w:u w:val="single"/>
        </w:rPr>
        <w:t xml:space="preserve"> 2 </w:t>
      </w:r>
      <w:r>
        <w:rPr>
          <w:rFonts w:hint="eastAsia" w:hAnsi="宋体" w:cs="宋体"/>
          <w:color w:val="auto"/>
          <w:szCs w:val="24"/>
          <w:highlight w:val="none"/>
        </w:rPr>
        <w:t>个。</w:t>
      </w:r>
    </w:p>
    <w:p w14:paraId="1B937DB3">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拟派总监理工程师现阶段有担任其他在施建设工程项目总监理工程师职务的，须得到任职项目建设单位书面同意后方可担任本招标项目总监理工程师。</w:t>
      </w:r>
    </w:p>
    <w:p w14:paraId="729B3FCF">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2.3.2</w:t>
      </w:r>
      <w:r>
        <w:rPr>
          <w:rFonts w:hint="eastAsia" w:ascii="宋体" w:hAnsi="宋体" w:cs="宋体"/>
          <w:snapToGrid w:val="0"/>
          <w:color w:val="auto"/>
          <w:kern w:val="0"/>
          <w:sz w:val="24"/>
          <w:highlight w:val="none"/>
        </w:rPr>
        <w:t xml:space="preserve"> 投标人与其拟派往本项目监理机构的所有人员之间必须具备合法、唯一的劳动聘用关系。拟派人员中具备注册执业资格的，其注册单位须与投标人保持一致。</w:t>
      </w:r>
    </w:p>
    <w:p w14:paraId="51D5C150">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2.4</w:t>
      </w:r>
      <w:r>
        <w:rPr>
          <w:rFonts w:hint="eastAsia" w:ascii="宋体" w:hAnsi="宋体" w:cs="宋体"/>
          <w:snapToGrid w:val="0"/>
          <w:color w:val="auto"/>
          <w:kern w:val="0"/>
          <w:sz w:val="24"/>
          <w:highlight w:val="none"/>
        </w:rPr>
        <w:t xml:space="preserve"> 禁止投标条款</w:t>
      </w:r>
    </w:p>
    <w:p w14:paraId="7D7AD0E4">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2.4.1</w:t>
      </w:r>
      <w:r>
        <w:rPr>
          <w:rFonts w:hint="eastAsia" w:ascii="宋体" w:hAnsi="宋体" w:cs="宋体"/>
          <w:snapToGrid w:val="0"/>
          <w:color w:val="auto"/>
          <w:kern w:val="0"/>
          <w:sz w:val="24"/>
          <w:highlight w:val="none"/>
        </w:rPr>
        <w:t xml:space="preserve"> 投标人不得存在下列情形之一：</w:t>
      </w:r>
    </w:p>
    <w:p w14:paraId="23B2DC3C">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（1）为招标人不具有独立法人资格的附属机构（单位）；</w:t>
      </w:r>
    </w:p>
    <w:p w14:paraId="7B77E298">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（2）与招标人存在利害关系且可能影响招标公正性；</w:t>
      </w:r>
    </w:p>
    <w:p w14:paraId="66A8637F">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（3）与本招标项目的其他投标人为同一个单位负责人；</w:t>
      </w:r>
    </w:p>
    <w:p w14:paraId="6445557B">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（4）与本招标项目的其他投标人存在控股、管理关系；</w:t>
      </w:r>
    </w:p>
    <w:p w14:paraId="66EBD7D7">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（5）为本招标项目的代建人；</w:t>
      </w:r>
    </w:p>
    <w:p w14:paraId="2102A470">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（6）为本招标项目的招标代理机构；</w:t>
      </w:r>
    </w:p>
    <w:p w14:paraId="22A7EB6B">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（7）与本招标项目的代建人或招标代理机构同为一个法定代表人；</w:t>
      </w:r>
    </w:p>
    <w:p w14:paraId="3FC11BF5">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（8）与本招标项目的代建人或招标代理机构存在控股或参股关系；</w:t>
      </w:r>
    </w:p>
    <w:p w14:paraId="12857A0D">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（9）与本招标项目的施工承包人以及建筑材料、建筑构配件和设备供应商有隶属关系或者其他利害关系；</w:t>
      </w:r>
    </w:p>
    <w:p w14:paraId="4A6FC44A">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（10）被依法暂停或者取消投标资格；</w:t>
      </w:r>
    </w:p>
    <w:p w14:paraId="68E70B2D">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（11）被责令停产停业、暂扣或者吊销许可证、暂扣或者吊销执照；</w:t>
      </w:r>
    </w:p>
    <w:p w14:paraId="75517A3D">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（12）进入清算程序，或被宣告破产，或其他丧失履约能力的情形；</w:t>
      </w:r>
    </w:p>
    <w:p w14:paraId="40C303D7">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（13）在最近三年内发生重大监理质量问题（以相关行业主管部门的行政处罚决定或司法机关出具的有关法律文书为准）；</w:t>
      </w:r>
    </w:p>
    <w:p w14:paraId="331A83DA">
      <w:pPr>
        <w:pStyle w:val="88"/>
        <w:keepNext w:val="0"/>
        <w:keepLines w:val="0"/>
        <w:pageBreakBefore w:val="0"/>
        <w:wordWrap w:val="0"/>
        <w:topLinePunct w:val="0"/>
        <w:bidi w:val="0"/>
        <w:adjustRightInd w:val="0"/>
        <w:snapToGrid w:val="0"/>
        <w:spacing w:line="500" w:lineRule="exact"/>
        <w:ind w:firstLine="240" w:firstLineChars="10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lang w:val="en-US" w:eastAsia="zh-CN"/>
        </w:rPr>
        <w:t xml:space="preserve"> </w:t>
      </w:r>
      <w:r>
        <w:rPr>
          <w:rFonts w:hint="eastAsia" w:ascii="宋体" w:hAnsi="宋体" w:cs="宋体"/>
          <w:snapToGrid w:val="0"/>
          <w:color w:val="auto"/>
          <w:kern w:val="0"/>
          <w:sz w:val="24"/>
          <w:highlight w:val="none"/>
        </w:rPr>
        <w:t xml:space="preserve"> （14）</w:t>
      </w:r>
      <w:r>
        <w:rPr>
          <w:rFonts w:hint="eastAsia" w:ascii="宋体" w:hAnsi="宋体" w:cs="宋体"/>
          <w:color w:val="auto"/>
          <w:kern w:val="0"/>
          <w:sz w:val="24"/>
          <w:highlight w:val="none"/>
        </w:rPr>
        <w:t>被“信用中国”网站（https://www.creditchina.gov.cn）发布的《法人和非法人组织公共信用信息报告》列为严重失信主体名单的</w:t>
      </w:r>
      <w:r>
        <w:rPr>
          <w:rFonts w:hint="eastAsia" w:ascii="宋体" w:hAnsi="宋体" w:cs="宋体"/>
          <w:snapToGrid w:val="0"/>
          <w:color w:val="auto"/>
          <w:kern w:val="0"/>
          <w:sz w:val="24"/>
          <w:highlight w:val="none"/>
        </w:rPr>
        <w:t>。</w:t>
      </w:r>
    </w:p>
    <w:p w14:paraId="6D2A9BC1">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2.4.2</w:t>
      </w:r>
      <w:r>
        <w:rPr>
          <w:rFonts w:hint="eastAsia" w:ascii="宋体" w:hAnsi="宋体" w:cs="宋体"/>
          <w:snapToGrid w:val="0"/>
          <w:color w:val="auto"/>
          <w:kern w:val="0"/>
          <w:sz w:val="24"/>
          <w:highlight w:val="none"/>
        </w:rPr>
        <w:t xml:space="preserve"> 招标人拒绝以下名单中的单位参加本次投标：</w:t>
      </w:r>
    </w:p>
    <w:tbl>
      <w:tblPr>
        <w:tblStyle w:val="31"/>
        <w:tblW w:w="8205"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3646"/>
        <w:gridCol w:w="3794"/>
      </w:tblGrid>
      <w:tr w14:paraId="0655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5" w:type="dxa"/>
            <w:noWrap w:val="0"/>
            <w:vAlign w:val="center"/>
          </w:tcPr>
          <w:p w14:paraId="1EF599D5">
            <w:pPr>
              <w:keepNext w:val="0"/>
              <w:keepLines w:val="0"/>
              <w:pageBreakBefore w:val="0"/>
              <w:widowControl w:val="0"/>
              <w:tabs>
                <w:tab w:val="left" w:pos="1890"/>
              </w:tabs>
              <w:kinsoku/>
              <w:wordWrap/>
              <w:overflowPunct/>
              <w:topLinePunct w:val="0"/>
              <w:autoSpaceDE/>
              <w:autoSpaceDN/>
              <w:bidi w:val="0"/>
              <w:adjustRightInd/>
              <w:snapToGrid/>
              <w:spacing w:line="4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3646" w:type="dxa"/>
            <w:noWrap w:val="0"/>
            <w:vAlign w:val="center"/>
          </w:tcPr>
          <w:p w14:paraId="6393EFEA">
            <w:pPr>
              <w:keepNext w:val="0"/>
              <w:keepLines w:val="0"/>
              <w:pageBreakBefore w:val="0"/>
              <w:widowControl w:val="0"/>
              <w:tabs>
                <w:tab w:val="left" w:pos="1890"/>
              </w:tabs>
              <w:kinsoku/>
              <w:wordWrap/>
              <w:overflowPunct/>
              <w:topLinePunct w:val="0"/>
              <w:autoSpaceDE/>
              <w:autoSpaceDN/>
              <w:bidi w:val="0"/>
              <w:adjustRightInd/>
              <w:snapToGrid/>
              <w:spacing w:line="4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3794" w:type="dxa"/>
            <w:noWrap w:val="0"/>
            <w:vAlign w:val="center"/>
          </w:tcPr>
          <w:p w14:paraId="22BCCAF4">
            <w:pPr>
              <w:keepNext w:val="0"/>
              <w:keepLines w:val="0"/>
              <w:pageBreakBefore w:val="0"/>
              <w:widowControl w:val="0"/>
              <w:tabs>
                <w:tab w:val="left" w:pos="1890"/>
              </w:tabs>
              <w:kinsoku/>
              <w:wordWrap/>
              <w:overflowPunct/>
              <w:topLinePunct w:val="0"/>
              <w:autoSpaceDE/>
              <w:autoSpaceDN/>
              <w:bidi w:val="0"/>
              <w:adjustRightInd/>
              <w:snapToGrid/>
              <w:spacing w:line="4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2B7C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5" w:type="dxa"/>
            <w:noWrap w:val="0"/>
            <w:vAlign w:val="center"/>
          </w:tcPr>
          <w:p w14:paraId="247CC672">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w:t>
            </w:r>
          </w:p>
        </w:tc>
        <w:tc>
          <w:tcPr>
            <w:tcW w:w="3646" w:type="dxa"/>
            <w:noWrap w:val="0"/>
            <w:vAlign w:val="center"/>
          </w:tcPr>
          <w:p w14:paraId="48F92AA4">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韶关市武江区西河镇人民政府</w:t>
            </w:r>
          </w:p>
        </w:tc>
        <w:tc>
          <w:tcPr>
            <w:tcW w:w="3794" w:type="dxa"/>
            <w:noWrap w:val="0"/>
            <w:vAlign w:val="center"/>
          </w:tcPr>
          <w:p w14:paraId="1CA7E40F">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为</w:t>
            </w:r>
            <w:r>
              <w:rPr>
                <w:rFonts w:hint="eastAsia" w:ascii="宋体" w:hAnsi="宋体" w:eastAsia="宋体" w:cs="宋体"/>
                <w:color w:val="auto"/>
                <w:kern w:val="2"/>
                <w:sz w:val="24"/>
                <w:szCs w:val="24"/>
                <w:highlight w:val="none"/>
                <w:lang w:val="en-US" w:eastAsia="zh-CN" w:bidi="ar-SA"/>
              </w:rPr>
              <w:t>本项目的</w:t>
            </w:r>
            <w:r>
              <w:rPr>
                <w:rFonts w:hint="eastAsia" w:ascii="宋体" w:hAnsi="宋体" w:eastAsia="宋体" w:cs="宋体"/>
                <w:color w:val="auto"/>
                <w:sz w:val="24"/>
                <w:szCs w:val="24"/>
                <w:highlight w:val="none"/>
                <w:lang w:val="en-US" w:eastAsia="zh-CN"/>
              </w:rPr>
              <w:t>业主</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招标人</w:t>
            </w:r>
          </w:p>
        </w:tc>
      </w:tr>
      <w:tr w14:paraId="6474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5" w:type="dxa"/>
            <w:noWrap w:val="0"/>
            <w:vAlign w:val="center"/>
          </w:tcPr>
          <w:p w14:paraId="308BACF3">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2</w:t>
            </w:r>
          </w:p>
        </w:tc>
        <w:tc>
          <w:tcPr>
            <w:tcW w:w="3646" w:type="dxa"/>
            <w:noWrap w:val="0"/>
            <w:vAlign w:val="center"/>
          </w:tcPr>
          <w:p w14:paraId="2C7FB050">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snapToGrid w:val="0"/>
                <w:color w:val="auto"/>
                <w:kern w:val="0"/>
                <w:sz w:val="24"/>
                <w:highlight w:val="none"/>
                <w:lang w:eastAsia="zh-CN"/>
              </w:rPr>
              <w:t>韶关市星尘工程咨询有限公司</w:t>
            </w:r>
          </w:p>
        </w:tc>
        <w:tc>
          <w:tcPr>
            <w:tcW w:w="3794" w:type="dxa"/>
            <w:noWrap w:val="0"/>
            <w:vAlign w:val="center"/>
          </w:tcPr>
          <w:p w14:paraId="3659449E">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为本项目的招标代理机构</w:t>
            </w:r>
          </w:p>
        </w:tc>
      </w:tr>
      <w:tr w14:paraId="2648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5" w:type="dxa"/>
            <w:noWrap w:val="0"/>
            <w:vAlign w:val="center"/>
          </w:tcPr>
          <w:p w14:paraId="00828124">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3</w:t>
            </w:r>
          </w:p>
        </w:tc>
        <w:tc>
          <w:tcPr>
            <w:tcW w:w="3646" w:type="dxa"/>
            <w:noWrap w:val="0"/>
            <w:vAlign w:val="center"/>
          </w:tcPr>
          <w:p w14:paraId="76EC56A5">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世纪工程项目管理有限公司</w:t>
            </w:r>
          </w:p>
        </w:tc>
        <w:tc>
          <w:tcPr>
            <w:tcW w:w="3794" w:type="dxa"/>
            <w:noWrap w:val="0"/>
            <w:vAlign w:val="center"/>
          </w:tcPr>
          <w:p w14:paraId="7789CE8C">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为本项目的可研编制单位</w:t>
            </w:r>
          </w:p>
        </w:tc>
      </w:tr>
      <w:tr w14:paraId="358E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5" w:type="dxa"/>
            <w:noWrap w:val="0"/>
            <w:vAlign w:val="center"/>
          </w:tcPr>
          <w:p w14:paraId="618896A2">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jc w:val="center"/>
              <w:textAlignment w:val="auto"/>
              <w:rPr>
                <w:rFonts w:hint="default"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4</w:t>
            </w:r>
          </w:p>
        </w:tc>
        <w:tc>
          <w:tcPr>
            <w:tcW w:w="3646" w:type="dxa"/>
            <w:noWrap w:val="0"/>
            <w:vAlign w:val="center"/>
          </w:tcPr>
          <w:p w14:paraId="45EDE80A">
            <w:pPr>
              <w:pStyle w:val="27"/>
              <w:keepNext w:val="0"/>
              <w:keepLines w:val="0"/>
              <w:widowControl/>
              <w:suppressLineNumbers w:val="0"/>
              <w:spacing w:before="0" w:beforeAutospacing="0" w:after="0" w:afterAutospacing="0" w:line="240" w:lineRule="auto"/>
              <w:ind w:right="0" w:rightChars="0"/>
              <w:jc w:val="center"/>
              <w:textAlignment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国昇设计有限责任公司</w:t>
            </w:r>
          </w:p>
          <w:p w14:paraId="6D80ECC2">
            <w:pPr>
              <w:pStyle w:val="27"/>
              <w:keepNext w:val="0"/>
              <w:keepLines w:val="0"/>
              <w:widowControl/>
              <w:suppressLineNumbers w:val="0"/>
              <w:spacing w:before="0" w:beforeAutospacing="0" w:after="0" w:afterAutospacing="0" w:line="240" w:lineRule="auto"/>
              <w:ind w:right="0" w:rightChars="0"/>
              <w:jc w:val="center"/>
              <w:textAlignment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湖南中核岩土工程有限责任公司</w:t>
            </w:r>
          </w:p>
        </w:tc>
        <w:tc>
          <w:tcPr>
            <w:tcW w:w="3794" w:type="dxa"/>
            <w:noWrap w:val="0"/>
            <w:vAlign w:val="center"/>
          </w:tcPr>
          <w:p w14:paraId="0C8722C2">
            <w:pPr>
              <w:pStyle w:val="88"/>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为本项目的设计单位</w:t>
            </w:r>
          </w:p>
        </w:tc>
      </w:tr>
    </w:tbl>
    <w:p w14:paraId="436A391F">
      <w:pPr>
        <w:pStyle w:val="88"/>
        <w:keepNext w:val="0"/>
        <w:keepLines w:val="0"/>
        <w:pageBreakBefore w:val="0"/>
        <w:wordWrap w:val="0"/>
        <w:topLinePunct w:val="0"/>
        <w:bidi w:val="0"/>
        <w:adjustRightInd w:val="0"/>
        <w:snapToGrid w:val="0"/>
        <w:spacing w:before="120" w:beforeLines="50"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2.5</w:t>
      </w:r>
      <w:r>
        <w:rPr>
          <w:rFonts w:hint="eastAsia" w:ascii="宋体" w:hAnsi="宋体" w:cs="宋体"/>
          <w:snapToGrid w:val="0"/>
          <w:color w:val="auto"/>
          <w:kern w:val="0"/>
          <w:sz w:val="24"/>
          <w:highlight w:val="none"/>
        </w:rPr>
        <w:t xml:space="preserve"> 其他要求</w:t>
      </w:r>
    </w:p>
    <w:p w14:paraId="574A12A8">
      <w:pPr>
        <w:pStyle w:val="88"/>
        <w:keepNext w:val="0"/>
        <w:keepLines w:val="0"/>
        <w:pageBreakBefore w:val="0"/>
        <w:wordWrap w:val="0"/>
        <w:topLinePunct w:val="0"/>
        <w:bidi w:val="0"/>
        <w:adjustRightInd w:val="0"/>
        <w:snapToGrid w:val="0"/>
        <w:spacing w:line="500" w:lineRule="exact"/>
        <w:ind w:firstLine="480" w:firstLineChars="20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2A30E4C1">
      <w:pPr>
        <w:pStyle w:val="88"/>
        <w:keepNext w:val="0"/>
        <w:keepLines w:val="0"/>
        <w:pageBreakBefore w:val="0"/>
        <w:wordWrap w:val="0"/>
        <w:topLinePunct w:val="0"/>
        <w:bidi w:val="0"/>
        <w:adjustRightInd w:val="0"/>
        <w:snapToGrid w:val="0"/>
        <w:spacing w:before="120" w:beforeLines="50" w:line="500" w:lineRule="exact"/>
        <w:ind w:firstLine="482" w:firstLineChars="200"/>
        <w:jc w:val="left"/>
        <w:textAlignment w:val="auto"/>
        <w:outlineLvl w:val="2"/>
        <w:rPr>
          <w:rFonts w:ascii="宋体" w:hAnsi="宋体" w:cs="宋体"/>
          <w:b/>
          <w:bCs/>
          <w:snapToGrid w:val="0"/>
          <w:color w:val="auto"/>
          <w:kern w:val="0"/>
          <w:sz w:val="24"/>
          <w:highlight w:val="none"/>
        </w:rPr>
      </w:pPr>
      <w:bookmarkStart w:id="20" w:name="_Toc14234"/>
      <w:r>
        <w:rPr>
          <w:rFonts w:hint="eastAsia" w:ascii="宋体" w:hAnsi="宋体" w:cs="宋体"/>
          <w:b/>
          <w:bCs/>
          <w:snapToGrid w:val="0"/>
          <w:color w:val="auto"/>
          <w:kern w:val="0"/>
          <w:sz w:val="24"/>
          <w:highlight w:val="none"/>
        </w:rPr>
        <w:t>3．获取招标文件</w:t>
      </w:r>
      <w:bookmarkEnd w:id="20"/>
    </w:p>
    <w:p w14:paraId="1DF04FBD">
      <w:pPr>
        <w:pStyle w:val="88"/>
        <w:keepNext w:val="0"/>
        <w:keepLines w:val="0"/>
        <w:pageBreakBefore w:val="0"/>
        <w:wordWrap w:val="0"/>
        <w:topLinePunct w:val="0"/>
        <w:bidi w:val="0"/>
        <w:adjustRightInd w:val="0"/>
        <w:snapToGrid w:val="0"/>
        <w:spacing w:line="500" w:lineRule="exact"/>
        <w:ind w:firstLine="480" w:firstLineChars="200"/>
        <w:jc w:val="left"/>
        <w:textAlignment w:val="auto"/>
        <w:rPr>
          <w:rFonts w:ascii="宋体" w:hAnsi="宋体" w:cs="宋体"/>
          <w:color w:val="auto"/>
          <w:sz w:val="24"/>
          <w:highlight w:val="none"/>
          <w:shd w:val="clear" w:color="auto" w:fill="FFFFFF"/>
        </w:rPr>
      </w:pPr>
      <w:r>
        <w:rPr>
          <w:rFonts w:hint="eastAsia" w:ascii="宋体" w:hAnsi="宋体" w:cs="宋体"/>
          <w:snapToGrid w:val="0"/>
          <w:color w:val="auto"/>
          <w:kern w:val="0"/>
          <w:sz w:val="24"/>
          <w:highlight w:val="none"/>
        </w:rPr>
        <w:t xml:space="preserve">3.1 </w:t>
      </w:r>
      <w:r>
        <w:rPr>
          <w:rFonts w:hint="eastAsia" w:ascii="宋体" w:hAnsi="宋体" w:cs="宋体"/>
          <w:color w:val="auto"/>
          <w:sz w:val="24"/>
          <w:highlight w:val="none"/>
          <w:shd w:val="clear" w:color="auto" w:fill="FFFFFF"/>
        </w:rPr>
        <w:t xml:space="preserve">本次招标实行电子投标。本项目招标文件随招标公告一并在全国公共资源交易平台（广东省·韶关市）（https://ygp.gdzwfw.gov.cn/ggzy-portal/#/440200/index）网站发布，招标文件一经在全国公共资源交易平台（广东省·韶关市）发布，视为发送投标人，招标文件及相关附件由投标人自行在全国公共资源交易平台（广东省·韶关市）网站下载。投标人请于招标文件获取期间（见本章第二节“重要事项时间地点一览表”）登录全国公共资源交易平台（广东省·韶关市）（https://ygp.gdzwfw.gov.cn/ggzy-portal/#/440200/index）进行下载招标文件及相关附件，并于电子投标截止时间（见本章第二节“重要事项时间地点一览表”）前完成电子投标。   </w:t>
      </w:r>
    </w:p>
    <w:p w14:paraId="47326E30">
      <w:pPr>
        <w:pStyle w:val="88"/>
        <w:keepNext w:val="0"/>
        <w:keepLines w:val="0"/>
        <w:pageBreakBefore w:val="0"/>
        <w:wordWrap w:val="0"/>
        <w:topLinePunct w:val="0"/>
        <w:bidi w:val="0"/>
        <w:adjustRightInd w:val="0"/>
        <w:snapToGrid w:val="0"/>
        <w:spacing w:line="500" w:lineRule="exact"/>
        <w:ind w:firstLine="480" w:firstLineChars="200"/>
        <w:jc w:val="left"/>
        <w:textAlignment w:val="auto"/>
        <w:rPr>
          <w:rFonts w:ascii="宋体" w:hAnsi="宋体" w:cs="宋体"/>
          <w:snapToGrid w:val="0"/>
          <w:color w:val="auto"/>
          <w:kern w:val="0"/>
          <w:sz w:val="24"/>
          <w:highlight w:val="none"/>
        </w:rPr>
      </w:pPr>
      <w:r>
        <w:rPr>
          <w:rFonts w:hint="eastAsia" w:ascii="宋体" w:hAnsi="宋体" w:cs="宋体"/>
          <w:color w:val="auto"/>
          <w:sz w:val="24"/>
          <w:highlight w:val="none"/>
          <w:shd w:val="clear" w:color="auto" w:fill="FFFFFF"/>
        </w:rPr>
        <w:t>投标人可登录全国公共资源交易平台（广东省·韶关市）（https://ygp.gdzwfw.gov.cn/ggzy-portal/#/440200/index），在【服务指南】栏目中下载《韶关市公共资源建设工程交易系统-投标人操作指南》，了解网上获取招标文件操作流程。技术咨询电话：0751-8379671伍先生，业务咨询电话：0751-8633211、8633071。</w:t>
      </w:r>
    </w:p>
    <w:p w14:paraId="72C76745">
      <w:pPr>
        <w:pStyle w:val="27"/>
        <w:keepNext w:val="0"/>
        <w:keepLines w:val="0"/>
        <w:pageBreakBefore w:val="0"/>
        <w:topLinePunct w:val="0"/>
        <w:bidi w:val="0"/>
        <w:spacing w:before="0" w:beforeAutospacing="0" w:after="0" w:afterAutospacing="0" w:line="500" w:lineRule="exact"/>
        <w:ind w:firstLine="480" w:firstLineChars="200"/>
        <w:textAlignment w:val="auto"/>
        <w:rPr>
          <w:snapToGrid w:val="0"/>
          <w:color w:val="auto"/>
          <w:highlight w:val="none"/>
        </w:rPr>
      </w:pPr>
      <w:r>
        <w:rPr>
          <w:rFonts w:hint="eastAsia"/>
          <w:snapToGrid w:val="0"/>
          <w:color w:val="auto"/>
          <w:highlight w:val="none"/>
        </w:rPr>
        <w:t>3.2 只有申领了数字证书（CA）、“粤企签”或GDCA/SZCA/NETCA等符合法律法规规定的电子印章，并在交易系统中完成企业信息数据入库的投标人，方可使用建设工程交易系统进行招标文件及相关附件的获取和电子投标。首次在韶关市参与建设工程招标投标活动的投标人，必须在平台系统上传企业相关资料办理企业入库事宜。投标人可登录全国公共资源交易平台（广东省·韶关市）（https://ygp.gdzwfw.gov.cn/ggzy-portal/#/440200/index）办理企业入库、数字证书及电子印章事宜，具体请在平台查阅相应的交易指引。已入库企业有关信息（如单位名称、基本账号、资质、人员等）发生变化的，须及时在交易系统进行相应变更。投标人未及时变更信息而造成的损失和后果，由投标人自行承担。</w:t>
      </w:r>
    </w:p>
    <w:p w14:paraId="40ACF0BC">
      <w:pPr>
        <w:pStyle w:val="27"/>
        <w:keepNext w:val="0"/>
        <w:keepLines w:val="0"/>
        <w:pageBreakBefore w:val="0"/>
        <w:topLinePunct w:val="0"/>
        <w:bidi w:val="0"/>
        <w:spacing w:before="0" w:beforeAutospacing="0" w:after="0" w:afterAutospacing="0" w:line="500" w:lineRule="exact"/>
        <w:ind w:firstLine="480" w:firstLineChars="200"/>
        <w:textAlignment w:val="auto"/>
        <w:rPr>
          <w:bCs/>
          <w:color w:val="auto"/>
          <w:highlight w:val="none"/>
        </w:rPr>
      </w:pPr>
      <w:r>
        <w:rPr>
          <w:rFonts w:hint="eastAsia"/>
          <w:snapToGrid w:val="0"/>
          <w:color w:val="auto"/>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r>
        <w:rPr>
          <w:rFonts w:hint="eastAsia"/>
          <w:bCs/>
          <w:color w:val="auto"/>
          <w:highlight w:val="none"/>
        </w:rPr>
        <w:t xml:space="preserve"> </w:t>
      </w:r>
    </w:p>
    <w:p w14:paraId="3710C648">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color w:val="auto"/>
          <w:sz w:val="24"/>
          <w:highlight w:val="none"/>
          <w:shd w:val="clear" w:color="auto" w:fill="FFFFFF"/>
        </w:rPr>
      </w:pPr>
      <w:r>
        <w:rPr>
          <w:rFonts w:hint="eastAsia" w:ascii="宋体" w:hAnsi="宋体" w:cs="宋体"/>
          <w:color w:val="auto"/>
          <w:kern w:val="0"/>
          <w:sz w:val="24"/>
          <w:highlight w:val="none"/>
        </w:rPr>
        <w:t>已入库企业的有关信息（如单位名称、基本账号、资质、人员等）发生变化的，应及时在建设工程交易系统进行相应变更。投标人未及时变更而造成的损失和后果，由投标人自行承担。</w:t>
      </w:r>
    </w:p>
    <w:p w14:paraId="5349E3D5">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3.3 投标保证</w:t>
      </w:r>
    </w:p>
    <w:p w14:paraId="71FD51AC">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3.3.1 投标人须缴纳金额为人民币</w:t>
      </w:r>
      <w:r>
        <w:rPr>
          <w:rFonts w:hint="eastAsia" w:ascii="宋体" w:hAnsi="宋体" w:cs="宋体"/>
          <w:color w:val="auto"/>
          <w:sz w:val="24"/>
          <w:highlight w:val="none"/>
          <w:u w:val="single"/>
          <w:shd w:val="clear" w:color="auto" w:fill="FFFFFF"/>
          <w:lang w:val="en-US" w:eastAsia="zh-CN"/>
        </w:rPr>
        <w:t>贰仟元</w:t>
      </w:r>
      <w:r>
        <w:rPr>
          <w:rFonts w:hint="eastAsia" w:ascii="宋体" w:hAnsi="宋体" w:cs="宋体"/>
          <w:color w:val="auto"/>
          <w:sz w:val="24"/>
          <w:highlight w:val="none"/>
          <w:shd w:val="clear" w:color="auto" w:fill="FFFFFF"/>
        </w:rPr>
        <w:t xml:space="preserve">的投标保证。 </w:t>
      </w:r>
    </w:p>
    <w:p w14:paraId="081C9AA3">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3.3.2 投标保证的形式包括投标保证金、投标保证担保、投标保证保险三种，由投标人自主选择。</w:t>
      </w:r>
    </w:p>
    <w:p w14:paraId="42604924">
      <w:pPr>
        <w:keepNext w:val="0"/>
        <w:keepLines w:val="0"/>
        <w:pageBreakBefore w:val="0"/>
        <w:topLinePunct w:val="0"/>
        <w:bidi w:val="0"/>
        <w:snapToGrid w:val="0"/>
        <w:spacing w:line="500" w:lineRule="exact"/>
        <w:ind w:firstLine="480" w:firstLineChars="200"/>
        <w:textAlignment w:val="auto"/>
        <w:rPr>
          <w:rFonts w:hAnsi="宋体" w:cs="宋体"/>
          <w:color w:val="auto"/>
          <w:highlight w:val="none"/>
        </w:rPr>
      </w:pPr>
      <w:r>
        <w:rPr>
          <w:rFonts w:hint="eastAsia" w:hAnsi="宋体" w:cs="宋体"/>
          <w:color w:val="auto"/>
          <w:highlight w:val="none"/>
        </w:rPr>
        <w:t>（1）采用投标保证金的，投标人在建设工程交易系统获取招标文件完毕后，即可在系统申请缴纳投标保证金，获取本次招标投标保证金缴纳账号。投标人必须于投标保证金到账截止时间（</w:t>
      </w:r>
      <w:r>
        <w:rPr>
          <w:rFonts w:hint="eastAsia" w:hAnsi="宋体" w:cs="宋体"/>
          <w:color w:val="auto"/>
          <w:highlight w:val="none"/>
          <w:lang w:val="en-US" w:eastAsia="zh-CN"/>
        </w:rPr>
        <w:t>见</w:t>
      </w:r>
      <w:r>
        <w:rPr>
          <w:rFonts w:hint="eastAsia" w:hAnsi="宋体" w:cs="宋体"/>
          <w:color w:val="auto"/>
          <w:highlight w:val="none"/>
        </w:rPr>
        <w:t>本章第二节“重要事项时间地点一览表”）前，从其基本账户将投标保证金转账到指定的缴纳账号。逾期到账的、从非投标人基本账户转出的，其投标无效。</w:t>
      </w:r>
    </w:p>
    <w:p w14:paraId="629683DA">
      <w:pPr>
        <w:keepNext w:val="0"/>
        <w:keepLines w:val="0"/>
        <w:pageBreakBefore w:val="0"/>
        <w:topLinePunct w:val="0"/>
        <w:bidi w:val="0"/>
        <w:snapToGrid w:val="0"/>
        <w:spacing w:line="500" w:lineRule="exact"/>
        <w:ind w:firstLine="480" w:firstLineChars="200"/>
        <w:textAlignment w:val="auto"/>
        <w:rPr>
          <w:rFonts w:hAnsi="宋体" w:cs="宋体"/>
          <w:color w:val="auto"/>
          <w:highlight w:val="none"/>
        </w:rPr>
      </w:pPr>
      <w:r>
        <w:rPr>
          <w:rFonts w:hint="eastAsia" w:hAnsi="宋体" w:cs="宋体"/>
          <w:color w:val="auto"/>
          <w:highlight w:val="none"/>
        </w:rPr>
        <w:t>（2）采用投标保证担保的，投标人应提交有效的电子保函，电子保函的有效期不得短于投标有效期。投标人必须在投标保证担保截止时间（见本章第二节“重要事项时间地点一览表”）前，使用工程建设交易系统完成网上办理电子保函。</w:t>
      </w:r>
    </w:p>
    <w:p w14:paraId="63B93C12">
      <w:pPr>
        <w:keepNext w:val="0"/>
        <w:keepLines w:val="0"/>
        <w:pageBreakBefore w:val="0"/>
        <w:topLinePunct w:val="0"/>
        <w:bidi w:val="0"/>
        <w:snapToGrid w:val="0"/>
        <w:spacing w:line="500" w:lineRule="exact"/>
        <w:ind w:firstLine="480" w:firstLineChars="200"/>
        <w:textAlignment w:val="auto"/>
        <w:rPr>
          <w:rFonts w:hAnsi="宋体" w:cs="宋体"/>
          <w:color w:val="auto"/>
          <w:highlight w:val="none"/>
        </w:rPr>
      </w:pPr>
      <w:r>
        <w:rPr>
          <w:rFonts w:hint="eastAsia" w:hAnsi="宋体" w:cs="宋体"/>
          <w:color w:val="auto"/>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服务指南】栏目中下载《韶关市公共资源建设工程交易系统-投标人操作指南》，了解网上投保具体操作流程。逾期投保的，其投标无效。</w:t>
      </w:r>
    </w:p>
    <w:p w14:paraId="076D42C8">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rPr>
        <w:t>温馨提醒：投标人采用投标保证担保或投标保证保险的，为避免在评标过程中因有效期发生争议，建议投标人将银行保函或电子保单有效期设置为较招标文件规定的投标有效期</w:t>
      </w:r>
      <w:r>
        <w:rPr>
          <w:rFonts w:hint="eastAsia" w:hAnsi="宋体" w:cs="宋体"/>
          <w:color w:val="auto"/>
          <w:sz w:val="24"/>
          <w:highlight w:val="none"/>
        </w:rPr>
        <w:t>延长</w:t>
      </w:r>
      <w:r>
        <w:rPr>
          <w:rFonts w:hint="eastAsia" w:ascii="宋体" w:hAnsi="宋体" w:cs="宋体"/>
          <w:color w:val="auto"/>
          <w:sz w:val="24"/>
          <w:highlight w:val="none"/>
        </w:rPr>
        <w:t>不少于20个日历天。</w:t>
      </w:r>
    </w:p>
    <w:p w14:paraId="62BC1000">
      <w:pPr>
        <w:keepNext w:val="0"/>
        <w:keepLines w:val="0"/>
        <w:pageBreakBefore w:val="0"/>
        <w:tabs>
          <w:tab w:val="left" w:pos="7020"/>
        </w:tabs>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3.4</w:t>
      </w:r>
      <w:r>
        <w:rPr>
          <w:rFonts w:hint="eastAsia" w:hAnsi="宋体" w:cs="宋体"/>
          <w:snapToGrid w:val="0"/>
          <w:color w:val="auto"/>
          <w:kern w:val="0"/>
          <w:highlight w:val="none"/>
        </w:rPr>
        <w:t xml:space="preserve"> 若投标人因自身原因未能正确完成获取招标文件、电子投标、缴纳投标保证的，其投标无效。</w:t>
      </w:r>
    </w:p>
    <w:p w14:paraId="0034AD8F">
      <w:pPr>
        <w:keepNext w:val="0"/>
        <w:keepLines w:val="0"/>
        <w:pageBreakBefore w:val="0"/>
        <w:tabs>
          <w:tab w:val="left" w:pos="7020"/>
        </w:tabs>
        <w:wordWrap w:val="0"/>
        <w:topLinePunct w:val="0"/>
        <w:bidi w:val="0"/>
        <w:adjustRightInd w:val="0"/>
        <w:snapToGrid w:val="0"/>
        <w:spacing w:line="500" w:lineRule="exact"/>
        <w:ind w:firstLine="482" w:firstLineChars="200"/>
        <w:textAlignment w:val="auto"/>
        <w:outlineLvl w:val="2"/>
        <w:rPr>
          <w:rFonts w:hAnsi="宋体" w:cs="宋体"/>
          <w:snapToGrid w:val="0"/>
          <w:color w:val="auto"/>
          <w:kern w:val="0"/>
          <w:highlight w:val="none"/>
        </w:rPr>
      </w:pPr>
      <w:bookmarkStart w:id="21" w:name="_Toc6862"/>
      <w:r>
        <w:rPr>
          <w:rFonts w:hint="eastAsia" w:hAnsi="宋体" w:cs="宋体"/>
          <w:b/>
          <w:bCs/>
          <w:snapToGrid w:val="0"/>
          <w:color w:val="auto"/>
          <w:kern w:val="0"/>
          <w:highlight w:val="none"/>
        </w:rPr>
        <w:t>4．服务期限</w:t>
      </w:r>
      <w:bookmarkEnd w:id="21"/>
    </w:p>
    <w:p w14:paraId="222B7AA0">
      <w:pPr>
        <w:keepNext w:val="0"/>
        <w:keepLines w:val="0"/>
        <w:pageBreakBefore w:val="0"/>
        <w:tabs>
          <w:tab w:val="left" w:pos="7020"/>
        </w:tabs>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4.1</w:t>
      </w:r>
      <w:r>
        <w:rPr>
          <w:rFonts w:hint="eastAsia" w:hAnsi="宋体" w:cs="宋体"/>
          <w:snapToGrid w:val="0"/>
          <w:color w:val="auto"/>
          <w:kern w:val="0"/>
          <w:highlight w:val="none"/>
        </w:rPr>
        <w:t xml:space="preserve"> 监理：监理服务期从监理合同签订之日起计，至本工程缺陷责任保修期结束且本工程结算金额经政府主管部门审定且双方的责任义务履行完毕时止。</w:t>
      </w:r>
    </w:p>
    <w:p w14:paraId="4006A3C3">
      <w:pPr>
        <w:pStyle w:val="4"/>
        <w:keepNext w:val="0"/>
        <w:keepLines w:val="0"/>
        <w:pageBreakBefore w:val="0"/>
        <w:wordWrap w:val="0"/>
        <w:topLinePunct w:val="0"/>
        <w:autoSpaceDE/>
        <w:autoSpaceDN/>
        <w:bidi w:val="0"/>
        <w:snapToGrid w:val="0"/>
        <w:spacing w:line="500" w:lineRule="exact"/>
        <w:ind w:firstLine="480"/>
        <w:jc w:val="both"/>
        <w:textAlignment w:val="auto"/>
        <w:outlineLvl w:val="2"/>
        <w:rPr>
          <w:rFonts w:hAnsi="宋体" w:cs="宋体"/>
          <w:b/>
          <w:snapToGrid w:val="0"/>
          <w:color w:val="auto"/>
          <w:highlight w:val="none"/>
        </w:rPr>
      </w:pPr>
      <w:bookmarkStart w:id="22" w:name="_Toc10746"/>
      <w:bookmarkStart w:id="23" w:name="_Toc15565"/>
      <w:r>
        <w:rPr>
          <w:rFonts w:hint="eastAsia" w:hAnsi="宋体" w:cs="宋体"/>
          <w:b/>
          <w:snapToGrid w:val="0"/>
          <w:color w:val="auto"/>
          <w:highlight w:val="none"/>
        </w:rPr>
        <w:t>5．服务标准</w:t>
      </w:r>
      <w:bookmarkEnd w:id="22"/>
      <w:bookmarkEnd w:id="23"/>
    </w:p>
    <w:p w14:paraId="3B444BA7">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5.1</w:t>
      </w:r>
      <w:r>
        <w:rPr>
          <w:rFonts w:hint="eastAsia" w:hAnsi="宋体" w:cs="宋体"/>
          <w:snapToGrid w:val="0"/>
          <w:color w:val="auto"/>
          <w:kern w:val="0"/>
          <w:highlight w:val="none"/>
        </w:rPr>
        <w:t xml:space="preserve"> 监理：</w:t>
      </w:r>
      <w:r>
        <w:rPr>
          <w:rFonts w:hint="eastAsia" w:hAnsi="宋体" w:cs="宋体"/>
          <w:color w:val="auto"/>
          <w:szCs w:val="24"/>
          <w:highlight w:val="none"/>
        </w:rPr>
        <w:t>工程质量达到合格或以上标准。</w:t>
      </w:r>
      <w:r>
        <w:rPr>
          <w:rFonts w:hint="eastAsia" w:hAnsi="宋体" w:cs="宋体"/>
          <w:snapToGrid w:val="0"/>
          <w:color w:val="auto"/>
          <w:kern w:val="0"/>
          <w:highlight w:val="none"/>
        </w:rPr>
        <w:t xml:space="preserve"> </w:t>
      </w:r>
    </w:p>
    <w:p w14:paraId="4CCCF34C">
      <w:pPr>
        <w:pStyle w:val="4"/>
        <w:keepNext w:val="0"/>
        <w:keepLines w:val="0"/>
        <w:pageBreakBefore w:val="0"/>
        <w:wordWrap w:val="0"/>
        <w:topLinePunct w:val="0"/>
        <w:autoSpaceDE/>
        <w:autoSpaceDN/>
        <w:bidi w:val="0"/>
        <w:snapToGrid w:val="0"/>
        <w:spacing w:line="500" w:lineRule="exact"/>
        <w:ind w:firstLine="482" w:firstLineChars="200"/>
        <w:jc w:val="both"/>
        <w:textAlignment w:val="auto"/>
        <w:outlineLvl w:val="2"/>
        <w:rPr>
          <w:rFonts w:hAnsi="宋体" w:cs="宋体"/>
          <w:b/>
          <w:snapToGrid w:val="0"/>
          <w:color w:val="auto"/>
          <w:highlight w:val="none"/>
        </w:rPr>
      </w:pPr>
      <w:bookmarkStart w:id="24" w:name="_Toc32757"/>
      <w:bookmarkStart w:id="25" w:name="_Toc17907"/>
      <w:r>
        <w:rPr>
          <w:rFonts w:hint="eastAsia" w:hAnsi="宋体" w:cs="宋体"/>
          <w:b/>
          <w:snapToGrid w:val="0"/>
          <w:color w:val="auto"/>
          <w:highlight w:val="none"/>
        </w:rPr>
        <w:t>6．现场踏勘</w:t>
      </w:r>
      <w:bookmarkEnd w:id="24"/>
      <w:bookmarkEnd w:id="25"/>
    </w:p>
    <w:p w14:paraId="1F65B6C3">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6.1</w:t>
      </w:r>
      <w:r>
        <w:rPr>
          <w:rFonts w:hint="eastAsia" w:hAnsi="宋体" w:cs="宋体"/>
          <w:snapToGrid w:val="0"/>
          <w:color w:val="auto"/>
          <w:kern w:val="0"/>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50B9508E">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6.2</w:t>
      </w:r>
      <w:r>
        <w:rPr>
          <w:rFonts w:hint="eastAsia" w:hAnsi="宋体" w:cs="宋体"/>
          <w:snapToGrid w:val="0"/>
          <w:color w:val="auto"/>
          <w:kern w:val="0"/>
          <w:highlight w:val="none"/>
        </w:rPr>
        <w:t xml:space="preserve"> 在现场踏勘过程中，投标人应确保自身安全，投标人如果发生人身伤亡、财物或其他损失，法律法规有规定的按有关规定处理，没有规定的由投标人自行负责。</w:t>
      </w:r>
    </w:p>
    <w:p w14:paraId="299F308C">
      <w:pPr>
        <w:keepNext w:val="0"/>
        <w:keepLines w:val="0"/>
        <w:pageBreakBefore w:val="0"/>
        <w:wordWrap w:val="0"/>
        <w:topLinePunct w:val="0"/>
        <w:bidi w:val="0"/>
        <w:adjustRightInd w:val="0"/>
        <w:snapToGrid w:val="0"/>
        <w:spacing w:line="500" w:lineRule="exact"/>
        <w:ind w:firstLine="560"/>
        <w:textAlignment w:val="auto"/>
        <w:rPr>
          <w:rFonts w:hAnsi="宋体" w:cs="宋体"/>
          <w:b/>
          <w:snapToGrid w:val="0"/>
          <w:color w:val="auto"/>
          <w:highlight w:val="none"/>
        </w:rPr>
      </w:pPr>
      <w:r>
        <w:rPr>
          <w:rFonts w:hint="eastAsia" w:hAnsi="宋体" w:cs="宋体"/>
          <w:b/>
          <w:bCs/>
          <w:snapToGrid w:val="0"/>
          <w:color w:val="auto"/>
          <w:kern w:val="0"/>
          <w:highlight w:val="none"/>
        </w:rPr>
        <w:t>6.3</w:t>
      </w:r>
      <w:r>
        <w:rPr>
          <w:rFonts w:hint="eastAsia" w:hAnsi="宋体" w:cs="宋体"/>
          <w:snapToGrid w:val="0"/>
          <w:color w:val="auto"/>
          <w:kern w:val="0"/>
          <w:highlight w:val="none"/>
        </w:rPr>
        <w:t xml:space="preserve"> 现场踏勘期间的交通、食宿由投标人自行安排，费用自理。</w:t>
      </w:r>
    </w:p>
    <w:p w14:paraId="7ACE9C36">
      <w:pPr>
        <w:pStyle w:val="4"/>
        <w:keepNext w:val="0"/>
        <w:keepLines w:val="0"/>
        <w:pageBreakBefore w:val="0"/>
        <w:wordWrap w:val="0"/>
        <w:topLinePunct w:val="0"/>
        <w:autoSpaceDE/>
        <w:autoSpaceDN/>
        <w:bidi w:val="0"/>
        <w:snapToGrid w:val="0"/>
        <w:spacing w:line="500" w:lineRule="exact"/>
        <w:ind w:firstLine="482" w:firstLineChars="200"/>
        <w:jc w:val="both"/>
        <w:textAlignment w:val="auto"/>
        <w:outlineLvl w:val="2"/>
        <w:rPr>
          <w:rFonts w:hAnsi="宋体" w:cs="宋体"/>
          <w:b/>
          <w:snapToGrid w:val="0"/>
          <w:color w:val="auto"/>
          <w:highlight w:val="none"/>
        </w:rPr>
      </w:pPr>
      <w:bookmarkStart w:id="26" w:name="_Toc7619"/>
      <w:bookmarkStart w:id="27" w:name="_Toc8198"/>
      <w:r>
        <w:rPr>
          <w:rFonts w:hint="eastAsia" w:hAnsi="宋体" w:cs="宋体"/>
          <w:b/>
          <w:snapToGrid w:val="0"/>
          <w:color w:val="auto"/>
          <w:highlight w:val="none"/>
        </w:rPr>
        <w:t>7．招标文件的提问和答疑</w:t>
      </w:r>
      <w:bookmarkEnd w:id="26"/>
      <w:bookmarkEnd w:id="27"/>
      <w:bookmarkStart w:id="28" w:name="_Hlt74496410"/>
      <w:bookmarkEnd w:id="28"/>
    </w:p>
    <w:p w14:paraId="1498B168">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szCs w:val="24"/>
          <w:highlight w:val="none"/>
          <w:lang w:bidi="ar"/>
        </w:rPr>
      </w:pPr>
      <w:r>
        <w:rPr>
          <w:rFonts w:hint="eastAsia" w:hAnsi="宋体" w:cs="宋体"/>
          <w:b/>
          <w:bCs/>
          <w:snapToGrid w:val="0"/>
          <w:color w:val="auto"/>
          <w:kern w:val="0"/>
          <w:highlight w:val="none"/>
        </w:rPr>
        <w:t>7.1</w:t>
      </w:r>
      <w:r>
        <w:rPr>
          <w:rFonts w:hint="eastAsia" w:hAnsi="宋体" w:cs="宋体"/>
          <w:snapToGrid w:val="0"/>
          <w:color w:val="auto"/>
          <w:kern w:val="0"/>
          <w:highlight w:val="none"/>
        </w:rPr>
        <w:t xml:space="preserve"> 投标人若对招标文件有疑问，应在提问截止时间（见本章第二节“重要事项时间地点一览表”）前使用建设工程交易系统提出问题。未在指定时间前、未采用指定方式提出的，招标人不予受理</w:t>
      </w:r>
      <w:r>
        <w:rPr>
          <w:rFonts w:hint="eastAsia" w:hAnsi="宋体" w:cs="宋体"/>
          <w:snapToGrid w:val="0"/>
          <w:color w:val="auto"/>
          <w:kern w:val="0"/>
          <w:szCs w:val="24"/>
          <w:highlight w:val="none"/>
          <w:lang w:bidi="ar"/>
        </w:rPr>
        <w:t>。</w:t>
      </w:r>
    </w:p>
    <w:p w14:paraId="45D1F833">
      <w:pPr>
        <w:keepNext w:val="0"/>
        <w:keepLines w:val="0"/>
        <w:pageBreakBefore w:val="0"/>
        <w:wordWrap w:val="0"/>
        <w:topLinePunct w:val="0"/>
        <w:bidi w:val="0"/>
        <w:adjustRightInd w:val="0"/>
        <w:snapToGrid w:val="0"/>
        <w:spacing w:line="500" w:lineRule="exact"/>
        <w:ind w:firstLine="560"/>
        <w:textAlignment w:val="auto"/>
        <w:rPr>
          <w:rFonts w:hAnsi="宋体" w:cs="宋体"/>
          <w:snapToGrid w:val="0"/>
          <w:color w:val="auto"/>
          <w:kern w:val="0"/>
          <w:highlight w:val="none"/>
        </w:rPr>
      </w:pPr>
      <w:r>
        <w:rPr>
          <w:rFonts w:hint="eastAsia" w:hAnsi="宋体" w:cs="宋体"/>
          <w:b/>
          <w:bCs/>
          <w:snapToGrid w:val="0"/>
          <w:color w:val="auto"/>
          <w:kern w:val="0"/>
          <w:highlight w:val="none"/>
        </w:rPr>
        <w:t xml:space="preserve">7.2 </w:t>
      </w:r>
      <w:r>
        <w:rPr>
          <w:rFonts w:hint="eastAsia" w:hAnsi="宋体" w:cs="宋体"/>
          <w:snapToGrid w:val="0"/>
          <w:color w:val="auto"/>
          <w:kern w:val="0"/>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1BD116F7">
      <w:pPr>
        <w:keepNext w:val="0"/>
        <w:keepLines w:val="0"/>
        <w:pageBreakBefore w:val="0"/>
        <w:wordWrap w:val="0"/>
        <w:topLinePunct w:val="0"/>
        <w:bidi w:val="0"/>
        <w:adjustRightInd w:val="0"/>
        <w:snapToGrid w:val="0"/>
        <w:spacing w:line="500" w:lineRule="exact"/>
        <w:ind w:firstLine="560"/>
        <w:textAlignment w:val="auto"/>
        <w:rPr>
          <w:rFonts w:hAnsi="宋体" w:cs="宋体"/>
          <w:snapToGrid w:val="0"/>
          <w:color w:val="auto"/>
          <w:kern w:val="0"/>
          <w:highlight w:val="none"/>
        </w:rPr>
      </w:pPr>
      <w:r>
        <w:rPr>
          <w:rFonts w:hint="eastAsia" w:hAnsi="宋体" w:cs="宋体"/>
          <w:b/>
          <w:bCs/>
          <w:snapToGrid w:val="0"/>
          <w:color w:val="auto"/>
          <w:kern w:val="0"/>
          <w:highlight w:val="none"/>
        </w:rPr>
        <w:t>7.3</w:t>
      </w:r>
      <w:r>
        <w:rPr>
          <w:rFonts w:hint="eastAsia" w:hAnsi="宋体" w:cs="宋体"/>
          <w:snapToGrid w:val="0"/>
          <w:color w:val="auto"/>
          <w:kern w:val="0"/>
          <w:highlight w:val="none"/>
        </w:rPr>
        <w:t xml:space="preserve"> 招标人对招标文件所作的答疑（或修改）公告，构成招标文件的组成部分。</w:t>
      </w:r>
    </w:p>
    <w:p w14:paraId="3906303B">
      <w:pPr>
        <w:pStyle w:val="4"/>
        <w:keepNext w:val="0"/>
        <w:keepLines w:val="0"/>
        <w:pageBreakBefore w:val="0"/>
        <w:wordWrap w:val="0"/>
        <w:topLinePunct w:val="0"/>
        <w:autoSpaceDE/>
        <w:autoSpaceDN/>
        <w:bidi w:val="0"/>
        <w:snapToGrid w:val="0"/>
        <w:spacing w:line="500" w:lineRule="exact"/>
        <w:ind w:firstLine="480"/>
        <w:jc w:val="both"/>
        <w:textAlignment w:val="auto"/>
        <w:outlineLvl w:val="2"/>
        <w:rPr>
          <w:rFonts w:hAnsi="宋体" w:cs="宋体"/>
          <w:b/>
          <w:snapToGrid w:val="0"/>
          <w:color w:val="auto"/>
          <w:highlight w:val="none"/>
        </w:rPr>
      </w:pPr>
      <w:bookmarkStart w:id="29" w:name="_Hlt69699188"/>
      <w:bookmarkEnd w:id="29"/>
      <w:bookmarkStart w:id="30" w:name="_Hlt92513711"/>
      <w:bookmarkEnd w:id="30"/>
      <w:bookmarkStart w:id="31" w:name="_Hlt92513715"/>
      <w:bookmarkEnd w:id="31"/>
      <w:bookmarkStart w:id="32" w:name="_Toc23036"/>
      <w:bookmarkStart w:id="33" w:name="_Toc4159"/>
      <w:r>
        <w:rPr>
          <w:rFonts w:hint="eastAsia" w:hAnsi="宋体" w:cs="宋体"/>
          <w:b/>
          <w:snapToGrid w:val="0"/>
          <w:color w:val="auto"/>
          <w:highlight w:val="none"/>
        </w:rPr>
        <w:t>8．最高投标限价</w:t>
      </w:r>
      <w:bookmarkEnd w:id="32"/>
      <w:bookmarkEnd w:id="33"/>
    </w:p>
    <w:p w14:paraId="64DE536E">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8.1</w:t>
      </w:r>
      <w:r>
        <w:rPr>
          <w:rFonts w:hint="eastAsia" w:hAnsi="宋体" w:cs="宋体"/>
          <w:snapToGrid w:val="0"/>
          <w:color w:val="auto"/>
          <w:kern w:val="0"/>
          <w:highlight w:val="none"/>
        </w:rPr>
        <w:t xml:space="preserve"> 本招标项目参考以下依据编制最高投标限价：</w:t>
      </w:r>
    </w:p>
    <w:p w14:paraId="0983EF7F">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（1）项目</w:t>
      </w:r>
      <w:r>
        <w:rPr>
          <w:rFonts w:hint="eastAsia" w:ascii="Times New Roman"/>
          <w:snapToGrid w:val="0"/>
          <w:color w:val="auto"/>
          <w:kern w:val="0"/>
          <w:highlight w:val="none"/>
        </w:rPr>
        <w:t>概算</w:t>
      </w:r>
      <w:r>
        <w:rPr>
          <w:rFonts w:hint="eastAsia" w:hAnsi="宋体" w:cs="宋体"/>
          <w:snapToGrid w:val="0"/>
          <w:color w:val="auto"/>
          <w:kern w:val="0"/>
          <w:highlight w:val="none"/>
        </w:rPr>
        <w:t>投资额；</w:t>
      </w:r>
    </w:p>
    <w:p w14:paraId="1A9F8FD0">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（2）《建设工程监理与相关服务收费标准》；</w:t>
      </w:r>
    </w:p>
    <w:p w14:paraId="32C2B58E">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（3）监理及相关服务内容；</w:t>
      </w:r>
    </w:p>
    <w:p w14:paraId="645C97D6">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（4）施工现场情况、工程特点；</w:t>
      </w:r>
    </w:p>
    <w:p w14:paraId="0439B095">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（5）项目所在地市场价格。</w:t>
      </w:r>
    </w:p>
    <w:p w14:paraId="729BA8FC">
      <w:pPr>
        <w:pStyle w:val="40"/>
        <w:keepNext w:val="0"/>
        <w:keepLines w:val="0"/>
        <w:pageBreakBefore w:val="0"/>
        <w:topLinePunct w:val="0"/>
        <w:bidi w:val="0"/>
        <w:spacing w:line="500" w:lineRule="exact"/>
        <w:jc w:val="left"/>
        <w:textAlignment w:val="auto"/>
        <w:rPr>
          <w:rFonts w:hint="eastAsia" w:ascii="宋体" w:hAnsi="宋体" w:eastAsia="宋体" w:cs="宋体"/>
          <w:b/>
          <w:bCs/>
          <w:color w:val="auto"/>
          <w:sz w:val="24"/>
          <w:highlight w:val="none"/>
          <w:u w:val="none"/>
        </w:rPr>
      </w:pPr>
      <w:r>
        <w:rPr>
          <w:rFonts w:hint="eastAsia" w:ascii="宋体" w:hAnsi="宋体" w:cs="宋体"/>
          <w:bCs/>
          <w:snapToGrid w:val="0"/>
          <w:color w:val="auto"/>
          <w:kern w:val="0"/>
          <w:sz w:val="24"/>
          <w:highlight w:val="none"/>
        </w:rPr>
        <w:t xml:space="preserve">  </w:t>
      </w:r>
      <w:r>
        <w:rPr>
          <w:rFonts w:hint="eastAsia" w:ascii="宋体" w:hAnsi="宋体" w:cs="宋体"/>
          <w:b/>
          <w:bCs/>
          <w:snapToGrid w:val="0"/>
          <w:color w:val="auto"/>
          <w:kern w:val="0"/>
          <w:sz w:val="24"/>
          <w:highlight w:val="none"/>
          <w:u w:val="none"/>
        </w:rPr>
        <w:t xml:space="preserve"> 8.2 本次招标最高投标限价为人民币（大写）：</w:t>
      </w:r>
      <w:r>
        <w:rPr>
          <w:rFonts w:hint="eastAsia" w:ascii="宋体" w:hAnsi="宋体" w:cs="宋体"/>
          <w:b/>
          <w:bCs/>
          <w:snapToGrid w:val="0"/>
          <w:color w:val="auto"/>
          <w:kern w:val="0"/>
          <w:sz w:val="24"/>
          <w:highlight w:val="none"/>
          <w:u w:val="none"/>
          <w:lang w:val="en-US" w:eastAsia="zh-CN"/>
        </w:rPr>
        <w:t>壹拾叁万壹仟贰佰元整（小写：￥131200.00元）</w:t>
      </w:r>
      <w:r>
        <w:rPr>
          <w:rFonts w:hint="eastAsia" w:ascii="宋体" w:hAnsi="宋体" w:eastAsia="宋体" w:cs="宋体"/>
          <w:b/>
          <w:bCs/>
          <w:snapToGrid w:val="0"/>
          <w:color w:val="auto"/>
          <w:kern w:val="0"/>
          <w:sz w:val="24"/>
          <w:highlight w:val="none"/>
          <w:u w:val="none"/>
          <w:lang w:eastAsia="zh-CN"/>
        </w:rPr>
        <w:t>，监理服务费投标取费费率上限为</w:t>
      </w:r>
      <w:r>
        <w:rPr>
          <w:rFonts w:hint="eastAsia" w:ascii="宋体" w:hAnsi="宋体" w:cs="宋体"/>
          <w:b/>
          <w:bCs/>
          <w:snapToGrid w:val="0"/>
          <w:color w:val="auto"/>
          <w:kern w:val="0"/>
          <w:sz w:val="24"/>
          <w:highlight w:val="none"/>
          <w:u w:val="none"/>
          <w:lang w:val="en-US" w:eastAsia="zh-CN"/>
        </w:rPr>
        <w:t>2.640</w:t>
      </w:r>
      <w:r>
        <w:rPr>
          <w:rFonts w:hint="eastAsia" w:ascii="宋体" w:hAnsi="宋体" w:eastAsia="宋体" w:cs="宋体"/>
          <w:b/>
          <w:bCs/>
          <w:snapToGrid w:val="0"/>
          <w:color w:val="auto"/>
          <w:kern w:val="0"/>
          <w:sz w:val="24"/>
          <w:highlight w:val="none"/>
          <w:u w:val="none"/>
          <w:lang w:eastAsia="zh-CN"/>
        </w:rPr>
        <w:t>%</w:t>
      </w:r>
      <w:r>
        <w:rPr>
          <w:rFonts w:hint="eastAsia" w:ascii="宋体" w:hAnsi="宋体" w:eastAsia="宋体" w:cs="宋体"/>
          <w:b/>
          <w:bCs/>
          <w:snapToGrid w:val="0"/>
          <w:color w:val="auto"/>
          <w:kern w:val="0"/>
          <w:sz w:val="24"/>
          <w:highlight w:val="none"/>
          <w:u w:val="none"/>
        </w:rPr>
        <w:t>。</w:t>
      </w:r>
    </w:p>
    <w:p w14:paraId="08F85732">
      <w:pPr>
        <w:pStyle w:val="4"/>
        <w:keepNext w:val="0"/>
        <w:keepLines w:val="0"/>
        <w:pageBreakBefore w:val="0"/>
        <w:wordWrap w:val="0"/>
        <w:topLinePunct w:val="0"/>
        <w:autoSpaceDE/>
        <w:autoSpaceDN/>
        <w:bidi w:val="0"/>
        <w:snapToGrid w:val="0"/>
        <w:spacing w:line="500" w:lineRule="exact"/>
        <w:ind w:firstLine="482" w:firstLineChars="200"/>
        <w:jc w:val="both"/>
        <w:textAlignment w:val="auto"/>
        <w:outlineLvl w:val="2"/>
        <w:rPr>
          <w:rFonts w:hAnsi="宋体" w:cs="宋体"/>
          <w:b/>
          <w:snapToGrid w:val="0"/>
          <w:color w:val="auto"/>
          <w:highlight w:val="none"/>
        </w:rPr>
      </w:pPr>
      <w:bookmarkStart w:id="34" w:name="_Toc7437"/>
      <w:bookmarkStart w:id="35" w:name="_Toc4086"/>
      <w:r>
        <w:rPr>
          <w:rFonts w:hint="eastAsia" w:hAnsi="宋体" w:cs="宋体"/>
          <w:b/>
          <w:snapToGrid w:val="0"/>
          <w:color w:val="auto"/>
          <w:highlight w:val="none"/>
        </w:rPr>
        <w:t>9．投标报价</w:t>
      </w:r>
      <w:bookmarkEnd w:id="34"/>
      <w:bookmarkEnd w:id="35"/>
      <w:bookmarkStart w:id="36" w:name="_Hlt74498519"/>
      <w:bookmarkEnd w:id="36"/>
    </w:p>
    <w:p w14:paraId="7BFA7456">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9.1</w:t>
      </w:r>
      <w:r>
        <w:rPr>
          <w:rFonts w:hint="eastAsia" w:hAnsi="宋体" w:cs="宋体"/>
          <w:snapToGrid w:val="0"/>
          <w:color w:val="auto"/>
          <w:kern w:val="0"/>
          <w:highlight w:val="none"/>
        </w:rPr>
        <w:t xml:space="preserve"> 本次招标采用填报</w:t>
      </w:r>
      <w:r>
        <w:rPr>
          <w:rFonts w:hint="eastAsia" w:hAnsi="宋体" w:cs="宋体"/>
          <w:snapToGrid w:val="0"/>
          <w:color w:val="auto"/>
          <w:kern w:val="0"/>
          <w:highlight w:val="none"/>
          <w:u w:val="single"/>
        </w:rPr>
        <w:t xml:space="preserve"> 投标报价及取费费率 </w:t>
      </w:r>
      <w:r>
        <w:rPr>
          <w:rFonts w:hint="eastAsia" w:hAnsi="宋体" w:cs="宋体"/>
          <w:snapToGrid w:val="0"/>
          <w:color w:val="auto"/>
          <w:kern w:val="0"/>
          <w:highlight w:val="none"/>
        </w:rPr>
        <w:t>的方式进行报价。投标人应在《投标函》（格式二）中进行报价。</w:t>
      </w:r>
    </w:p>
    <w:p w14:paraId="21C89D7E">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9.2</w:t>
      </w:r>
      <w:r>
        <w:rPr>
          <w:rFonts w:hint="eastAsia" w:hAnsi="宋体" w:cs="宋体"/>
          <w:snapToGrid w:val="0"/>
          <w:color w:val="auto"/>
          <w:kern w:val="0"/>
          <w:highlight w:val="none"/>
        </w:rPr>
        <w:t xml:space="preserve"> 所有报价均以人民币“元”为单位，并保留两位小数。投标取费费率=投标总价÷建安工程费暂定价×100%，并保留</w:t>
      </w:r>
      <w:r>
        <w:rPr>
          <w:rFonts w:hint="eastAsia" w:hAnsi="宋体" w:cs="宋体"/>
          <w:snapToGrid w:val="0"/>
          <w:color w:val="auto"/>
          <w:kern w:val="0"/>
          <w:highlight w:val="none"/>
          <w:lang w:val="en-US" w:eastAsia="zh-CN"/>
        </w:rPr>
        <w:t>三</w:t>
      </w:r>
      <w:r>
        <w:rPr>
          <w:rFonts w:hint="eastAsia" w:hAnsi="宋体" w:cs="宋体"/>
          <w:snapToGrid w:val="0"/>
          <w:color w:val="auto"/>
          <w:kern w:val="0"/>
          <w:highlight w:val="none"/>
        </w:rPr>
        <w:t>位小数。</w:t>
      </w:r>
      <w:r>
        <w:rPr>
          <w:rFonts w:hint="eastAsia" w:hAnsi="宋体" w:cs="宋体"/>
          <w:b w:val="0"/>
          <w:bCs w:val="0"/>
          <w:snapToGrid w:val="0"/>
          <w:color w:val="auto"/>
          <w:kern w:val="0"/>
          <w:highlight w:val="none"/>
        </w:rPr>
        <w:t>本项目的建安工程费暂定价为人民币</w:t>
      </w:r>
      <w:r>
        <w:rPr>
          <w:rFonts w:hint="eastAsia" w:hAnsi="宋体" w:cs="宋体"/>
          <w:b w:val="0"/>
          <w:bCs w:val="0"/>
          <w:snapToGrid w:val="0"/>
          <w:color w:val="auto"/>
          <w:kern w:val="0"/>
          <w:highlight w:val="none"/>
          <w:lang w:val="en-US" w:eastAsia="zh-CN"/>
        </w:rPr>
        <w:t>496.98万元</w:t>
      </w:r>
      <w:r>
        <w:rPr>
          <w:rFonts w:hint="eastAsia" w:hAnsi="宋体" w:cs="宋体"/>
          <w:b w:val="0"/>
          <w:bCs w:val="0"/>
          <w:snapToGrid w:val="0"/>
          <w:color w:val="auto"/>
          <w:kern w:val="0"/>
          <w:highlight w:val="none"/>
        </w:rPr>
        <w:t>。</w:t>
      </w:r>
    </w:p>
    <w:p w14:paraId="1F6DB8B2">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hAnsi="宋体" w:cs="宋体"/>
          <w:b w:val="0"/>
          <w:bCs w:val="0"/>
          <w:snapToGrid w:val="0"/>
          <w:color w:val="auto"/>
          <w:kern w:val="0"/>
          <w:highlight w:val="none"/>
        </w:rPr>
      </w:pPr>
      <w:r>
        <w:rPr>
          <w:rFonts w:hint="eastAsia" w:hAnsi="宋体" w:cs="宋体"/>
          <w:b/>
          <w:bCs/>
          <w:snapToGrid w:val="0"/>
          <w:color w:val="auto"/>
          <w:kern w:val="0"/>
          <w:highlight w:val="none"/>
        </w:rPr>
        <w:t xml:space="preserve">9.3 </w:t>
      </w:r>
      <w:r>
        <w:rPr>
          <w:rFonts w:hint="eastAsia" w:hAnsi="宋体" w:cs="宋体"/>
          <w:b w:val="0"/>
          <w:bCs w:val="0"/>
          <w:snapToGrid w:val="0"/>
          <w:color w:val="auto"/>
          <w:kern w:val="0"/>
          <w:highlight w:val="none"/>
        </w:rPr>
        <w:t>监理服务费结算价在项目的合同价范围内按实结算，即：以施工</w:t>
      </w:r>
      <w:r>
        <w:rPr>
          <w:rFonts w:hint="eastAsia" w:hAnsi="宋体" w:cs="宋体"/>
          <w:b w:val="0"/>
          <w:bCs w:val="0"/>
          <w:snapToGrid w:val="0"/>
          <w:color w:val="auto"/>
          <w:kern w:val="0"/>
          <w:highlight w:val="none"/>
          <w:lang w:val="en-US" w:eastAsia="zh-CN"/>
        </w:rPr>
        <w:t>财审</w:t>
      </w:r>
      <w:r>
        <w:rPr>
          <w:rFonts w:hint="eastAsia" w:hAnsi="宋体" w:cs="宋体"/>
          <w:b w:val="0"/>
          <w:bCs w:val="0"/>
          <w:snapToGrid w:val="0"/>
          <w:color w:val="auto"/>
          <w:kern w:val="0"/>
          <w:highlight w:val="none"/>
        </w:rPr>
        <w:t>结算价为基数乘以监理人中标取费费率计算，若监理服务费结算总价超过签约合同价，则按签约合同价包干结算；若监理服务费结算总价未超过签约合同价，则按以施工结算价为基数乘以监理人中标取费费率计算的结算价进行结算。</w:t>
      </w:r>
    </w:p>
    <w:p w14:paraId="3F602751">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Ansi="宋体" w:cs="宋体"/>
          <w:snapToGrid w:val="0"/>
          <w:color w:val="auto"/>
          <w:kern w:val="0"/>
          <w:szCs w:val="24"/>
          <w:highlight w:val="none"/>
        </w:rPr>
      </w:pPr>
      <w:r>
        <w:rPr>
          <w:rFonts w:hint="eastAsia" w:ascii="宋体" w:hAnsi="宋体" w:eastAsia="宋体" w:cs="宋体"/>
          <w:b/>
          <w:bCs/>
          <w:snapToGrid w:val="0"/>
          <w:color w:val="auto"/>
          <w:kern w:val="0"/>
          <w:highlight w:val="none"/>
          <w:lang w:val="en-US" w:eastAsia="zh-CN"/>
        </w:rPr>
        <w:t>9.4</w:t>
      </w:r>
      <w:r>
        <w:rPr>
          <w:rFonts w:hint="eastAsia" w:hAnsi="宋体" w:cs="宋体"/>
          <w:snapToGrid w:val="0"/>
          <w:color w:val="auto"/>
          <w:kern w:val="0"/>
          <w:szCs w:val="24"/>
          <w:highlight w:val="none"/>
          <w:lang w:val="en-US" w:eastAsia="zh-CN"/>
        </w:rPr>
        <w:t xml:space="preserve"> </w:t>
      </w:r>
      <w:r>
        <w:rPr>
          <w:rFonts w:hint="eastAsia" w:hAnsi="宋体" w:cs="宋体"/>
          <w:snapToGrid w:val="0"/>
          <w:color w:val="auto"/>
          <w:kern w:val="0"/>
          <w:szCs w:val="24"/>
          <w:highlight w:val="none"/>
        </w:rPr>
        <w:t>投标人只允许有一个投标总价。投标总价必须同时用大、小写表示，大、小写报价应保持一致，若不一致，以大写报价为准。</w:t>
      </w:r>
    </w:p>
    <w:p w14:paraId="6368BE52">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9.</w:t>
      </w:r>
      <w:r>
        <w:rPr>
          <w:rFonts w:hint="eastAsia" w:hAnsi="宋体" w:cs="宋体"/>
          <w:b/>
          <w:bCs/>
          <w:snapToGrid w:val="0"/>
          <w:color w:val="auto"/>
          <w:kern w:val="0"/>
          <w:szCs w:val="24"/>
          <w:highlight w:val="none"/>
          <w:lang w:val="en-US" w:eastAsia="zh-CN"/>
        </w:rPr>
        <w:t xml:space="preserve">5 </w:t>
      </w:r>
      <w:r>
        <w:rPr>
          <w:rFonts w:hint="eastAsia" w:hAnsi="宋体" w:cs="宋体"/>
          <w:snapToGrid w:val="0"/>
          <w:color w:val="auto"/>
          <w:kern w:val="0"/>
          <w:szCs w:val="24"/>
          <w:highlight w:val="none"/>
        </w:rPr>
        <w:t>投标总价应包括国家规定的增值税税金。本次招标增值税税金按</w:t>
      </w:r>
      <w:r>
        <w:rPr>
          <w:rFonts w:hint="eastAsia" w:hAnsi="宋体" w:cs="宋体"/>
          <w:snapToGrid w:val="0"/>
          <w:color w:val="auto"/>
          <w:kern w:val="0"/>
          <w:szCs w:val="24"/>
          <w:highlight w:val="none"/>
          <w:u w:val="single"/>
        </w:rPr>
        <w:t xml:space="preserve"> 一般 </w:t>
      </w:r>
      <w:r>
        <w:rPr>
          <w:rFonts w:hint="eastAsia" w:hAnsi="宋体" w:cs="宋体"/>
          <w:snapToGrid w:val="0"/>
          <w:color w:val="auto"/>
          <w:kern w:val="0"/>
          <w:szCs w:val="24"/>
          <w:highlight w:val="none"/>
        </w:rPr>
        <w:t>计税方法计算。</w:t>
      </w:r>
    </w:p>
    <w:p w14:paraId="19B4E766">
      <w:pPr>
        <w:keepNext w:val="0"/>
        <w:keepLines w:val="0"/>
        <w:pageBreakBefore w:val="0"/>
        <w:wordWrap w:val="0"/>
        <w:topLinePunct w:val="0"/>
        <w:bidi w:val="0"/>
        <w:adjustRightInd w:val="0"/>
        <w:snapToGrid w:val="0"/>
        <w:spacing w:line="500" w:lineRule="exact"/>
        <w:ind w:firstLine="482" w:firstLineChars="200"/>
        <w:textAlignment w:val="auto"/>
        <w:rPr>
          <w:rFonts w:ascii="Times New Roman"/>
          <w:snapToGrid w:val="0"/>
          <w:color w:val="auto"/>
          <w:kern w:val="0"/>
          <w:highlight w:val="none"/>
        </w:rPr>
      </w:pPr>
      <w:r>
        <w:rPr>
          <w:rFonts w:hint="eastAsia" w:hAnsi="宋体" w:cs="宋体"/>
          <w:b/>
          <w:bCs/>
          <w:snapToGrid w:val="0"/>
          <w:color w:val="auto"/>
          <w:kern w:val="0"/>
          <w:szCs w:val="24"/>
          <w:highlight w:val="none"/>
        </w:rPr>
        <w:t>9.</w:t>
      </w:r>
      <w:r>
        <w:rPr>
          <w:rFonts w:hint="eastAsia" w:hAnsi="宋体" w:cs="宋体"/>
          <w:b/>
          <w:bCs/>
          <w:snapToGrid w:val="0"/>
          <w:color w:val="auto"/>
          <w:kern w:val="0"/>
          <w:szCs w:val="24"/>
          <w:highlight w:val="none"/>
          <w:lang w:val="en-US" w:eastAsia="zh-CN"/>
        </w:rPr>
        <w:t xml:space="preserve">6 </w:t>
      </w:r>
      <w:r>
        <w:rPr>
          <w:rFonts w:hint="eastAsia" w:ascii="Times New Roman"/>
          <w:snapToGrid w:val="0"/>
          <w:color w:val="auto"/>
          <w:kern w:val="0"/>
          <w:highlight w:val="none"/>
        </w:rPr>
        <w:t>投标总价不得高于最高投标限价，也不得低于成本。</w:t>
      </w:r>
    </w:p>
    <w:p w14:paraId="10121C54">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b/>
          <w:snapToGrid w:val="0"/>
          <w:color w:val="auto"/>
          <w:szCs w:val="24"/>
          <w:highlight w:val="none"/>
        </w:rPr>
      </w:pPr>
      <w:r>
        <w:rPr>
          <w:rFonts w:hint="eastAsia" w:hAnsi="宋体" w:cs="宋体"/>
          <w:b/>
          <w:bCs/>
          <w:snapToGrid w:val="0"/>
          <w:color w:val="auto"/>
          <w:kern w:val="0"/>
          <w:szCs w:val="24"/>
          <w:highlight w:val="none"/>
        </w:rPr>
        <w:t>9.</w:t>
      </w:r>
      <w:r>
        <w:rPr>
          <w:rFonts w:hint="eastAsia" w:hAnsi="宋体" w:cs="宋体"/>
          <w:b/>
          <w:bCs/>
          <w:snapToGrid w:val="0"/>
          <w:color w:val="auto"/>
          <w:kern w:val="0"/>
          <w:szCs w:val="24"/>
          <w:highlight w:val="none"/>
          <w:lang w:val="en-US" w:eastAsia="zh-CN"/>
        </w:rPr>
        <w:t xml:space="preserve">7 </w:t>
      </w:r>
      <w:r>
        <w:rPr>
          <w:rFonts w:hint="eastAsia" w:hAnsi="宋体" w:cs="宋体"/>
          <w:snapToGrid w:val="0"/>
          <w:color w:val="auto"/>
          <w:kern w:val="0"/>
          <w:szCs w:val="24"/>
          <w:highlight w:val="none"/>
        </w:rPr>
        <w:t>投标人应充分了解招标项目的总体情况以及影响投标报价的其他要素。</w:t>
      </w:r>
      <w:bookmarkStart w:id="37" w:name="_（十）投标文件的编制、包装、密封"/>
      <w:bookmarkEnd w:id="37"/>
    </w:p>
    <w:p w14:paraId="182D9B17">
      <w:pPr>
        <w:pStyle w:val="4"/>
        <w:keepNext w:val="0"/>
        <w:keepLines w:val="0"/>
        <w:pageBreakBefore w:val="0"/>
        <w:wordWrap w:val="0"/>
        <w:topLinePunct w:val="0"/>
        <w:autoSpaceDE/>
        <w:autoSpaceDN/>
        <w:bidi w:val="0"/>
        <w:snapToGrid w:val="0"/>
        <w:spacing w:line="500" w:lineRule="exact"/>
        <w:ind w:firstLine="480"/>
        <w:jc w:val="both"/>
        <w:textAlignment w:val="auto"/>
        <w:outlineLvl w:val="2"/>
        <w:rPr>
          <w:rFonts w:hAnsi="宋体" w:cs="宋体"/>
          <w:b/>
          <w:strike/>
          <w:snapToGrid w:val="0"/>
          <w:color w:val="auto"/>
          <w:szCs w:val="24"/>
          <w:highlight w:val="none"/>
        </w:rPr>
      </w:pPr>
      <w:bookmarkStart w:id="38" w:name="_Toc684"/>
      <w:bookmarkStart w:id="39" w:name="_Toc31873"/>
      <w:r>
        <w:rPr>
          <w:rFonts w:hint="eastAsia" w:hAnsi="宋体" w:cs="宋体"/>
          <w:b/>
          <w:snapToGrid w:val="0"/>
          <w:color w:val="auto"/>
          <w:szCs w:val="24"/>
          <w:highlight w:val="none"/>
        </w:rPr>
        <w:t>10．投标文件的编制</w:t>
      </w:r>
      <w:bookmarkStart w:id="40" w:name="_Hlt69208262"/>
      <w:bookmarkEnd w:id="40"/>
      <w:bookmarkStart w:id="41" w:name="_Hlt69332370"/>
      <w:bookmarkEnd w:id="41"/>
      <w:r>
        <w:rPr>
          <w:rFonts w:hint="eastAsia" w:hAnsi="宋体" w:cs="宋体"/>
          <w:b/>
          <w:snapToGrid w:val="0"/>
          <w:color w:val="auto"/>
          <w:szCs w:val="24"/>
          <w:highlight w:val="none"/>
        </w:rPr>
        <w:t>要求</w:t>
      </w:r>
      <w:bookmarkEnd w:id="38"/>
      <w:bookmarkEnd w:id="39"/>
      <w:bookmarkStart w:id="42" w:name="_Hlt74495594"/>
      <w:bookmarkEnd w:id="42"/>
      <w:bookmarkStart w:id="43" w:name="_Hlt74497202"/>
      <w:bookmarkEnd w:id="43"/>
      <w:bookmarkStart w:id="44" w:name="_Hlt78768224"/>
      <w:bookmarkEnd w:id="44"/>
    </w:p>
    <w:p w14:paraId="41A66317">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b/>
          <w:snapToGrid w:val="0"/>
          <w:color w:val="auto"/>
          <w:kern w:val="0"/>
          <w:szCs w:val="24"/>
          <w:highlight w:val="none"/>
        </w:rPr>
      </w:pPr>
      <w:r>
        <w:rPr>
          <w:rFonts w:hint="eastAsia" w:hAnsi="宋体" w:cs="宋体"/>
          <w:b/>
          <w:bCs/>
          <w:snapToGrid w:val="0"/>
          <w:color w:val="auto"/>
          <w:kern w:val="0"/>
          <w:szCs w:val="24"/>
          <w:highlight w:val="none"/>
        </w:rPr>
        <w:t>10.1</w:t>
      </w:r>
      <w:r>
        <w:rPr>
          <w:rFonts w:hint="eastAsia" w:hAnsi="宋体" w:cs="宋体"/>
          <w:bCs/>
          <w:snapToGrid w:val="0"/>
          <w:color w:val="auto"/>
          <w:kern w:val="0"/>
          <w:szCs w:val="24"/>
          <w:highlight w:val="none"/>
        </w:rPr>
        <w:t xml:space="preserve"> 一般要求</w:t>
      </w:r>
    </w:p>
    <w:p w14:paraId="35DD415F">
      <w:pPr>
        <w:pStyle w:val="11"/>
        <w:keepNext w:val="0"/>
        <w:keepLines w:val="0"/>
        <w:pageBreakBefore w:val="0"/>
        <w:wordWrap w:val="0"/>
        <w:topLinePunct w:val="0"/>
        <w:bidi w:val="0"/>
        <w:adjustRightInd w:val="0"/>
        <w:snapToGrid w:val="0"/>
        <w:spacing w:line="500" w:lineRule="exact"/>
        <w:ind w:firstLineChars="0"/>
        <w:textAlignment w:val="auto"/>
        <w:rPr>
          <w:rFonts w:hAnsi="宋体" w:cs="宋体"/>
          <w:snapToGrid w:val="0"/>
          <w:color w:val="auto"/>
          <w:kern w:val="0"/>
          <w:szCs w:val="24"/>
          <w:highlight w:val="none"/>
        </w:rPr>
      </w:pPr>
      <w:bookmarkStart w:id="45" w:name="_Hlt74496890"/>
      <w:bookmarkEnd w:id="45"/>
      <w:r>
        <w:rPr>
          <w:rFonts w:hint="eastAsia" w:hAnsi="宋体" w:cs="宋体"/>
          <w:snapToGrid w:val="0"/>
          <w:color w:val="auto"/>
          <w:kern w:val="0"/>
          <w:szCs w:val="24"/>
          <w:highlight w:val="none"/>
        </w:rPr>
        <w:t>投标文件应按第五章 投标文件格式规定的内容，投标人提交的投标文件应当使用招标文件所提供的投标文件全部格式。</w:t>
      </w:r>
    </w:p>
    <w:p w14:paraId="467E50B9">
      <w:pPr>
        <w:pStyle w:val="11"/>
        <w:keepNext w:val="0"/>
        <w:keepLines w:val="0"/>
        <w:pageBreakBefore w:val="0"/>
        <w:wordWrap w:val="0"/>
        <w:topLinePunct w:val="0"/>
        <w:bidi w:val="0"/>
        <w:adjustRightInd w:val="0"/>
        <w:snapToGrid w:val="0"/>
        <w:spacing w:line="500" w:lineRule="exact"/>
        <w:ind w:firstLineChars="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10.1.1</w:t>
      </w:r>
      <w:r>
        <w:rPr>
          <w:rFonts w:hint="eastAsia" w:hAnsi="宋体" w:cs="宋体"/>
          <w:snapToGrid w:val="0"/>
          <w:color w:val="auto"/>
          <w:kern w:val="0"/>
          <w:szCs w:val="24"/>
          <w:highlight w:val="none"/>
        </w:rPr>
        <w:t>投标人必须响应招标文件，并在充分理解招标文件的基础上编制投标文件。因投标文件不符合招标文件的要求而造成的损失和后果，由投标人自行承担。</w:t>
      </w:r>
    </w:p>
    <w:p w14:paraId="59E34259">
      <w:pPr>
        <w:pStyle w:val="11"/>
        <w:keepNext w:val="0"/>
        <w:keepLines w:val="0"/>
        <w:pageBreakBefore w:val="0"/>
        <w:wordWrap w:val="0"/>
        <w:topLinePunct w:val="0"/>
        <w:bidi w:val="0"/>
        <w:adjustRightInd w:val="0"/>
        <w:snapToGrid w:val="0"/>
        <w:spacing w:line="500" w:lineRule="exact"/>
        <w:ind w:firstLineChars="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10.1.2</w:t>
      </w:r>
      <w:r>
        <w:rPr>
          <w:rFonts w:hint="eastAsia" w:hAnsi="宋体" w:cs="宋体"/>
          <w:snapToGrid w:val="0"/>
          <w:color w:val="auto"/>
          <w:kern w:val="0"/>
          <w:szCs w:val="24"/>
          <w:highlight w:val="none"/>
        </w:rPr>
        <w:t xml:space="preserve"> 投标文件包括商务标书、监理大纲</w:t>
      </w:r>
      <w:r>
        <w:rPr>
          <w:rFonts w:hint="eastAsia" w:hAnsi="宋体" w:cs="宋体"/>
          <w:snapToGrid w:val="0"/>
          <w:color w:val="auto"/>
          <w:kern w:val="0"/>
          <w:szCs w:val="24"/>
          <w:highlight w:val="none"/>
          <w:lang w:eastAsia="zh-CN"/>
        </w:rPr>
        <w:t>、</w:t>
      </w:r>
      <w:r>
        <w:rPr>
          <w:rFonts w:hint="eastAsia" w:hAnsi="宋体" w:cs="宋体"/>
          <w:snapToGrid w:val="0"/>
          <w:color w:val="auto"/>
          <w:kern w:val="0"/>
          <w:szCs w:val="24"/>
          <w:highlight w:val="none"/>
          <w:lang w:val="en-US" w:eastAsia="zh-CN"/>
        </w:rPr>
        <w:t>定标文件三</w:t>
      </w:r>
      <w:r>
        <w:rPr>
          <w:rFonts w:hint="eastAsia" w:hAnsi="宋体" w:cs="宋体"/>
          <w:snapToGrid w:val="0"/>
          <w:color w:val="auto"/>
          <w:kern w:val="0"/>
          <w:szCs w:val="24"/>
          <w:highlight w:val="none"/>
        </w:rPr>
        <w:t>个分册。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韶关市公共资源建设工程交易系统-投标人操作指南》。</w:t>
      </w:r>
    </w:p>
    <w:p w14:paraId="3D5A4502">
      <w:pPr>
        <w:pStyle w:val="11"/>
        <w:keepNext w:val="0"/>
        <w:keepLines w:val="0"/>
        <w:pageBreakBefore w:val="0"/>
        <w:wordWrap w:val="0"/>
        <w:topLinePunct w:val="0"/>
        <w:bidi w:val="0"/>
        <w:adjustRightInd w:val="0"/>
        <w:snapToGrid w:val="0"/>
        <w:spacing w:line="500" w:lineRule="exact"/>
        <w:ind w:firstLineChars="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10.1.3</w:t>
      </w:r>
      <w:r>
        <w:rPr>
          <w:rFonts w:hint="eastAsia" w:hAnsi="宋体" w:cs="宋体"/>
          <w:snapToGrid w:val="0"/>
          <w:color w:val="auto"/>
          <w:kern w:val="0"/>
          <w:szCs w:val="24"/>
          <w:highlight w:val="none"/>
        </w:rPr>
        <w:t xml:space="preserve"> 投标文件需按以下要求签字、盖章：</w:t>
      </w:r>
    </w:p>
    <w:p w14:paraId="756F2778">
      <w:pPr>
        <w:pStyle w:val="11"/>
        <w:keepNext w:val="0"/>
        <w:keepLines w:val="0"/>
        <w:pageBreakBefore w:val="0"/>
        <w:wordWrap w:val="0"/>
        <w:topLinePunct w:val="0"/>
        <w:bidi w:val="0"/>
        <w:adjustRightInd w:val="0"/>
        <w:snapToGrid w:val="0"/>
        <w:spacing w:line="500" w:lineRule="exact"/>
        <w:ind w:firstLineChars="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10.1.3.1</w:t>
      </w:r>
      <w:r>
        <w:rPr>
          <w:rFonts w:hint="eastAsia" w:hAnsi="宋体" w:cs="宋体"/>
          <w:snapToGrid w:val="0"/>
          <w:color w:val="auto"/>
          <w:kern w:val="0"/>
          <w:szCs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0FB42055">
      <w:pPr>
        <w:pStyle w:val="11"/>
        <w:keepNext w:val="0"/>
        <w:keepLines w:val="0"/>
        <w:pageBreakBefore w:val="0"/>
        <w:wordWrap w:val="0"/>
        <w:topLinePunct w:val="0"/>
        <w:bidi w:val="0"/>
        <w:adjustRightInd w:val="0"/>
        <w:snapToGrid w:val="0"/>
        <w:spacing w:line="500" w:lineRule="exact"/>
        <w:ind w:firstLineChars="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10.1.3.2</w:t>
      </w:r>
      <w:r>
        <w:rPr>
          <w:rFonts w:hint="eastAsia" w:hAnsi="宋体" w:cs="宋体"/>
          <w:snapToGrid w:val="0"/>
          <w:color w:val="auto"/>
          <w:kern w:val="0"/>
          <w:szCs w:val="24"/>
          <w:highlight w:val="none"/>
        </w:rPr>
        <w:t xml:space="preserve"> 投标文件封套、封面、组成内容中凡要求录入投标人名称且注明“盖单位章”处盖单位法人公章（电子印章）。</w:t>
      </w:r>
    </w:p>
    <w:p w14:paraId="02444178">
      <w:pPr>
        <w:pStyle w:val="11"/>
        <w:keepNext w:val="0"/>
        <w:keepLines w:val="0"/>
        <w:pageBreakBefore w:val="0"/>
        <w:wordWrap w:val="0"/>
        <w:topLinePunct w:val="0"/>
        <w:bidi w:val="0"/>
        <w:adjustRightInd w:val="0"/>
        <w:snapToGrid w:val="0"/>
        <w:spacing w:line="500" w:lineRule="exact"/>
        <w:ind w:firstLineChars="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10.1.3.3</w:t>
      </w:r>
      <w:r>
        <w:rPr>
          <w:rFonts w:hint="eastAsia" w:hAnsi="宋体" w:cs="宋体"/>
          <w:snapToGrid w:val="0"/>
          <w:color w:val="auto"/>
          <w:kern w:val="0"/>
          <w:szCs w:val="24"/>
          <w:highlight w:val="none"/>
        </w:rPr>
        <w:t xml:space="preserve"> 投标文件的签字均为签字人本人亲笔署名或签章（电子印章），其余部分的扫描件无须另行签字、盖章。</w:t>
      </w:r>
    </w:p>
    <w:p w14:paraId="1D2984FA">
      <w:pPr>
        <w:keepNext w:val="0"/>
        <w:keepLines w:val="0"/>
        <w:pageBreakBefore w:val="0"/>
        <w:wordWrap w:val="0"/>
        <w:topLinePunct w:val="0"/>
        <w:bidi w:val="0"/>
        <w:adjustRightInd w:val="0"/>
        <w:snapToGrid w:val="0"/>
        <w:spacing w:line="500" w:lineRule="exact"/>
        <w:ind w:firstLine="560"/>
        <w:textAlignment w:val="auto"/>
        <w:rPr>
          <w:rFonts w:hAnsi="宋体" w:cs="宋体"/>
          <w:b/>
          <w:bCs/>
          <w:snapToGrid w:val="0"/>
          <w:color w:val="auto"/>
          <w:kern w:val="0"/>
          <w:szCs w:val="24"/>
          <w:highlight w:val="none"/>
        </w:rPr>
      </w:pPr>
      <w:bookmarkStart w:id="46" w:name="_Toc257031159"/>
      <w:bookmarkStart w:id="47" w:name="_Toc274313880"/>
      <w:r>
        <w:rPr>
          <w:rFonts w:hint="eastAsia" w:hAnsi="宋体" w:cs="宋体"/>
          <w:b/>
          <w:bCs/>
          <w:snapToGrid w:val="0"/>
          <w:color w:val="auto"/>
          <w:kern w:val="0"/>
          <w:szCs w:val="24"/>
          <w:highlight w:val="none"/>
        </w:rPr>
        <w:t>10.2 商务标书的编制要求</w:t>
      </w:r>
      <w:bookmarkEnd w:id="46"/>
      <w:bookmarkEnd w:id="47"/>
    </w:p>
    <w:p w14:paraId="209EADCE">
      <w:pPr>
        <w:keepNext w:val="0"/>
        <w:keepLines w:val="0"/>
        <w:pageBreakBefore w:val="0"/>
        <w:wordWrap w:val="0"/>
        <w:topLinePunct w:val="0"/>
        <w:bidi w:val="0"/>
        <w:adjustRightInd w:val="0"/>
        <w:snapToGrid w:val="0"/>
        <w:spacing w:line="500" w:lineRule="exact"/>
        <w:ind w:firstLine="561"/>
        <w:textAlignment w:val="auto"/>
        <w:rPr>
          <w:rFonts w:hAnsi="宋体" w:cs="宋体"/>
          <w:snapToGrid w:val="0"/>
          <w:color w:val="auto"/>
          <w:kern w:val="0"/>
          <w:szCs w:val="24"/>
          <w:highlight w:val="none"/>
          <w:u w:val="single"/>
        </w:rPr>
      </w:pPr>
      <w:r>
        <w:rPr>
          <w:rFonts w:hint="eastAsia" w:hAnsi="宋体" w:cs="宋体"/>
          <w:b/>
          <w:bCs/>
          <w:snapToGrid w:val="0"/>
          <w:color w:val="auto"/>
          <w:kern w:val="0"/>
          <w:szCs w:val="24"/>
          <w:highlight w:val="none"/>
        </w:rPr>
        <w:t>10.2.1</w:t>
      </w:r>
      <w:r>
        <w:rPr>
          <w:rFonts w:hint="eastAsia" w:hAnsi="宋体" w:cs="宋体"/>
          <w:snapToGrid w:val="0"/>
          <w:color w:val="auto"/>
          <w:kern w:val="0"/>
          <w:szCs w:val="24"/>
          <w:highlight w:val="none"/>
        </w:rPr>
        <w:t xml:space="preserve"> </w:t>
      </w:r>
      <w:r>
        <w:rPr>
          <w:rFonts w:hint="eastAsia" w:hAnsi="宋体" w:cs="宋体"/>
          <w:bCs/>
          <w:snapToGrid w:val="0"/>
          <w:color w:val="auto"/>
          <w:kern w:val="0"/>
          <w:szCs w:val="24"/>
          <w:highlight w:val="none"/>
        </w:rPr>
        <w:t>商务标书</w:t>
      </w:r>
      <w:r>
        <w:rPr>
          <w:rFonts w:hint="eastAsia" w:hAnsi="宋体" w:cs="宋体"/>
          <w:snapToGrid w:val="0"/>
          <w:color w:val="auto"/>
          <w:kern w:val="0"/>
          <w:szCs w:val="24"/>
          <w:highlight w:val="none"/>
        </w:rPr>
        <w:t>包括但不限于以下内容：</w:t>
      </w:r>
    </w:p>
    <w:p w14:paraId="48C459DB">
      <w:pPr>
        <w:keepNext w:val="0"/>
        <w:keepLines w:val="0"/>
        <w:pageBreakBefore w:val="0"/>
        <w:wordWrap w:val="0"/>
        <w:topLinePunct w:val="0"/>
        <w:bidi w:val="0"/>
        <w:adjustRightInd w:val="0"/>
        <w:snapToGrid w:val="0"/>
        <w:spacing w:line="500" w:lineRule="exact"/>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 xml:space="preserve">    （1）封面（格式一）；</w:t>
      </w:r>
    </w:p>
    <w:p w14:paraId="17B55DCC">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（2）目录；</w:t>
      </w:r>
    </w:p>
    <w:p w14:paraId="194BBEEF">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（3）《投标函》（格式二）；</w:t>
      </w:r>
    </w:p>
    <w:p w14:paraId="4D46548A">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（4）《各项承诺一览表》（格式三）；</w:t>
      </w:r>
    </w:p>
    <w:p w14:paraId="5F80BBD9">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（5）《授权委托书》（格式四）；</w:t>
      </w:r>
    </w:p>
    <w:p w14:paraId="48D780FD">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（6）《法定代表人身份证明》（格式五）；</w:t>
      </w:r>
    </w:p>
    <w:p w14:paraId="6AC6B6C5">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7）投标保证缴纳证明（投标人采用投标保证金的，附建设工程交易系统《缴纳投标保证金通知书》页面截图和银行转账单扫描件；采用投标保证担保的，附银行保函扫描件；采用投标保证保险的，附电子保单和《交易平台保证金缴纳信息》页面截图）。</w:t>
      </w:r>
    </w:p>
    <w:p w14:paraId="0EFBD13B">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（8）《投标人基本情况表》（格式六）及所附资料；</w:t>
      </w:r>
    </w:p>
    <w:p w14:paraId="1B42CD28">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（9）《总监理工程师任职声明》（格式七或格式八，由投标人根据拟派总监理工程师任职情况选用）；</w:t>
      </w:r>
    </w:p>
    <w:p w14:paraId="69C941FC">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（10）《总监理工程师任职项目情况表》（格式九）及所附资料；</w:t>
      </w:r>
    </w:p>
    <w:p w14:paraId="1BB1C9C7">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（11）《项目监理机构组成人员汇总表》（格式十）；</w:t>
      </w:r>
    </w:p>
    <w:p w14:paraId="44A9562D">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（12）《总监理工程师简历表》（格式十一）及所附资料；</w:t>
      </w:r>
    </w:p>
    <w:p w14:paraId="18EF2A8B">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（13）《其他拟派人员简历表》（格式十二）及所附资料；</w:t>
      </w:r>
    </w:p>
    <w:p w14:paraId="74B8BCEF">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（14）详细评审阶段要求提供的评审资料（详见本节第</w:t>
      </w:r>
      <w:r>
        <w:rPr>
          <w:rFonts w:hint="eastAsia" w:hAnsi="宋体" w:cs="宋体"/>
          <w:b/>
          <w:bCs/>
          <w:snapToGrid w:val="0"/>
          <w:color w:val="auto"/>
          <w:kern w:val="0"/>
          <w:szCs w:val="24"/>
          <w:highlight w:val="none"/>
        </w:rPr>
        <w:t>15.5.1</w:t>
      </w:r>
      <w:r>
        <w:rPr>
          <w:rFonts w:hint="eastAsia" w:hAnsi="宋体" w:cs="宋体"/>
          <w:snapToGrid w:val="0"/>
          <w:color w:val="auto"/>
          <w:kern w:val="0"/>
          <w:szCs w:val="24"/>
          <w:highlight w:val="none"/>
        </w:rPr>
        <w:t>目）；</w:t>
      </w:r>
    </w:p>
    <w:p w14:paraId="65548FB8">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15）投标人认为有必要补充的其他资料。（例如投标人已经工商变更，但其员工执业资格注册证书上的企业名称未能在投标期间完成变更的书面说明和佐证材料；外省企业所在省、地级市住建部门或其授权的组织（机构）关于企业资质、人员资格有效期自动顺延或延续办理的相关文件等）。</w:t>
      </w:r>
    </w:p>
    <w:p w14:paraId="6FA9E744">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10.2.2</w:t>
      </w:r>
      <w:r>
        <w:rPr>
          <w:rFonts w:hint="eastAsia" w:hAnsi="宋体" w:cs="宋体"/>
          <w:snapToGrid w:val="0"/>
          <w:color w:val="auto"/>
          <w:kern w:val="0"/>
          <w:szCs w:val="24"/>
          <w:highlight w:val="none"/>
        </w:rPr>
        <w:t xml:space="preserve"> 本节第</w:t>
      </w:r>
      <w:r>
        <w:rPr>
          <w:rFonts w:hint="eastAsia" w:hAnsi="宋体" w:cs="宋体"/>
          <w:b/>
          <w:bCs/>
          <w:snapToGrid w:val="0"/>
          <w:color w:val="auto"/>
          <w:kern w:val="0"/>
          <w:szCs w:val="24"/>
          <w:highlight w:val="none"/>
        </w:rPr>
        <w:t>10.2.1</w:t>
      </w:r>
      <w:r>
        <w:rPr>
          <w:rFonts w:hint="eastAsia" w:hAnsi="宋体" w:cs="宋体"/>
          <w:snapToGrid w:val="0"/>
          <w:color w:val="auto"/>
          <w:kern w:val="0"/>
          <w:szCs w:val="24"/>
          <w:highlight w:val="none"/>
        </w:rPr>
        <w:t>目中所列出的商务标书组成内容中，第（1）至第（13）项所有投标人均应提供。</w:t>
      </w:r>
      <w:r>
        <w:rPr>
          <w:rFonts w:hint="eastAsia" w:hAnsi="宋体" w:cs="宋体"/>
          <w:b/>
          <w:bCs/>
          <w:snapToGrid w:val="0"/>
          <w:color w:val="auto"/>
          <w:kern w:val="0"/>
          <w:szCs w:val="24"/>
          <w:highlight w:val="none"/>
        </w:rPr>
        <w:t>但拟派总监理工程师现阶段未担任任何在施建设工程项目总监理工程师的，无需提供第（10）项内容。</w:t>
      </w:r>
    </w:p>
    <w:p w14:paraId="4EA0BD70">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b/>
          <w:bCs/>
          <w:snapToGrid w:val="0"/>
          <w:color w:val="auto"/>
          <w:kern w:val="0"/>
          <w:szCs w:val="24"/>
          <w:highlight w:val="none"/>
        </w:rPr>
      </w:pPr>
      <w:r>
        <w:rPr>
          <w:rFonts w:hint="eastAsia" w:hAnsi="宋体" w:cs="宋体"/>
          <w:b/>
          <w:bCs/>
          <w:snapToGrid w:val="0"/>
          <w:color w:val="auto"/>
          <w:kern w:val="0"/>
          <w:szCs w:val="24"/>
          <w:highlight w:val="none"/>
        </w:rPr>
        <w:t>10.2.3</w:t>
      </w:r>
      <w:r>
        <w:rPr>
          <w:rFonts w:hint="eastAsia" w:hAnsi="宋体" w:cs="宋体"/>
          <w:snapToGrid w:val="0"/>
          <w:color w:val="auto"/>
          <w:kern w:val="0"/>
          <w:szCs w:val="24"/>
          <w:highlight w:val="none"/>
        </w:rPr>
        <w:t xml:space="preserve"> 商务标书的组成内容按本节第</w:t>
      </w:r>
      <w:r>
        <w:rPr>
          <w:rFonts w:hint="eastAsia" w:hAnsi="宋体" w:cs="宋体"/>
          <w:b/>
          <w:bCs/>
          <w:snapToGrid w:val="0"/>
          <w:color w:val="auto"/>
          <w:kern w:val="0"/>
          <w:szCs w:val="24"/>
          <w:highlight w:val="none"/>
        </w:rPr>
        <w:t>10.2.1</w:t>
      </w:r>
      <w:r>
        <w:rPr>
          <w:rFonts w:hint="eastAsia" w:hAnsi="宋体" w:cs="宋体"/>
          <w:snapToGrid w:val="0"/>
          <w:color w:val="auto"/>
          <w:kern w:val="0"/>
          <w:szCs w:val="24"/>
          <w:highlight w:val="none"/>
        </w:rPr>
        <w:t>目规定的顺序整理、编排后，逐页（页码起始从封面开始）连续标记页码。</w:t>
      </w:r>
    </w:p>
    <w:p w14:paraId="5B77C9E7">
      <w:pPr>
        <w:keepNext w:val="0"/>
        <w:keepLines w:val="0"/>
        <w:pageBreakBefore w:val="0"/>
        <w:wordWrap w:val="0"/>
        <w:topLinePunct w:val="0"/>
        <w:bidi w:val="0"/>
        <w:adjustRightInd w:val="0"/>
        <w:snapToGrid w:val="0"/>
        <w:spacing w:line="500" w:lineRule="exact"/>
        <w:ind w:firstLine="480"/>
        <w:textAlignment w:val="auto"/>
        <w:rPr>
          <w:rFonts w:hAnsi="宋体" w:cs="宋体"/>
          <w:b/>
          <w:bCs/>
          <w:snapToGrid w:val="0"/>
          <w:color w:val="auto"/>
          <w:kern w:val="0"/>
          <w:szCs w:val="24"/>
          <w:highlight w:val="none"/>
        </w:rPr>
      </w:pPr>
      <w:r>
        <w:rPr>
          <w:rFonts w:hint="eastAsia" w:hAnsi="宋体" w:cs="宋体"/>
          <w:b/>
          <w:bCs/>
          <w:snapToGrid w:val="0"/>
          <w:color w:val="auto"/>
          <w:kern w:val="0"/>
          <w:szCs w:val="24"/>
          <w:highlight w:val="none"/>
        </w:rPr>
        <w:t>10.3 监理大纲的编制要求</w:t>
      </w:r>
    </w:p>
    <w:p w14:paraId="5A965037">
      <w:pPr>
        <w:keepNext w:val="0"/>
        <w:keepLines w:val="0"/>
        <w:pageBreakBefore w:val="0"/>
        <w:wordWrap w:val="0"/>
        <w:topLinePunct w:val="0"/>
        <w:bidi w:val="0"/>
        <w:adjustRightInd w:val="0"/>
        <w:snapToGrid w:val="0"/>
        <w:spacing w:line="500" w:lineRule="exact"/>
        <w:ind w:firstLine="480"/>
        <w:textAlignment w:val="auto"/>
        <w:rPr>
          <w:rFonts w:hAnsi="宋体" w:cs="宋体"/>
          <w:bCs/>
          <w:snapToGrid w:val="0"/>
          <w:color w:val="auto"/>
          <w:kern w:val="0"/>
          <w:szCs w:val="24"/>
          <w:highlight w:val="none"/>
        </w:rPr>
      </w:pPr>
      <w:r>
        <w:rPr>
          <w:rFonts w:hint="eastAsia" w:hAnsi="宋体" w:cs="宋体"/>
          <w:b/>
          <w:snapToGrid w:val="0"/>
          <w:color w:val="auto"/>
          <w:kern w:val="0"/>
          <w:szCs w:val="24"/>
          <w:highlight w:val="none"/>
        </w:rPr>
        <w:t>10.3.1</w:t>
      </w:r>
      <w:r>
        <w:rPr>
          <w:rFonts w:hint="eastAsia" w:hAnsi="宋体" w:cs="宋体"/>
          <w:bCs/>
          <w:snapToGrid w:val="0"/>
          <w:color w:val="auto"/>
          <w:kern w:val="0"/>
          <w:szCs w:val="24"/>
          <w:highlight w:val="none"/>
        </w:rPr>
        <w:t xml:space="preserve"> 监理大纲</w:t>
      </w:r>
      <w:r>
        <w:rPr>
          <w:rFonts w:hint="eastAsia" w:hAnsi="宋体" w:cs="宋体"/>
          <w:snapToGrid w:val="0"/>
          <w:color w:val="auto"/>
          <w:kern w:val="0"/>
          <w:szCs w:val="24"/>
          <w:highlight w:val="none"/>
        </w:rPr>
        <w:t>的编制依据包括且不限于</w:t>
      </w:r>
      <w:r>
        <w:rPr>
          <w:rFonts w:hint="eastAsia" w:hAnsi="宋体" w:cs="宋体"/>
          <w:bCs/>
          <w:snapToGrid w:val="0"/>
          <w:color w:val="auto"/>
          <w:kern w:val="0"/>
          <w:szCs w:val="24"/>
          <w:highlight w:val="none"/>
        </w:rPr>
        <w:t>：</w:t>
      </w:r>
    </w:p>
    <w:p w14:paraId="34E3B350">
      <w:pPr>
        <w:keepNext w:val="0"/>
        <w:keepLines w:val="0"/>
        <w:pageBreakBefore w:val="0"/>
        <w:wordWrap w:val="0"/>
        <w:topLinePunct w:val="0"/>
        <w:bidi w:val="0"/>
        <w:adjustRightInd w:val="0"/>
        <w:snapToGrid w:val="0"/>
        <w:spacing w:line="500" w:lineRule="exact"/>
        <w:ind w:firstLine="480"/>
        <w:textAlignment w:val="auto"/>
        <w:rPr>
          <w:rFonts w:hAnsi="宋体" w:cs="宋体"/>
          <w:bCs/>
          <w:snapToGrid w:val="0"/>
          <w:color w:val="auto"/>
          <w:kern w:val="0"/>
          <w:szCs w:val="24"/>
          <w:highlight w:val="none"/>
        </w:rPr>
      </w:pPr>
      <w:r>
        <w:rPr>
          <w:rFonts w:hint="eastAsia" w:hAnsi="宋体" w:cs="宋体"/>
          <w:bCs/>
          <w:snapToGrid w:val="0"/>
          <w:color w:val="auto"/>
          <w:kern w:val="0"/>
          <w:szCs w:val="24"/>
          <w:highlight w:val="none"/>
        </w:rPr>
        <w:t>（1）招标文件及</w:t>
      </w:r>
      <w:r>
        <w:rPr>
          <w:rFonts w:hint="eastAsia" w:hAnsi="宋体" w:cs="宋体"/>
          <w:snapToGrid w:val="0"/>
          <w:color w:val="auto"/>
          <w:kern w:val="0"/>
          <w:szCs w:val="24"/>
          <w:highlight w:val="none"/>
        </w:rPr>
        <w:t>其答疑（或修改）公告；</w:t>
      </w:r>
    </w:p>
    <w:p w14:paraId="3CC5C04E">
      <w:pPr>
        <w:keepNext w:val="0"/>
        <w:keepLines w:val="0"/>
        <w:pageBreakBefore w:val="0"/>
        <w:wordWrap w:val="0"/>
        <w:topLinePunct w:val="0"/>
        <w:bidi w:val="0"/>
        <w:adjustRightInd w:val="0"/>
        <w:snapToGrid w:val="0"/>
        <w:spacing w:line="500" w:lineRule="exact"/>
        <w:ind w:firstLine="480"/>
        <w:textAlignment w:val="auto"/>
        <w:rPr>
          <w:rFonts w:hAnsi="宋体" w:cs="宋体"/>
          <w:bCs/>
          <w:snapToGrid w:val="0"/>
          <w:color w:val="auto"/>
          <w:kern w:val="0"/>
          <w:szCs w:val="24"/>
          <w:highlight w:val="none"/>
        </w:rPr>
      </w:pPr>
      <w:r>
        <w:rPr>
          <w:rFonts w:hint="eastAsia" w:hAnsi="宋体" w:cs="宋体"/>
          <w:bCs/>
          <w:snapToGrid w:val="0"/>
          <w:color w:val="auto"/>
          <w:kern w:val="0"/>
          <w:szCs w:val="24"/>
          <w:highlight w:val="none"/>
        </w:rPr>
        <w:t>（2）施工现场情况、工程特点；</w:t>
      </w:r>
    </w:p>
    <w:p w14:paraId="0728D743">
      <w:pPr>
        <w:keepNext w:val="0"/>
        <w:keepLines w:val="0"/>
        <w:pageBreakBefore w:val="0"/>
        <w:wordWrap w:val="0"/>
        <w:topLinePunct w:val="0"/>
        <w:bidi w:val="0"/>
        <w:adjustRightInd w:val="0"/>
        <w:snapToGrid w:val="0"/>
        <w:spacing w:line="500" w:lineRule="exact"/>
        <w:ind w:firstLine="480"/>
        <w:textAlignment w:val="auto"/>
        <w:rPr>
          <w:rFonts w:hAnsi="宋体" w:cs="宋体"/>
          <w:bCs/>
          <w:snapToGrid w:val="0"/>
          <w:color w:val="auto"/>
          <w:kern w:val="0"/>
          <w:szCs w:val="24"/>
          <w:highlight w:val="none"/>
        </w:rPr>
      </w:pPr>
      <w:r>
        <w:rPr>
          <w:rFonts w:hint="eastAsia" w:hAnsi="宋体" w:cs="宋体"/>
          <w:bCs/>
          <w:snapToGrid w:val="0"/>
          <w:color w:val="auto"/>
          <w:kern w:val="0"/>
          <w:szCs w:val="24"/>
          <w:highlight w:val="none"/>
        </w:rPr>
        <w:t>（3）相关法律、法规、规定；</w:t>
      </w:r>
    </w:p>
    <w:p w14:paraId="3A40A899">
      <w:pPr>
        <w:keepNext w:val="0"/>
        <w:keepLines w:val="0"/>
        <w:pageBreakBefore w:val="0"/>
        <w:wordWrap w:val="0"/>
        <w:topLinePunct w:val="0"/>
        <w:bidi w:val="0"/>
        <w:adjustRightInd w:val="0"/>
        <w:snapToGrid w:val="0"/>
        <w:spacing w:line="500" w:lineRule="exact"/>
        <w:ind w:firstLine="480"/>
        <w:textAlignment w:val="auto"/>
        <w:rPr>
          <w:rFonts w:hAnsi="宋体" w:cs="宋体"/>
          <w:bCs/>
          <w:snapToGrid w:val="0"/>
          <w:color w:val="auto"/>
          <w:kern w:val="0"/>
          <w:szCs w:val="24"/>
          <w:highlight w:val="none"/>
        </w:rPr>
      </w:pPr>
      <w:r>
        <w:rPr>
          <w:rFonts w:hint="eastAsia" w:hAnsi="宋体" w:cs="宋体"/>
          <w:bCs/>
          <w:snapToGrid w:val="0"/>
          <w:color w:val="auto"/>
          <w:kern w:val="0"/>
          <w:szCs w:val="24"/>
          <w:highlight w:val="none"/>
        </w:rPr>
        <w:t>（4）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4A8CC213">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szCs w:val="24"/>
          <w:highlight w:val="none"/>
        </w:rPr>
      </w:pPr>
      <w:r>
        <w:rPr>
          <w:rFonts w:hint="eastAsia" w:hAnsi="宋体" w:cs="宋体"/>
          <w:b/>
          <w:snapToGrid w:val="0"/>
          <w:color w:val="auto"/>
          <w:kern w:val="0"/>
          <w:szCs w:val="24"/>
          <w:highlight w:val="none"/>
        </w:rPr>
        <w:t>10.3.2</w:t>
      </w:r>
      <w:r>
        <w:rPr>
          <w:rFonts w:hint="eastAsia" w:hAnsi="宋体" w:cs="宋体"/>
          <w:bCs/>
          <w:snapToGrid w:val="0"/>
          <w:color w:val="auto"/>
          <w:kern w:val="0"/>
          <w:szCs w:val="24"/>
          <w:highlight w:val="none"/>
        </w:rPr>
        <w:t xml:space="preserve"> 监理大纲</w:t>
      </w:r>
      <w:r>
        <w:rPr>
          <w:rFonts w:hint="eastAsia" w:hAnsi="宋体" w:cs="宋体"/>
          <w:snapToGrid w:val="0"/>
          <w:color w:val="auto"/>
          <w:kern w:val="0"/>
          <w:szCs w:val="24"/>
          <w:highlight w:val="none"/>
        </w:rPr>
        <w:t>包括但不限于以下内容：</w:t>
      </w:r>
    </w:p>
    <w:p w14:paraId="0EF73540">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（1）封面（格式一）；</w:t>
      </w:r>
    </w:p>
    <w:p w14:paraId="5A40844D">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（2）目录；</w:t>
      </w:r>
    </w:p>
    <w:p w14:paraId="28314E1A">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（3）监理工程概况；</w:t>
      </w:r>
    </w:p>
    <w:p w14:paraId="34DF6C2C">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（4）监理及相关服务的范围、内容；</w:t>
      </w:r>
    </w:p>
    <w:p w14:paraId="669B2125">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（5）监理及相关服务的依据、目标；</w:t>
      </w:r>
    </w:p>
    <w:p w14:paraId="729D7A4D">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（6）项目监理机构设置（框图）、岗位职责；</w:t>
      </w:r>
    </w:p>
    <w:p w14:paraId="7BA86749">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（7）监理及相关服务的工作程序、方法和制度；</w:t>
      </w:r>
    </w:p>
    <w:p w14:paraId="0E2C6BA4">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（8）拟投入的监理及相关服务人员；</w:t>
      </w:r>
    </w:p>
    <w:p w14:paraId="079E62EB">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（9）质量、进度、造价、安全、绿色施工监理措施；</w:t>
      </w:r>
    </w:p>
    <w:p w14:paraId="16B6713B">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（10）合同、信息管理方案；</w:t>
      </w:r>
    </w:p>
    <w:p w14:paraId="02B44370">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（11）组织协调内容及措施；</w:t>
      </w:r>
    </w:p>
    <w:p w14:paraId="1E541A3B">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（12）监理及相关服务的工作重点、难点分析；</w:t>
      </w:r>
    </w:p>
    <w:p w14:paraId="38377DE2">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（13）对本工程监理及相关服务的合理化建议。</w:t>
      </w:r>
    </w:p>
    <w:p w14:paraId="69D5831B">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10.3.3</w:t>
      </w:r>
      <w:r>
        <w:rPr>
          <w:rFonts w:hint="eastAsia" w:hAnsi="宋体" w:cs="宋体"/>
          <w:snapToGrid w:val="0"/>
          <w:color w:val="auto"/>
          <w:kern w:val="0"/>
          <w:szCs w:val="24"/>
          <w:highlight w:val="none"/>
        </w:rPr>
        <w:t xml:space="preserve"> 本节第</w:t>
      </w:r>
      <w:r>
        <w:rPr>
          <w:rFonts w:hint="eastAsia" w:hAnsi="宋体" w:cs="宋体"/>
          <w:b/>
          <w:bCs/>
          <w:snapToGrid w:val="0"/>
          <w:color w:val="auto"/>
          <w:kern w:val="0"/>
          <w:szCs w:val="24"/>
          <w:highlight w:val="none"/>
        </w:rPr>
        <w:t>10.3.2</w:t>
      </w:r>
      <w:r>
        <w:rPr>
          <w:rFonts w:hint="eastAsia" w:hAnsi="宋体" w:cs="宋体"/>
          <w:snapToGrid w:val="0"/>
          <w:color w:val="auto"/>
          <w:kern w:val="0"/>
          <w:szCs w:val="24"/>
          <w:highlight w:val="none"/>
        </w:rPr>
        <w:t>目中所列出的</w:t>
      </w:r>
      <w:r>
        <w:rPr>
          <w:rFonts w:hint="eastAsia" w:hAnsi="宋体" w:cs="宋体"/>
          <w:bCs/>
          <w:snapToGrid w:val="0"/>
          <w:color w:val="auto"/>
          <w:kern w:val="0"/>
          <w:szCs w:val="24"/>
          <w:highlight w:val="none"/>
        </w:rPr>
        <w:t>监理大纲</w:t>
      </w:r>
      <w:r>
        <w:rPr>
          <w:rFonts w:hint="eastAsia" w:hAnsi="宋体" w:cs="宋体"/>
          <w:snapToGrid w:val="0"/>
          <w:color w:val="auto"/>
          <w:kern w:val="0"/>
          <w:szCs w:val="24"/>
          <w:highlight w:val="none"/>
        </w:rPr>
        <w:t>组成内容，所有投标人均应提供。</w:t>
      </w:r>
    </w:p>
    <w:p w14:paraId="1EB9B1B5">
      <w:pPr>
        <w:keepNext w:val="0"/>
        <w:keepLines w:val="0"/>
        <w:pageBreakBefore w:val="0"/>
        <w:wordWrap w:val="0"/>
        <w:topLinePunct w:val="0"/>
        <w:bidi w:val="0"/>
        <w:adjustRightInd w:val="0"/>
        <w:snapToGrid w:val="0"/>
        <w:spacing w:line="500" w:lineRule="exact"/>
        <w:ind w:firstLine="482" w:firstLineChars="200"/>
        <w:textAlignment w:val="auto"/>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10.3.4</w:t>
      </w:r>
      <w:r>
        <w:rPr>
          <w:rFonts w:hint="eastAsia" w:hAnsi="宋体" w:cs="宋体"/>
          <w:snapToGrid w:val="0"/>
          <w:color w:val="auto"/>
          <w:kern w:val="0"/>
          <w:szCs w:val="24"/>
          <w:highlight w:val="none"/>
        </w:rPr>
        <w:t xml:space="preserve"> </w:t>
      </w:r>
      <w:r>
        <w:rPr>
          <w:rFonts w:hint="eastAsia" w:hAnsi="宋体" w:cs="宋体"/>
          <w:bCs/>
          <w:snapToGrid w:val="0"/>
          <w:color w:val="auto"/>
          <w:kern w:val="0"/>
          <w:szCs w:val="24"/>
          <w:highlight w:val="none"/>
        </w:rPr>
        <w:t>监理大纲</w:t>
      </w:r>
      <w:r>
        <w:rPr>
          <w:rFonts w:hint="eastAsia" w:hAnsi="宋体" w:cs="宋体"/>
          <w:snapToGrid w:val="0"/>
          <w:color w:val="auto"/>
          <w:kern w:val="0"/>
          <w:szCs w:val="24"/>
          <w:highlight w:val="none"/>
        </w:rPr>
        <w:t>的组成内容按本节第</w:t>
      </w:r>
      <w:r>
        <w:rPr>
          <w:rFonts w:hint="eastAsia" w:hAnsi="宋体" w:cs="宋体"/>
          <w:b/>
          <w:bCs/>
          <w:snapToGrid w:val="0"/>
          <w:color w:val="auto"/>
          <w:kern w:val="0"/>
          <w:szCs w:val="24"/>
          <w:highlight w:val="none"/>
        </w:rPr>
        <w:t>10.3.2</w:t>
      </w:r>
      <w:r>
        <w:rPr>
          <w:rFonts w:hint="eastAsia" w:hAnsi="宋体" w:cs="宋体"/>
          <w:snapToGrid w:val="0"/>
          <w:color w:val="auto"/>
          <w:kern w:val="0"/>
          <w:szCs w:val="24"/>
          <w:highlight w:val="none"/>
        </w:rPr>
        <w:t>目规定的顺序整理、编排后，逐页（页码起始从封面开始）连续标记页码。</w:t>
      </w:r>
    </w:p>
    <w:p w14:paraId="7126D010">
      <w:pPr>
        <w:keepNext w:val="0"/>
        <w:keepLines w:val="0"/>
        <w:pageBreakBefore w:val="0"/>
        <w:wordWrap w:val="0"/>
        <w:topLinePunct w:val="0"/>
        <w:bidi w:val="0"/>
        <w:adjustRightInd w:val="0"/>
        <w:snapToGrid w:val="0"/>
        <w:spacing w:line="500" w:lineRule="exact"/>
        <w:ind w:firstLine="482" w:firstLineChars="200"/>
        <w:textAlignment w:val="auto"/>
        <w:rPr>
          <w:rFonts w:hint="eastAsia" w:hAnsi="宋体" w:cs="宋体"/>
          <w:b/>
          <w:bCs/>
          <w:snapToGrid w:val="0"/>
          <w:color w:val="auto"/>
          <w:kern w:val="0"/>
          <w:szCs w:val="24"/>
          <w:highlight w:val="none"/>
          <w:lang w:val="en-US" w:eastAsia="zh-CN"/>
        </w:rPr>
      </w:pPr>
      <w:r>
        <w:rPr>
          <w:rFonts w:hint="eastAsia" w:ascii="宋体" w:hAnsi="宋体" w:eastAsia="宋体" w:cs="宋体"/>
          <w:b/>
          <w:bCs/>
          <w:snapToGrid w:val="0"/>
          <w:color w:val="auto"/>
          <w:kern w:val="0"/>
          <w:szCs w:val="24"/>
          <w:highlight w:val="none"/>
          <w:lang w:val="en-US" w:eastAsia="zh-CN"/>
        </w:rPr>
        <w:t>10.4</w:t>
      </w:r>
      <w:r>
        <w:rPr>
          <w:rFonts w:hint="eastAsia" w:hAnsi="宋体" w:cs="宋体"/>
          <w:b/>
          <w:bCs/>
          <w:snapToGrid w:val="0"/>
          <w:color w:val="auto"/>
          <w:kern w:val="0"/>
          <w:szCs w:val="24"/>
          <w:highlight w:val="none"/>
          <w:lang w:val="en-US" w:eastAsia="zh-CN"/>
        </w:rPr>
        <w:t xml:space="preserve"> 定标文件的编制要求：</w:t>
      </w:r>
    </w:p>
    <w:p w14:paraId="637B509F">
      <w:pPr>
        <w:keepNext w:val="0"/>
        <w:keepLines w:val="0"/>
        <w:pageBreakBefore w:val="0"/>
        <w:wordWrap w:val="0"/>
        <w:topLinePunct w:val="0"/>
        <w:bidi w:val="0"/>
        <w:adjustRightInd w:val="0"/>
        <w:snapToGrid w:val="0"/>
        <w:spacing w:line="500" w:lineRule="exact"/>
        <w:ind w:firstLine="482" w:firstLineChars="200"/>
        <w:textAlignment w:val="auto"/>
        <w:rPr>
          <w:rFonts w:hint="eastAsia" w:hAnsi="宋体" w:cs="宋体"/>
          <w:snapToGrid w:val="0"/>
          <w:color w:val="auto"/>
          <w:kern w:val="0"/>
          <w:szCs w:val="24"/>
          <w:highlight w:val="none"/>
          <w:lang w:val="en-US" w:eastAsia="zh-CN"/>
        </w:rPr>
      </w:pPr>
      <w:r>
        <w:rPr>
          <w:rFonts w:hint="eastAsia" w:ascii="宋体" w:hAnsi="宋体" w:eastAsia="宋体" w:cs="宋体"/>
          <w:b/>
          <w:bCs/>
          <w:snapToGrid w:val="0"/>
          <w:color w:val="auto"/>
          <w:kern w:val="0"/>
          <w:szCs w:val="24"/>
          <w:highlight w:val="none"/>
          <w:lang w:val="en-US" w:eastAsia="zh-CN"/>
        </w:rPr>
        <w:t xml:space="preserve">10.4.1 </w:t>
      </w:r>
      <w:r>
        <w:rPr>
          <w:rFonts w:hint="eastAsia" w:hAnsi="宋体" w:cs="宋体"/>
          <w:snapToGrid w:val="0"/>
          <w:color w:val="auto"/>
          <w:kern w:val="0"/>
          <w:szCs w:val="24"/>
          <w:highlight w:val="none"/>
          <w:lang w:val="en-US" w:eastAsia="zh-CN"/>
        </w:rPr>
        <w:t>定标文件包括但不限于以下内容：</w:t>
      </w:r>
    </w:p>
    <w:p w14:paraId="02C42CC8">
      <w:pPr>
        <w:keepNext w:val="0"/>
        <w:keepLines w:val="0"/>
        <w:pageBreakBefore w:val="0"/>
        <w:wordWrap w:val="0"/>
        <w:topLinePunct w:val="0"/>
        <w:bidi w:val="0"/>
        <w:adjustRightInd w:val="0"/>
        <w:snapToGrid w:val="0"/>
        <w:spacing w:line="500" w:lineRule="exact"/>
        <w:ind w:firstLine="480" w:firstLineChars="200"/>
        <w:textAlignment w:val="auto"/>
        <w:rPr>
          <w:rFonts w:hint="eastAsia" w:hAnsi="宋体" w:cs="宋体"/>
          <w:snapToGrid w:val="0"/>
          <w:color w:val="auto"/>
          <w:kern w:val="0"/>
          <w:szCs w:val="24"/>
          <w:highlight w:val="none"/>
          <w:lang w:val="en-US" w:eastAsia="zh-CN"/>
        </w:rPr>
      </w:pPr>
      <w:r>
        <w:rPr>
          <w:rFonts w:hint="eastAsia" w:hAnsi="宋体" w:cs="宋体"/>
          <w:snapToGrid w:val="0"/>
          <w:color w:val="auto"/>
          <w:kern w:val="0"/>
          <w:szCs w:val="24"/>
          <w:highlight w:val="none"/>
          <w:lang w:val="en-US" w:eastAsia="zh-CN"/>
        </w:rPr>
        <w:t>（1）封面（格式一）；</w:t>
      </w:r>
    </w:p>
    <w:p w14:paraId="176C9059">
      <w:pPr>
        <w:keepNext w:val="0"/>
        <w:keepLines w:val="0"/>
        <w:pageBreakBefore w:val="0"/>
        <w:wordWrap w:val="0"/>
        <w:topLinePunct w:val="0"/>
        <w:bidi w:val="0"/>
        <w:adjustRightInd w:val="0"/>
        <w:snapToGrid w:val="0"/>
        <w:spacing w:line="500" w:lineRule="exact"/>
        <w:ind w:firstLine="480" w:firstLineChars="200"/>
        <w:textAlignment w:val="auto"/>
        <w:rPr>
          <w:rFonts w:hint="eastAsia" w:hAnsi="宋体" w:cs="宋体"/>
          <w:snapToGrid w:val="0"/>
          <w:color w:val="auto"/>
          <w:kern w:val="0"/>
          <w:szCs w:val="24"/>
          <w:highlight w:val="none"/>
          <w:lang w:val="en-US" w:eastAsia="zh-CN"/>
        </w:rPr>
      </w:pPr>
      <w:r>
        <w:rPr>
          <w:rFonts w:hint="eastAsia" w:hAnsi="宋体" w:cs="宋体"/>
          <w:snapToGrid w:val="0"/>
          <w:color w:val="auto"/>
          <w:kern w:val="0"/>
          <w:szCs w:val="24"/>
          <w:highlight w:val="none"/>
          <w:lang w:val="en-US" w:eastAsia="zh-CN"/>
        </w:rPr>
        <w:t>（2）目录；</w:t>
      </w:r>
    </w:p>
    <w:p w14:paraId="5990ED94">
      <w:pPr>
        <w:keepNext w:val="0"/>
        <w:keepLines w:val="0"/>
        <w:pageBreakBefore w:val="0"/>
        <w:wordWrap w:val="0"/>
        <w:topLinePunct w:val="0"/>
        <w:bidi w:val="0"/>
        <w:adjustRightInd w:val="0"/>
        <w:snapToGrid w:val="0"/>
        <w:spacing w:line="500" w:lineRule="exact"/>
        <w:ind w:firstLine="480" w:firstLineChars="200"/>
        <w:textAlignment w:val="auto"/>
        <w:rPr>
          <w:rFonts w:hint="eastAsia" w:hAnsi="宋体" w:cs="宋体"/>
          <w:snapToGrid w:val="0"/>
          <w:color w:val="auto"/>
          <w:kern w:val="0"/>
          <w:szCs w:val="24"/>
          <w:highlight w:val="none"/>
          <w:lang w:val="en-US" w:eastAsia="zh-CN"/>
        </w:rPr>
      </w:pPr>
      <w:r>
        <w:rPr>
          <w:rFonts w:hint="eastAsia" w:hAnsi="宋体" w:cs="宋体"/>
          <w:snapToGrid w:val="0"/>
          <w:color w:val="auto"/>
          <w:kern w:val="0"/>
          <w:szCs w:val="24"/>
          <w:highlight w:val="none"/>
          <w:lang w:val="en-US" w:eastAsia="zh-CN"/>
        </w:rPr>
        <w:t>（3）定标因素评审资料</w:t>
      </w:r>
      <w:r>
        <w:rPr>
          <w:rFonts w:hint="eastAsia" w:ascii="宋体" w:hAnsi="宋体" w:eastAsia="宋体" w:cs="宋体"/>
          <w:b w:val="0"/>
          <w:bCs w:val="0"/>
          <w:color w:val="auto"/>
          <w:sz w:val="24"/>
          <w:highlight w:val="none"/>
          <w:lang w:val="en-US" w:eastAsia="zh-CN"/>
        </w:rPr>
        <w:t>（投标人根据“评标定标办法””载明的定标因素自行确定）</w:t>
      </w:r>
      <w:r>
        <w:rPr>
          <w:rFonts w:hint="eastAsia" w:hAnsi="宋体" w:cs="宋体"/>
          <w:snapToGrid w:val="0"/>
          <w:color w:val="auto"/>
          <w:kern w:val="0"/>
          <w:szCs w:val="24"/>
          <w:highlight w:val="none"/>
          <w:lang w:val="en-US" w:eastAsia="zh-CN"/>
        </w:rPr>
        <w:t>。</w:t>
      </w:r>
    </w:p>
    <w:p w14:paraId="5C74C3D5">
      <w:pPr>
        <w:keepNext w:val="0"/>
        <w:keepLines w:val="0"/>
        <w:pageBreakBefore w:val="0"/>
        <w:wordWrap w:val="0"/>
        <w:topLinePunct w:val="0"/>
        <w:bidi w:val="0"/>
        <w:adjustRightInd w:val="0"/>
        <w:snapToGrid w:val="0"/>
        <w:spacing w:line="500" w:lineRule="exact"/>
        <w:ind w:firstLine="482" w:firstLineChars="200"/>
        <w:textAlignment w:val="auto"/>
        <w:rPr>
          <w:rFonts w:hint="default" w:hAnsi="宋体" w:eastAsia="宋体" w:cs="宋体"/>
          <w:snapToGrid w:val="0"/>
          <w:color w:val="auto"/>
          <w:kern w:val="0"/>
          <w:szCs w:val="24"/>
          <w:highlight w:val="none"/>
          <w:lang w:val="en-US" w:eastAsia="zh-CN"/>
        </w:rPr>
      </w:pPr>
      <w:r>
        <w:rPr>
          <w:rFonts w:hint="eastAsia" w:ascii="宋体" w:hAnsi="宋体" w:eastAsia="宋体" w:cs="宋体"/>
          <w:b/>
          <w:bCs/>
          <w:snapToGrid w:val="0"/>
          <w:color w:val="auto"/>
          <w:kern w:val="0"/>
          <w:szCs w:val="24"/>
          <w:highlight w:val="none"/>
          <w:lang w:val="en-US" w:eastAsia="zh-CN"/>
        </w:rPr>
        <w:t>10.4.2</w:t>
      </w:r>
      <w:r>
        <w:rPr>
          <w:rFonts w:hint="eastAsia" w:hAnsi="宋体" w:cs="宋体"/>
          <w:snapToGrid w:val="0"/>
          <w:color w:val="auto"/>
          <w:kern w:val="0"/>
          <w:szCs w:val="24"/>
          <w:highlight w:val="none"/>
          <w:lang w:val="en-US" w:eastAsia="zh-CN"/>
        </w:rPr>
        <w:t xml:space="preserve"> 本节第</w:t>
      </w:r>
      <w:r>
        <w:rPr>
          <w:rFonts w:hint="eastAsia" w:ascii="宋体" w:hAnsi="宋体" w:eastAsia="宋体" w:cs="宋体"/>
          <w:b/>
          <w:bCs/>
          <w:snapToGrid w:val="0"/>
          <w:color w:val="auto"/>
          <w:kern w:val="0"/>
          <w:szCs w:val="24"/>
          <w:highlight w:val="none"/>
          <w:lang w:val="en-US" w:eastAsia="zh-CN"/>
        </w:rPr>
        <w:t>10.4.1</w:t>
      </w:r>
      <w:r>
        <w:rPr>
          <w:rFonts w:hint="eastAsia" w:hAnsi="宋体" w:cs="宋体"/>
          <w:snapToGrid w:val="0"/>
          <w:color w:val="auto"/>
          <w:kern w:val="0"/>
          <w:szCs w:val="24"/>
          <w:highlight w:val="none"/>
          <w:lang w:val="en-US" w:eastAsia="zh-CN"/>
        </w:rPr>
        <w:t>目中所列出的组成内容中，第（1）项所有投标人均应提供。</w:t>
      </w:r>
    </w:p>
    <w:p w14:paraId="79A97868">
      <w:pPr>
        <w:pStyle w:val="4"/>
        <w:keepNext w:val="0"/>
        <w:keepLines w:val="0"/>
        <w:pageBreakBefore w:val="0"/>
        <w:wordWrap w:val="0"/>
        <w:topLinePunct w:val="0"/>
        <w:autoSpaceDE/>
        <w:autoSpaceDN/>
        <w:bidi w:val="0"/>
        <w:snapToGrid w:val="0"/>
        <w:spacing w:line="500" w:lineRule="exact"/>
        <w:ind w:firstLine="480"/>
        <w:jc w:val="both"/>
        <w:textAlignment w:val="auto"/>
        <w:outlineLvl w:val="2"/>
        <w:rPr>
          <w:rFonts w:hAnsi="宋体" w:cs="宋体"/>
          <w:b/>
          <w:snapToGrid w:val="0"/>
          <w:color w:val="auto"/>
          <w:szCs w:val="24"/>
          <w:highlight w:val="none"/>
        </w:rPr>
      </w:pPr>
      <w:bookmarkStart w:id="48" w:name="_Toc2864"/>
      <w:bookmarkStart w:id="49" w:name="_Toc24639"/>
      <w:r>
        <w:rPr>
          <w:rFonts w:hint="eastAsia" w:hAnsi="宋体" w:cs="宋体"/>
          <w:b/>
          <w:snapToGrid w:val="0"/>
          <w:color w:val="auto"/>
          <w:szCs w:val="24"/>
          <w:highlight w:val="none"/>
        </w:rPr>
        <w:t>11．</w:t>
      </w:r>
      <w:bookmarkEnd w:id="48"/>
      <w:r>
        <w:rPr>
          <w:rFonts w:hint="eastAsia" w:hAnsi="宋体" w:cs="宋体"/>
          <w:b/>
          <w:snapToGrid w:val="0"/>
          <w:color w:val="auto"/>
          <w:szCs w:val="24"/>
          <w:highlight w:val="none"/>
        </w:rPr>
        <w:t>电子投标</w:t>
      </w:r>
      <w:bookmarkEnd w:id="49"/>
    </w:p>
    <w:p w14:paraId="72F1BB7A">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cs="宋体"/>
          <w:b/>
          <w:bCs/>
          <w:snapToGrid w:val="0"/>
          <w:color w:val="auto"/>
          <w:kern w:val="0"/>
          <w:sz w:val="24"/>
          <w:highlight w:val="none"/>
        </w:rPr>
        <w:t>11.1</w:t>
      </w:r>
      <w:r>
        <w:rPr>
          <w:rFonts w:hint="eastAsia" w:ascii="宋体" w:hAnsi="宋体" w:cs="宋体"/>
          <w:snapToGrid w:val="0"/>
          <w:color w:val="auto"/>
          <w:kern w:val="0"/>
          <w:sz w:val="24"/>
          <w:highlight w:val="none"/>
        </w:rPr>
        <w:t>在建设工程交易系统上传加盖了电子印章的投标文件、录入相关信息及标书页码信息，（页码起始从封面开始）并提交投标标书，提交标书为已加密投标文件。具体操作参</w:t>
      </w:r>
      <w:r>
        <w:rPr>
          <w:rFonts w:hint="eastAsia" w:ascii="宋体" w:hAnsi="宋体" w:eastAsia="宋体" w:cs="宋体"/>
          <w:snapToGrid w:val="0"/>
          <w:color w:val="auto"/>
          <w:kern w:val="0"/>
          <w:sz w:val="24"/>
          <w:highlight w:val="none"/>
        </w:rPr>
        <w:t>照《韶关市公共资源建设工程交易系统-投标人操作指南（电子评标）》。本项目评标采用全流程电子化进行招标投标（投标人应根据韶关市公共资源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7BED4572">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11.2</w:t>
      </w:r>
      <w:r>
        <w:rPr>
          <w:rFonts w:hint="eastAsia" w:ascii="宋体" w:hAnsi="宋体" w:cs="宋体"/>
          <w:snapToGrid w:val="0"/>
          <w:color w:val="auto"/>
          <w:kern w:val="0"/>
          <w:sz w:val="24"/>
          <w:highlight w:val="none"/>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7EFFAA2A">
      <w:pPr>
        <w:keepNext w:val="0"/>
        <w:keepLines w:val="0"/>
        <w:pageBreakBefore w:val="0"/>
        <w:topLinePunct w:val="0"/>
        <w:bidi w:val="0"/>
        <w:spacing w:line="500" w:lineRule="exact"/>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 xml:space="preserve">11.3 </w:t>
      </w:r>
      <w:r>
        <w:rPr>
          <w:rFonts w:hint="eastAsia" w:hAnsi="宋体" w:cs="宋体"/>
          <w:snapToGrid w:val="0"/>
          <w:color w:val="auto"/>
          <w:kern w:val="0"/>
          <w:szCs w:val="24"/>
          <w:highlight w:val="none"/>
        </w:rPr>
        <w:t>电子投标解密失败及突发情况的补救</w:t>
      </w:r>
    </w:p>
    <w:p w14:paraId="55067ABC">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11.3.1</w:t>
      </w:r>
      <w:r>
        <w:rPr>
          <w:rFonts w:hint="eastAsia" w:ascii="宋体" w:hAnsi="宋体" w:cs="宋体"/>
          <w:snapToGrid w:val="0"/>
          <w:color w:val="auto"/>
          <w:kern w:val="0"/>
          <w:sz w:val="24"/>
          <w:highlight w:val="none"/>
        </w:rPr>
        <w:t xml:space="preserve">按照交易平台关于全流程电子化项目的相关指南进行操作。详见：全国公共资源交易平台（广东省·韶关市）（https://ygp.gdzwfw.gov.cn/ggzy-portal/#/440200/index）【服务指南】栏目发布的最新版操作指引。  </w:t>
      </w:r>
    </w:p>
    <w:p w14:paraId="0E3EAC08">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11.3.2</w:t>
      </w:r>
      <w:r>
        <w:rPr>
          <w:rFonts w:hint="eastAsia" w:ascii="宋体" w:hAnsi="宋体" w:cs="宋体"/>
          <w:snapToGrid w:val="0"/>
          <w:color w:val="auto"/>
          <w:kern w:val="0"/>
          <w:sz w:val="24"/>
          <w:highlight w:val="none"/>
        </w:rPr>
        <w:t>补救方案：</w:t>
      </w:r>
    </w:p>
    <w:p w14:paraId="0B52C661">
      <w:pPr>
        <w:pStyle w:val="88"/>
        <w:keepNext w:val="0"/>
        <w:keepLines w:val="0"/>
        <w:pageBreakBefore w:val="0"/>
        <w:wordWrap w:val="0"/>
        <w:topLinePunct w:val="0"/>
        <w:bidi w:val="0"/>
        <w:adjustRightInd w:val="0"/>
        <w:snapToGrid w:val="0"/>
        <w:spacing w:line="500" w:lineRule="exact"/>
        <w:ind w:firstLine="480" w:firstLineChars="20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投标文件解密失败的补救方案：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34D20B3C">
      <w:pPr>
        <w:pStyle w:val="88"/>
        <w:keepNext w:val="0"/>
        <w:keepLines w:val="0"/>
        <w:pageBreakBefore w:val="0"/>
        <w:wordWrap w:val="0"/>
        <w:topLinePunct w:val="0"/>
        <w:bidi w:val="0"/>
        <w:adjustRightInd w:val="0"/>
        <w:snapToGrid w:val="0"/>
        <w:spacing w:line="500" w:lineRule="exact"/>
        <w:ind w:firstLine="480" w:firstLineChars="20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2）评标时突发情况的补救方案：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28F7F60E">
      <w:pPr>
        <w:pStyle w:val="88"/>
        <w:keepNext w:val="0"/>
        <w:keepLines w:val="0"/>
        <w:pageBreakBefore w:val="0"/>
        <w:wordWrap w:val="0"/>
        <w:topLinePunct w:val="0"/>
        <w:bidi w:val="0"/>
        <w:adjustRightInd w:val="0"/>
        <w:snapToGrid w:val="0"/>
        <w:spacing w:line="500" w:lineRule="exact"/>
        <w:ind w:firstLine="480" w:firstLineChars="20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（3）除发生上述情况外，开标评标均以投标人通过交易平台网上提交的电子投标文件为准。</w:t>
      </w:r>
    </w:p>
    <w:p w14:paraId="07C6E646">
      <w:pPr>
        <w:pStyle w:val="4"/>
        <w:keepNext w:val="0"/>
        <w:keepLines w:val="0"/>
        <w:pageBreakBefore w:val="0"/>
        <w:wordWrap w:val="0"/>
        <w:topLinePunct w:val="0"/>
        <w:autoSpaceDE/>
        <w:autoSpaceDN/>
        <w:bidi w:val="0"/>
        <w:snapToGrid w:val="0"/>
        <w:spacing w:line="500" w:lineRule="exact"/>
        <w:ind w:firstLine="480"/>
        <w:jc w:val="both"/>
        <w:textAlignment w:val="auto"/>
        <w:outlineLvl w:val="2"/>
        <w:rPr>
          <w:rFonts w:hAnsi="宋体" w:cs="宋体"/>
          <w:b/>
          <w:snapToGrid w:val="0"/>
          <w:color w:val="auto"/>
          <w:szCs w:val="24"/>
          <w:highlight w:val="none"/>
        </w:rPr>
      </w:pPr>
      <w:bookmarkStart w:id="50" w:name="_Toc13209"/>
      <w:r>
        <w:rPr>
          <w:rFonts w:hint="eastAsia" w:hAnsi="宋体" w:cs="宋体"/>
          <w:b/>
          <w:snapToGrid w:val="0"/>
          <w:color w:val="auto"/>
          <w:szCs w:val="24"/>
          <w:highlight w:val="none"/>
        </w:rPr>
        <w:t>12. 投标文件的提交</w:t>
      </w:r>
      <w:bookmarkEnd w:id="50"/>
    </w:p>
    <w:p w14:paraId="63A37942">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12.1</w:t>
      </w:r>
      <w:r>
        <w:rPr>
          <w:rFonts w:hint="eastAsia" w:ascii="宋体" w:hAnsi="宋体" w:cs="宋体"/>
          <w:snapToGrid w:val="0"/>
          <w:color w:val="auto"/>
          <w:kern w:val="0"/>
          <w:sz w:val="24"/>
          <w:highlight w:val="none"/>
        </w:rPr>
        <w:t>在电子投标截止时间前，投标人通过全国公共资源交易平台（广东省·韶关市）提交已加密投标文件。逾期提交的电子投标文件，全国公共资源交易平台（广东省·韶关市）将予以拒收。</w:t>
      </w:r>
    </w:p>
    <w:p w14:paraId="7CF91D7D">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12.2</w:t>
      </w:r>
      <w:r>
        <w:rPr>
          <w:rFonts w:hint="eastAsia" w:ascii="宋体" w:hAnsi="宋体" w:cs="宋体"/>
          <w:snapToGrid w:val="0"/>
          <w:color w:val="auto"/>
          <w:kern w:val="0"/>
          <w:sz w:val="24"/>
          <w:highlight w:val="none"/>
        </w:rPr>
        <w:t>投标文件提交截止时间（同电子投标截止时间）：见本章第二节“重要事项时间地点一览表”。</w:t>
      </w:r>
    </w:p>
    <w:p w14:paraId="348B16E2">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12.3</w:t>
      </w:r>
      <w:r>
        <w:rPr>
          <w:rFonts w:hint="eastAsia" w:ascii="宋体" w:hAnsi="宋体" w:cs="宋体"/>
          <w:snapToGrid w:val="0"/>
          <w:color w:val="auto"/>
          <w:kern w:val="0"/>
          <w:sz w:val="24"/>
          <w:highlight w:val="none"/>
        </w:rPr>
        <w:t>代理机构对因不可抗力事件造成的投标文件的损坏、丢失的，不承担责任。</w:t>
      </w:r>
      <w:r>
        <w:rPr>
          <w:rFonts w:hint="eastAsia" w:ascii="宋体" w:hAnsi="宋体" w:cs="宋体"/>
          <w:b/>
          <w:bCs/>
          <w:snapToGrid w:val="0"/>
          <w:color w:val="auto"/>
          <w:kern w:val="0"/>
          <w:sz w:val="24"/>
          <w:highlight w:val="none"/>
        </w:rPr>
        <w:t xml:space="preserve">  </w:t>
      </w:r>
    </w:p>
    <w:p w14:paraId="16456DE3">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 xml:space="preserve">12.4 </w:t>
      </w:r>
      <w:r>
        <w:rPr>
          <w:rFonts w:hint="eastAsia" w:ascii="宋体" w:hAnsi="宋体" w:cs="宋体"/>
          <w:snapToGrid w:val="0"/>
          <w:color w:val="auto"/>
          <w:kern w:val="0"/>
          <w:sz w:val="24"/>
          <w:highlight w:val="none"/>
        </w:rPr>
        <w:t>投标人法定代表人或其委托代理人（以下简称“投标人代表”）应在指定的时间和地点递交以下的资料</w:t>
      </w:r>
      <w:r>
        <w:rPr>
          <w:rFonts w:hint="eastAsia" w:ascii="宋体" w:hAnsi="宋体" w:cs="宋体"/>
          <w:b/>
          <w:bCs/>
          <w:snapToGrid w:val="0"/>
          <w:color w:val="auto"/>
          <w:kern w:val="0"/>
          <w:sz w:val="24"/>
          <w:highlight w:val="none"/>
        </w:rPr>
        <w:t>（如有）</w:t>
      </w:r>
      <w:r>
        <w:rPr>
          <w:rFonts w:hint="eastAsia" w:ascii="宋体" w:hAnsi="宋体" w:cs="宋体"/>
          <w:snapToGrid w:val="0"/>
          <w:color w:val="auto"/>
          <w:kern w:val="0"/>
          <w:sz w:val="24"/>
          <w:highlight w:val="none"/>
        </w:rPr>
        <w:t>：招标文件要求提交的用于评审的证书、证件、证明原件（附一式</w:t>
      </w:r>
      <w:r>
        <w:rPr>
          <w:rFonts w:hint="eastAsia" w:ascii="宋体" w:hAnsi="宋体" w:cs="宋体"/>
          <w:snapToGrid w:val="0"/>
          <w:color w:val="auto"/>
          <w:kern w:val="0"/>
          <w:sz w:val="24"/>
          <w:highlight w:val="none"/>
          <w:u w:val="single"/>
        </w:rPr>
        <w:t xml:space="preserve"> 两 </w:t>
      </w:r>
      <w:r>
        <w:rPr>
          <w:rFonts w:hint="eastAsia" w:ascii="宋体" w:hAnsi="宋体" w:cs="宋体"/>
          <w:snapToGrid w:val="0"/>
          <w:color w:val="auto"/>
          <w:kern w:val="0"/>
          <w:sz w:val="24"/>
          <w:highlight w:val="none"/>
        </w:rPr>
        <w:t>份清单）。</w:t>
      </w:r>
    </w:p>
    <w:p w14:paraId="513CE89F">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12.5</w:t>
      </w:r>
      <w:r>
        <w:rPr>
          <w:rFonts w:hint="eastAsia" w:ascii="宋体" w:hAnsi="宋体" w:cs="宋体"/>
          <w:snapToGrid w:val="0"/>
          <w:color w:val="auto"/>
          <w:kern w:val="0"/>
          <w:sz w:val="24"/>
          <w:highlight w:val="none"/>
        </w:rPr>
        <w:t>出现下述情形之一，属于未成功提交投标文件，按无效投标处理：</w:t>
      </w:r>
    </w:p>
    <w:p w14:paraId="06E3DFD5">
      <w:pPr>
        <w:pStyle w:val="88"/>
        <w:keepNext w:val="0"/>
        <w:keepLines w:val="0"/>
        <w:pageBreakBefore w:val="0"/>
        <w:wordWrap w:val="0"/>
        <w:topLinePunct w:val="0"/>
        <w:bidi w:val="0"/>
        <w:adjustRightInd w:val="0"/>
        <w:snapToGrid w:val="0"/>
        <w:spacing w:line="500" w:lineRule="exact"/>
        <w:ind w:firstLine="480" w:firstLineChars="200"/>
        <w:jc w:val="left"/>
        <w:textAlignment w:val="auto"/>
        <w:rPr>
          <w:rFonts w:hint="eastAsia" w:ascii="宋体" w:hAnsi="宋体" w:eastAsia="宋体" w:cs="宋体"/>
          <w:snapToGrid w:val="0"/>
          <w:color w:val="auto"/>
          <w:kern w:val="0"/>
          <w:sz w:val="24"/>
          <w:highlight w:val="none"/>
          <w:lang w:eastAsia="zh-CN"/>
        </w:rPr>
      </w:pPr>
      <w:r>
        <w:rPr>
          <w:rFonts w:hint="eastAsia" w:ascii="宋体" w:hAnsi="宋体" w:cs="宋体"/>
          <w:snapToGrid w:val="0"/>
          <w:color w:val="auto"/>
          <w:kern w:val="0"/>
          <w:sz w:val="24"/>
          <w:highlight w:val="none"/>
        </w:rPr>
        <w:t>（1）至电子投标截止时间时，投标文件未完整上传或未提交投标</w:t>
      </w:r>
      <w:r>
        <w:rPr>
          <w:rFonts w:hint="eastAsia" w:ascii="宋体" w:hAnsi="宋体" w:cs="宋体"/>
          <w:snapToGrid w:val="0"/>
          <w:color w:val="auto"/>
          <w:kern w:val="0"/>
          <w:sz w:val="24"/>
          <w:highlight w:val="none"/>
          <w:lang w:eastAsia="zh-CN"/>
        </w:rPr>
        <w:t>；</w:t>
      </w:r>
    </w:p>
    <w:p w14:paraId="393C44A8">
      <w:pPr>
        <w:pStyle w:val="88"/>
        <w:keepNext w:val="0"/>
        <w:keepLines w:val="0"/>
        <w:pageBreakBefore w:val="0"/>
        <w:wordWrap w:val="0"/>
        <w:topLinePunct w:val="0"/>
        <w:bidi w:val="0"/>
        <w:adjustRightInd w:val="0"/>
        <w:snapToGrid w:val="0"/>
        <w:spacing w:line="500" w:lineRule="exact"/>
        <w:ind w:firstLine="480" w:firstLineChars="20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（2）解密失败且在规定时间内未重新提交投标文件的；</w:t>
      </w:r>
    </w:p>
    <w:p w14:paraId="1C2ECEAF">
      <w:pPr>
        <w:pStyle w:val="88"/>
        <w:keepNext w:val="0"/>
        <w:keepLines w:val="0"/>
        <w:pageBreakBefore w:val="0"/>
        <w:wordWrap w:val="0"/>
        <w:topLinePunct w:val="0"/>
        <w:bidi w:val="0"/>
        <w:adjustRightInd w:val="0"/>
        <w:snapToGrid w:val="0"/>
        <w:spacing w:line="500" w:lineRule="exact"/>
        <w:ind w:firstLine="480" w:firstLineChars="20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w:t>
      </w:r>
      <w:r>
        <w:rPr>
          <w:rFonts w:hint="eastAsia" w:ascii="宋体" w:hAnsi="宋体" w:cs="宋体"/>
          <w:snapToGrid w:val="0"/>
          <w:color w:val="auto"/>
          <w:kern w:val="0"/>
          <w:sz w:val="24"/>
          <w:highlight w:val="none"/>
          <w:lang w:val="en-US" w:eastAsia="zh-CN"/>
        </w:rPr>
        <w:t>3</w:t>
      </w:r>
      <w:r>
        <w:rPr>
          <w:rFonts w:hint="eastAsia" w:ascii="宋体" w:hAnsi="宋体" w:cs="宋体"/>
          <w:snapToGrid w:val="0"/>
          <w:color w:val="auto"/>
          <w:kern w:val="0"/>
          <w:sz w:val="24"/>
          <w:highlight w:val="none"/>
        </w:rPr>
        <w:t>）投标文件损坏或格式不正确的。</w:t>
      </w:r>
    </w:p>
    <w:p w14:paraId="3AC0F6D3">
      <w:pPr>
        <w:keepNext w:val="0"/>
        <w:keepLines w:val="0"/>
        <w:pageBreakBefore w:val="0"/>
        <w:wordWrap w:val="0"/>
        <w:topLinePunct w:val="0"/>
        <w:bidi w:val="0"/>
        <w:adjustRightInd w:val="0"/>
        <w:snapToGrid w:val="0"/>
        <w:spacing w:line="500" w:lineRule="exact"/>
        <w:ind w:firstLine="482" w:firstLineChars="200"/>
        <w:textAlignment w:val="auto"/>
        <w:outlineLvl w:val="2"/>
        <w:rPr>
          <w:rFonts w:hAnsi="宋体" w:cs="宋体"/>
          <w:snapToGrid w:val="0"/>
          <w:color w:val="auto"/>
          <w:kern w:val="0"/>
          <w:szCs w:val="24"/>
          <w:highlight w:val="none"/>
        </w:rPr>
      </w:pPr>
      <w:bookmarkStart w:id="51" w:name="_Toc3521"/>
      <w:r>
        <w:rPr>
          <w:rFonts w:hint="eastAsia" w:hAnsi="宋体" w:cs="宋体"/>
          <w:b/>
          <w:snapToGrid w:val="0"/>
          <w:color w:val="auto"/>
          <w:kern w:val="0"/>
          <w:szCs w:val="24"/>
          <w:highlight w:val="none"/>
        </w:rPr>
        <w:t>13．投标有效期</w:t>
      </w:r>
      <w:bookmarkEnd w:id="51"/>
    </w:p>
    <w:p w14:paraId="71D92EAD">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本次招标投标有效期为</w:t>
      </w:r>
      <w:r>
        <w:rPr>
          <w:rFonts w:hint="eastAsia" w:hAnsi="宋体" w:cs="宋体"/>
          <w:snapToGrid w:val="0"/>
          <w:color w:val="auto"/>
          <w:kern w:val="0"/>
          <w:szCs w:val="24"/>
          <w:highlight w:val="none"/>
          <w:u w:val="single"/>
        </w:rPr>
        <w:t xml:space="preserve">  90  </w:t>
      </w:r>
      <w:r>
        <w:rPr>
          <w:rFonts w:hint="eastAsia" w:hAnsi="宋体" w:cs="宋体"/>
          <w:snapToGrid w:val="0"/>
          <w:color w:val="auto"/>
          <w:kern w:val="0"/>
          <w:szCs w:val="24"/>
          <w:highlight w:val="none"/>
        </w:rPr>
        <w:t>个日历天，自招标人或其授权的招标代理机构接收投标人递交的投标文件之日起计。在此期间，投标人不得撤销或修改其投标文件，否则其投标保证不予退还。</w:t>
      </w:r>
    </w:p>
    <w:p w14:paraId="21271E1F">
      <w:pPr>
        <w:keepNext w:val="0"/>
        <w:keepLines w:val="0"/>
        <w:pageBreakBefore w:val="0"/>
        <w:wordWrap w:val="0"/>
        <w:topLinePunct w:val="0"/>
        <w:bidi w:val="0"/>
        <w:adjustRightInd w:val="0"/>
        <w:snapToGrid w:val="0"/>
        <w:spacing w:line="500" w:lineRule="exact"/>
        <w:ind w:firstLine="482" w:firstLineChars="200"/>
        <w:textAlignment w:val="auto"/>
        <w:outlineLvl w:val="2"/>
        <w:rPr>
          <w:rFonts w:hAnsi="宋体" w:cs="宋体"/>
          <w:snapToGrid w:val="0"/>
          <w:color w:val="auto"/>
          <w:kern w:val="0"/>
          <w:szCs w:val="24"/>
          <w:highlight w:val="none"/>
        </w:rPr>
      </w:pPr>
      <w:bookmarkStart w:id="52" w:name="_Toc21206"/>
      <w:r>
        <w:rPr>
          <w:rFonts w:hint="eastAsia" w:hAnsi="宋体" w:cs="宋体"/>
          <w:b/>
          <w:snapToGrid w:val="0"/>
          <w:color w:val="auto"/>
          <w:kern w:val="0"/>
          <w:szCs w:val="24"/>
          <w:highlight w:val="none"/>
        </w:rPr>
        <w:t>14．开标</w:t>
      </w:r>
      <w:bookmarkEnd w:id="52"/>
    </w:p>
    <w:p w14:paraId="36A9A778">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14.1</w:t>
      </w:r>
      <w:r>
        <w:rPr>
          <w:rFonts w:hint="eastAsia" w:ascii="宋体" w:hAnsi="宋体" w:cs="宋体"/>
          <w:snapToGrid w:val="0"/>
          <w:color w:val="auto"/>
          <w:kern w:val="0"/>
          <w:sz w:val="24"/>
          <w:highlight w:val="none"/>
        </w:rPr>
        <w:t xml:space="preserve"> 招标人邀请所有正确获取招标文件、电子投标、缴纳投标保证的投标人参加开标，投标人可自主决定是否参加。投标人可登录交易平台观看开标实况、提出异议或进行澄清、确认等操作（具体按招标文件和系统操作手册为准）。投标人不参加开标的，视其默认开标结果，以及放弃在开标期间见证、监督、投诉、申辩的权利。</w:t>
      </w:r>
    </w:p>
    <w:p w14:paraId="773191BB">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14.1.1</w:t>
      </w:r>
      <w:r>
        <w:rPr>
          <w:rFonts w:hint="eastAsia" w:ascii="宋体" w:hAnsi="宋体" w:cs="宋体"/>
          <w:snapToGrid w:val="0"/>
          <w:color w:val="auto"/>
          <w:kern w:val="0"/>
          <w:sz w:val="24"/>
          <w:highlight w:val="none"/>
        </w:rPr>
        <w:t xml:space="preserve"> 开标时间和地点：见本章第二节“重要事项时间地点一览表”。</w:t>
      </w:r>
    </w:p>
    <w:p w14:paraId="4500A2D1">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14.1.2</w:t>
      </w:r>
      <w:r>
        <w:rPr>
          <w:rFonts w:hint="eastAsia" w:ascii="宋体" w:hAnsi="宋体" w:cs="宋体"/>
          <w:snapToGrid w:val="0"/>
          <w:color w:val="auto"/>
          <w:kern w:val="0"/>
          <w:sz w:val="24"/>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全国公共资源交易平台（广东省·韶关市）（https://ygp.gdzwfw.gov.cn/ggzy-portal/#/440200/index）查询是否发布了取消开标活动的相关信息。</w:t>
      </w:r>
    </w:p>
    <w:p w14:paraId="3DA94E81">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14.1.3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4ED783F2">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14.2</w:t>
      </w:r>
      <w:r>
        <w:rPr>
          <w:rFonts w:hint="eastAsia" w:hAnsi="宋体" w:cs="宋体"/>
          <w:snapToGrid w:val="0"/>
          <w:color w:val="auto"/>
          <w:kern w:val="0"/>
          <w:szCs w:val="24"/>
          <w:highlight w:val="none"/>
        </w:rPr>
        <w:t xml:space="preserve"> 开标程序</w:t>
      </w:r>
    </w:p>
    <w:p w14:paraId="60A7711B">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（1）主持人（招标人代表或招标人授权的招标代理机构人员）宣读开标纪律。</w:t>
      </w:r>
    </w:p>
    <w:p w14:paraId="7D103B3C">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（2）主持人宣布唱标人、记录人、见证人、监督人等有关人员姓名。</w:t>
      </w:r>
    </w:p>
    <w:p w14:paraId="48E3927E">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（3）招标代理机构在交易场所工作人员见证下对投标人的电子投标信息进行解密，建设工程交易系统自动生成《投标保证缴纳情况表》和《开标一览表》。</w:t>
      </w:r>
    </w:p>
    <w:p w14:paraId="1E7E2048">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（4）唱标人检查《投标保证缴纳情况表》中各投标人所缴纳投标保证的金额、有效期是否符合招标文件规定。若不符合规定，该投标人的投标无效。将有关情形在《投标保证缴纳情况表》“备注”栏中注明。</w:t>
      </w:r>
    </w:p>
    <w:p w14:paraId="4DDC415C">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（5）唱标人检查《开标一览表》中各投标人的投标总价、质量标准、工期是否符合招标文件规定。若不符合规定，招标代理机构应将有关情形在《开标一览表》“备注”栏中注明。</w:t>
      </w:r>
    </w:p>
    <w:p w14:paraId="0B68CA22">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（6）投标人代表、招标人代表、唱标人、记录人等有关人员在《投标保证缴纳情况表》以及《开标一览表》上签字确认。</w:t>
      </w:r>
    </w:p>
    <w:p w14:paraId="6B5B1C5D">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（7）主持人宣布有关注意事项后，宣布开标结束。</w:t>
      </w:r>
    </w:p>
    <w:p w14:paraId="7920A604">
      <w:pPr>
        <w:keepNext w:val="0"/>
        <w:keepLines w:val="0"/>
        <w:pageBreakBefore w:val="0"/>
        <w:wordWrap w:val="0"/>
        <w:topLinePunct w:val="0"/>
        <w:bidi w:val="0"/>
        <w:adjustRightInd w:val="0"/>
        <w:snapToGrid w:val="0"/>
        <w:spacing w:line="500" w:lineRule="exact"/>
        <w:ind w:firstLine="482" w:firstLineChars="200"/>
        <w:textAlignment w:val="auto"/>
        <w:rPr>
          <w:rFonts w:ascii="Times New Roman"/>
          <w:snapToGrid w:val="0"/>
          <w:color w:val="auto"/>
          <w:kern w:val="0"/>
          <w:highlight w:val="none"/>
        </w:rPr>
      </w:pPr>
      <w:r>
        <w:rPr>
          <w:rFonts w:hint="eastAsia" w:hAnsi="宋体" w:cs="宋体"/>
          <w:b/>
          <w:bCs/>
          <w:snapToGrid w:val="0"/>
          <w:color w:val="auto"/>
          <w:kern w:val="0"/>
          <w:szCs w:val="24"/>
          <w:highlight w:val="none"/>
        </w:rPr>
        <w:t>备注：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0E18E934">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14.3</w:t>
      </w:r>
      <w:r>
        <w:rPr>
          <w:rFonts w:hint="eastAsia" w:hAnsi="宋体" w:cs="宋体"/>
          <w:snapToGrid w:val="0"/>
          <w:color w:val="auto"/>
          <w:kern w:val="0"/>
          <w:highlight w:val="none"/>
        </w:rPr>
        <w:t xml:space="preserve"> </w:t>
      </w:r>
      <w:r>
        <w:rPr>
          <w:rFonts w:hint="eastAsia" w:hAnsi="宋体" w:cs="宋体"/>
          <w:snapToGrid w:val="0"/>
          <w:color w:val="auto"/>
          <w:kern w:val="0"/>
          <w:szCs w:val="24"/>
          <w:highlight w:val="none"/>
        </w:rPr>
        <w:t>投标人对开标相关事项（如开标程序、投标文件组成和数量、唱标次序和内容等）有异议的，必须在开标期间和开标现场提出，招标人或其授权的招标代理机构应当场作出答复，并记录在案。对开标事项的异议未在开标期间和开标现场提出的，招标人不予受理。</w:t>
      </w:r>
    </w:p>
    <w:p w14:paraId="6D08E7C9">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14.4</w:t>
      </w:r>
      <w:r>
        <w:rPr>
          <w:rFonts w:hint="eastAsia" w:hAnsi="宋体" w:cs="宋体"/>
          <w:snapToGrid w:val="0"/>
          <w:color w:val="auto"/>
          <w:kern w:val="0"/>
          <w:highlight w:val="none"/>
        </w:rPr>
        <w:t xml:space="preserve"> 招标代理机构将资料原件（如有）、《开标一览表》以及其他有关资料移交评标委员会。</w:t>
      </w:r>
    </w:p>
    <w:p w14:paraId="084023D5">
      <w:pPr>
        <w:keepNext w:val="0"/>
        <w:keepLines w:val="0"/>
        <w:pageBreakBefore w:val="0"/>
        <w:wordWrap w:val="0"/>
        <w:topLinePunct w:val="0"/>
        <w:bidi w:val="0"/>
        <w:adjustRightInd w:val="0"/>
        <w:snapToGrid w:val="0"/>
        <w:spacing w:line="500" w:lineRule="exact"/>
        <w:ind w:firstLine="482" w:firstLineChars="200"/>
        <w:textAlignment w:val="auto"/>
        <w:outlineLvl w:val="2"/>
        <w:rPr>
          <w:rFonts w:hAnsi="宋体" w:cs="宋体"/>
          <w:b/>
          <w:snapToGrid w:val="0"/>
          <w:color w:val="auto"/>
          <w:kern w:val="0"/>
          <w:highlight w:val="none"/>
        </w:rPr>
      </w:pPr>
      <w:bookmarkStart w:id="53" w:name="_Hlt127093805"/>
      <w:bookmarkEnd w:id="53"/>
      <w:bookmarkStart w:id="54" w:name="_Toc22622"/>
      <w:r>
        <w:rPr>
          <w:rFonts w:hint="eastAsia" w:hAnsi="宋体" w:cs="宋体"/>
          <w:b/>
          <w:snapToGrid w:val="0"/>
          <w:color w:val="auto"/>
          <w:kern w:val="0"/>
          <w:highlight w:val="none"/>
        </w:rPr>
        <w:t>15．评标</w:t>
      </w:r>
      <w:bookmarkEnd w:id="54"/>
    </w:p>
    <w:p w14:paraId="6EA31934">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评标分为初步评审和详细评审两个阶段，由评标委员会在有关部门的监督下，严格按照本招标文件指定的评标方法，对投标人的投标文件进行评审。</w:t>
      </w:r>
    </w:p>
    <w:p w14:paraId="57771A4E">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bCs/>
          <w:snapToGrid w:val="0"/>
          <w:color w:val="auto"/>
          <w:kern w:val="0"/>
          <w:highlight w:val="none"/>
        </w:rPr>
      </w:pPr>
      <w:r>
        <w:rPr>
          <w:rFonts w:hint="eastAsia" w:hAnsi="宋体" w:cs="宋体"/>
          <w:b/>
          <w:bCs/>
          <w:snapToGrid w:val="0"/>
          <w:color w:val="auto"/>
          <w:kern w:val="0"/>
          <w:highlight w:val="none"/>
        </w:rPr>
        <w:t>15.1</w:t>
      </w:r>
      <w:r>
        <w:rPr>
          <w:rFonts w:hint="eastAsia" w:hAnsi="宋体" w:cs="宋体"/>
          <w:bCs/>
          <w:snapToGrid w:val="0"/>
          <w:color w:val="auto"/>
          <w:kern w:val="0"/>
          <w:highlight w:val="none"/>
        </w:rPr>
        <w:t xml:space="preserve"> 评标委员会</w:t>
      </w:r>
    </w:p>
    <w:p w14:paraId="5942C79C">
      <w:pPr>
        <w:keepNext w:val="0"/>
        <w:keepLines w:val="0"/>
        <w:pageBreakBefore w:val="0"/>
        <w:wordWrap w:val="0"/>
        <w:topLinePunct w:val="0"/>
        <w:bidi w:val="0"/>
        <w:adjustRightInd w:val="0"/>
        <w:snapToGrid w:val="0"/>
        <w:spacing w:line="500" w:lineRule="exact"/>
        <w:ind w:firstLine="480"/>
        <w:textAlignment w:val="auto"/>
        <w:rPr>
          <w:rFonts w:hAnsi="宋体" w:cs="宋体"/>
          <w:snapToGrid w:val="0"/>
          <w:color w:val="auto"/>
          <w:kern w:val="0"/>
          <w:highlight w:val="none"/>
        </w:rPr>
      </w:pPr>
      <w:r>
        <w:rPr>
          <w:rFonts w:hint="eastAsia" w:hAnsi="宋体" w:cs="宋体"/>
          <w:b/>
          <w:bCs/>
          <w:snapToGrid w:val="0"/>
          <w:color w:val="auto"/>
          <w:kern w:val="0"/>
          <w:highlight w:val="none"/>
        </w:rPr>
        <w:t>15.1.1</w:t>
      </w:r>
      <w:r>
        <w:rPr>
          <w:rFonts w:hint="eastAsia" w:hAnsi="宋体" w:cs="宋体"/>
          <w:snapToGrid w:val="0"/>
          <w:color w:val="auto"/>
          <w:kern w:val="0"/>
          <w:highlight w:val="none"/>
        </w:rPr>
        <w:t xml:space="preserve"> 评标委员会由</w:t>
      </w:r>
      <w:r>
        <w:rPr>
          <w:rFonts w:hint="eastAsia" w:hAnsi="宋体" w:cs="宋体"/>
          <w:snapToGrid w:val="0"/>
          <w:color w:val="auto"/>
          <w:kern w:val="0"/>
          <w:highlight w:val="none"/>
          <w:u w:val="single"/>
        </w:rPr>
        <w:t xml:space="preserve"> 5 </w:t>
      </w:r>
      <w:r>
        <w:rPr>
          <w:rFonts w:hint="eastAsia" w:hAnsi="宋体" w:cs="宋体"/>
          <w:snapToGrid w:val="0"/>
          <w:color w:val="auto"/>
          <w:kern w:val="0"/>
          <w:highlight w:val="none"/>
        </w:rPr>
        <w:t>人组成，其中招标人代表</w:t>
      </w:r>
      <w:r>
        <w:rPr>
          <w:rFonts w:hint="eastAsia" w:hAnsi="宋体" w:cs="宋体"/>
          <w:snapToGrid w:val="0"/>
          <w:color w:val="auto"/>
          <w:kern w:val="0"/>
          <w:highlight w:val="none"/>
          <w:u w:val="single"/>
          <w:lang w:val="en-US" w:eastAsia="zh-CN"/>
        </w:rPr>
        <w:t>0</w:t>
      </w:r>
      <w:r>
        <w:rPr>
          <w:rFonts w:hint="eastAsia" w:hAnsi="宋体" w:cs="宋体"/>
          <w:snapToGrid w:val="0"/>
          <w:color w:val="auto"/>
          <w:kern w:val="0"/>
          <w:highlight w:val="none"/>
        </w:rPr>
        <w:t>人，专家</w:t>
      </w:r>
      <w:r>
        <w:rPr>
          <w:rFonts w:hint="eastAsia" w:hAnsi="宋体" w:cs="宋体"/>
          <w:snapToGrid w:val="0"/>
          <w:color w:val="auto"/>
          <w:kern w:val="0"/>
          <w:highlight w:val="none"/>
          <w:u w:val="single"/>
        </w:rPr>
        <w:t xml:space="preserve"> 5 </w:t>
      </w:r>
      <w:r>
        <w:rPr>
          <w:rFonts w:hint="eastAsia" w:hAnsi="宋体" w:cs="宋体"/>
          <w:snapToGrid w:val="0"/>
          <w:color w:val="auto"/>
          <w:kern w:val="0"/>
          <w:highlight w:val="none"/>
        </w:rPr>
        <w:t>人。专家从广东省综合评标评审专家库</w:t>
      </w:r>
      <w:r>
        <w:rPr>
          <w:rFonts w:hint="eastAsia" w:hAnsi="宋体" w:cs="宋体"/>
          <w:snapToGrid w:val="0"/>
          <w:color w:val="auto"/>
          <w:kern w:val="0"/>
          <w:szCs w:val="24"/>
          <w:highlight w:val="none"/>
          <w:lang w:val="en-US" w:eastAsia="zh-CN"/>
        </w:rPr>
        <w:t>-韶关区域</w:t>
      </w:r>
      <w:r>
        <w:rPr>
          <w:rFonts w:hint="eastAsia" w:hAnsi="宋体" w:cs="宋体"/>
          <w:snapToGrid w:val="0"/>
          <w:color w:val="auto"/>
          <w:kern w:val="0"/>
          <w:highlight w:val="none"/>
        </w:rPr>
        <w:t>中随机抽取，其中技术类专家</w:t>
      </w:r>
      <w:r>
        <w:rPr>
          <w:rFonts w:hint="eastAsia" w:hAnsi="宋体" w:cs="宋体"/>
          <w:snapToGrid w:val="0"/>
          <w:color w:val="auto"/>
          <w:kern w:val="0"/>
          <w:highlight w:val="none"/>
          <w:u w:val="single"/>
        </w:rPr>
        <w:t xml:space="preserve">3 </w:t>
      </w:r>
      <w:r>
        <w:rPr>
          <w:rFonts w:hint="eastAsia" w:hAnsi="宋体" w:cs="宋体"/>
          <w:snapToGrid w:val="0"/>
          <w:color w:val="auto"/>
          <w:kern w:val="0"/>
          <w:highlight w:val="none"/>
        </w:rPr>
        <w:t>人，经济类专家</w:t>
      </w:r>
      <w:r>
        <w:rPr>
          <w:rFonts w:hint="eastAsia" w:hAnsi="宋体" w:cs="宋体"/>
          <w:snapToGrid w:val="0"/>
          <w:color w:val="auto"/>
          <w:kern w:val="0"/>
          <w:highlight w:val="none"/>
          <w:u w:val="single"/>
        </w:rPr>
        <w:t xml:space="preserve"> 2</w:t>
      </w:r>
      <w:r>
        <w:rPr>
          <w:rFonts w:hint="eastAsia" w:hAnsi="宋体" w:cs="宋体"/>
          <w:snapToGrid w:val="0"/>
          <w:color w:val="auto"/>
          <w:kern w:val="0"/>
          <w:highlight w:val="none"/>
        </w:rPr>
        <w:t>人。评标委员会设负责人，由评标委员会成员推举产生。评标委员会负责人与评标委员会的其他成员有同等的表决权。</w:t>
      </w:r>
    </w:p>
    <w:p w14:paraId="60C2BC93">
      <w:pPr>
        <w:keepNext w:val="0"/>
        <w:keepLines w:val="0"/>
        <w:pageBreakBefore w:val="0"/>
        <w:wordWrap w:val="0"/>
        <w:topLinePunct w:val="0"/>
        <w:bidi w:val="0"/>
        <w:adjustRightInd w:val="0"/>
        <w:snapToGrid w:val="0"/>
        <w:spacing w:line="500" w:lineRule="exact"/>
        <w:ind w:firstLine="560"/>
        <w:textAlignment w:val="auto"/>
        <w:rPr>
          <w:rFonts w:hAnsi="宋体" w:cs="宋体"/>
          <w:snapToGrid w:val="0"/>
          <w:color w:val="auto"/>
          <w:kern w:val="0"/>
          <w:highlight w:val="none"/>
        </w:rPr>
      </w:pPr>
      <w:r>
        <w:rPr>
          <w:rFonts w:hint="eastAsia" w:hAnsi="宋体" w:cs="宋体"/>
          <w:b/>
          <w:bCs/>
          <w:snapToGrid w:val="0"/>
          <w:color w:val="auto"/>
          <w:kern w:val="0"/>
          <w:highlight w:val="none"/>
        </w:rPr>
        <w:t>15.1.2</w:t>
      </w:r>
      <w:r>
        <w:rPr>
          <w:rFonts w:hint="eastAsia" w:hAnsi="宋体" w:cs="宋体"/>
          <w:snapToGrid w:val="0"/>
          <w:color w:val="auto"/>
          <w:kern w:val="0"/>
          <w:highlight w:val="none"/>
        </w:rPr>
        <w:t xml:space="preserve"> 评标委员会应认真、公正、诚实、廉洁地履行职责。有下列情形之一的，不得担任评标委员会成员：</w:t>
      </w:r>
    </w:p>
    <w:p w14:paraId="3229C8B7">
      <w:pPr>
        <w:keepNext w:val="0"/>
        <w:keepLines w:val="0"/>
        <w:pageBreakBefore w:val="0"/>
        <w:wordWrap w:val="0"/>
        <w:topLinePunct w:val="0"/>
        <w:bidi w:val="0"/>
        <w:adjustRightInd w:val="0"/>
        <w:snapToGrid w:val="0"/>
        <w:spacing w:line="500" w:lineRule="exact"/>
        <w:ind w:firstLine="560"/>
        <w:textAlignment w:val="auto"/>
        <w:rPr>
          <w:rFonts w:hAnsi="宋体" w:cs="宋体"/>
          <w:snapToGrid w:val="0"/>
          <w:color w:val="auto"/>
          <w:kern w:val="0"/>
          <w:highlight w:val="none"/>
        </w:rPr>
      </w:pPr>
      <w:r>
        <w:rPr>
          <w:rFonts w:hint="eastAsia" w:hAnsi="宋体" w:cs="宋体"/>
          <w:snapToGrid w:val="0"/>
          <w:color w:val="auto"/>
          <w:kern w:val="0"/>
          <w:highlight w:val="none"/>
        </w:rPr>
        <w:t>（1）投标人或投标人主要负责人的近亲属；</w:t>
      </w:r>
    </w:p>
    <w:p w14:paraId="60059B62">
      <w:pPr>
        <w:keepNext w:val="0"/>
        <w:keepLines w:val="0"/>
        <w:pageBreakBefore w:val="0"/>
        <w:wordWrap w:val="0"/>
        <w:topLinePunct w:val="0"/>
        <w:bidi w:val="0"/>
        <w:adjustRightInd w:val="0"/>
        <w:snapToGrid w:val="0"/>
        <w:spacing w:line="500" w:lineRule="exact"/>
        <w:ind w:firstLine="560"/>
        <w:textAlignment w:val="auto"/>
        <w:rPr>
          <w:rFonts w:hAnsi="宋体" w:cs="宋体"/>
          <w:snapToGrid w:val="0"/>
          <w:color w:val="auto"/>
          <w:kern w:val="0"/>
          <w:highlight w:val="none"/>
        </w:rPr>
      </w:pPr>
      <w:r>
        <w:rPr>
          <w:rFonts w:hint="eastAsia" w:hAnsi="宋体" w:cs="宋体"/>
          <w:snapToGrid w:val="0"/>
          <w:color w:val="auto"/>
          <w:kern w:val="0"/>
          <w:highlight w:val="none"/>
        </w:rPr>
        <w:t>（2）项目主管部门或者行政监督部门的人员；</w:t>
      </w:r>
    </w:p>
    <w:p w14:paraId="15B3F507">
      <w:pPr>
        <w:keepNext w:val="0"/>
        <w:keepLines w:val="0"/>
        <w:pageBreakBefore w:val="0"/>
        <w:wordWrap w:val="0"/>
        <w:topLinePunct w:val="0"/>
        <w:bidi w:val="0"/>
        <w:adjustRightInd w:val="0"/>
        <w:snapToGrid w:val="0"/>
        <w:spacing w:line="500" w:lineRule="exact"/>
        <w:ind w:firstLine="560"/>
        <w:textAlignment w:val="auto"/>
        <w:rPr>
          <w:rFonts w:hAnsi="宋体" w:cs="宋体"/>
          <w:snapToGrid w:val="0"/>
          <w:color w:val="auto"/>
          <w:kern w:val="0"/>
          <w:highlight w:val="none"/>
        </w:rPr>
      </w:pPr>
      <w:r>
        <w:rPr>
          <w:rFonts w:hint="eastAsia" w:hAnsi="宋体" w:cs="宋体"/>
          <w:snapToGrid w:val="0"/>
          <w:color w:val="auto"/>
          <w:kern w:val="0"/>
          <w:highlight w:val="none"/>
        </w:rPr>
        <w:t>（3）与投标人有经济利益关系，可能影响对投标公正评审的；</w:t>
      </w:r>
    </w:p>
    <w:p w14:paraId="48F180A7">
      <w:pPr>
        <w:keepNext w:val="0"/>
        <w:keepLines w:val="0"/>
        <w:pageBreakBefore w:val="0"/>
        <w:wordWrap w:val="0"/>
        <w:topLinePunct w:val="0"/>
        <w:bidi w:val="0"/>
        <w:adjustRightInd w:val="0"/>
        <w:snapToGrid w:val="0"/>
        <w:spacing w:line="500" w:lineRule="exact"/>
        <w:ind w:firstLine="560"/>
        <w:textAlignment w:val="auto"/>
        <w:rPr>
          <w:rFonts w:hAnsi="宋体" w:cs="宋体"/>
          <w:snapToGrid w:val="0"/>
          <w:color w:val="auto"/>
          <w:kern w:val="0"/>
          <w:highlight w:val="none"/>
        </w:rPr>
      </w:pPr>
      <w:r>
        <w:rPr>
          <w:rFonts w:hint="eastAsia" w:hAnsi="宋体" w:cs="宋体"/>
          <w:snapToGrid w:val="0"/>
          <w:color w:val="auto"/>
          <w:kern w:val="0"/>
          <w:highlight w:val="none"/>
        </w:rPr>
        <w:t>（4）曾因在招标、评标以及其他与招标投标有关活动中从事违法行为而受过行政处罚或刑事处罚的。</w:t>
      </w:r>
    </w:p>
    <w:p w14:paraId="623043D7">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评标委员会成员有以上情形之一的，应主动提出回避。</w:t>
      </w:r>
    </w:p>
    <w:p w14:paraId="0931A332">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15.1.3</w:t>
      </w:r>
      <w:r>
        <w:rPr>
          <w:rFonts w:hint="eastAsia" w:hAnsi="宋体" w:cs="宋体"/>
          <w:snapToGrid w:val="0"/>
          <w:color w:val="auto"/>
          <w:kern w:val="0"/>
          <w:highlight w:val="none"/>
        </w:rPr>
        <w:t xml:space="preserve"> 评标全过程实行封闭式管理，在中标结果公布前，禁止评标委员会成员以任何方式私下接触投标人。</w:t>
      </w:r>
    </w:p>
    <w:p w14:paraId="61E47F7E">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15.1.4</w:t>
      </w:r>
      <w:r>
        <w:rPr>
          <w:rFonts w:hint="eastAsia" w:hAnsi="宋体" w:cs="宋体"/>
          <w:snapToGrid w:val="0"/>
          <w:color w:val="auto"/>
          <w:kern w:val="0"/>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50C0DD49">
      <w:pPr>
        <w:keepNext w:val="0"/>
        <w:keepLines w:val="0"/>
        <w:pageBreakBefore w:val="0"/>
        <w:wordWrap w:val="0"/>
        <w:topLinePunct w:val="0"/>
        <w:bidi w:val="0"/>
        <w:adjustRightInd w:val="0"/>
        <w:snapToGrid w:val="0"/>
        <w:spacing w:line="500" w:lineRule="exact"/>
        <w:ind w:firstLine="562"/>
        <w:textAlignment w:val="auto"/>
        <w:rPr>
          <w:rFonts w:hAnsi="宋体" w:cs="宋体"/>
          <w:b/>
          <w:snapToGrid w:val="0"/>
          <w:color w:val="auto"/>
          <w:kern w:val="0"/>
          <w:szCs w:val="22"/>
          <w:highlight w:val="none"/>
        </w:rPr>
      </w:pPr>
      <w:r>
        <w:rPr>
          <w:rFonts w:hint="eastAsia" w:hAnsi="宋体" w:cs="宋体"/>
          <w:b/>
          <w:bCs/>
          <w:snapToGrid w:val="0"/>
          <w:color w:val="auto"/>
          <w:kern w:val="0"/>
          <w:highlight w:val="none"/>
        </w:rPr>
        <w:t>15.1.5</w:t>
      </w:r>
      <w:r>
        <w:rPr>
          <w:rFonts w:hint="eastAsia" w:hAnsi="宋体" w:cs="宋体"/>
          <w:snapToGrid w:val="0"/>
          <w:color w:val="auto"/>
          <w:kern w:val="0"/>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423CFD1F">
      <w:pPr>
        <w:keepNext w:val="0"/>
        <w:keepLines w:val="0"/>
        <w:pageBreakBefore w:val="0"/>
        <w:wordWrap w:val="0"/>
        <w:topLinePunct w:val="0"/>
        <w:bidi w:val="0"/>
        <w:adjustRightInd w:val="0"/>
        <w:snapToGrid w:val="0"/>
        <w:spacing w:line="500" w:lineRule="exact"/>
        <w:ind w:firstLine="561"/>
        <w:textAlignment w:val="auto"/>
        <w:rPr>
          <w:rFonts w:hAnsi="宋体" w:cs="宋体"/>
          <w:bCs/>
          <w:snapToGrid w:val="0"/>
          <w:color w:val="auto"/>
          <w:kern w:val="0"/>
          <w:highlight w:val="none"/>
        </w:rPr>
      </w:pPr>
      <w:r>
        <w:rPr>
          <w:rFonts w:hint="eastAsia" w:hAnsi="宋体" w:cs="宋体"/>
          <w:b/>
          <w:bCs/>
          <w:snapToGrid w:val="0"/>
          <w:color w:val="auto"/>
          <w:kern w:val="0"/>
          <w:highlight w:val="none"/>
        </w:rPr>
        <w:t>15.2</w:t>
      </w:r>
      <w:r>
        <w:rPr>
          <w:rFonts w:hint="eastAsia" w:hAnsi="宋体" w:cs="宋体"/>
          <w:bCs/>
          <w:snapToGrid w:val="0"/>
          <w:color w:val="auto"/>
          <w:kern w:val="0"/>
          <w:szCs w:val="22"/>
          <w:highlight w:val="none"/>
        </w:rPr>
        <w:t xml:space="preserve"> 评标方法</w:t>
      </w:r>
    </w:p>
    <w:p w14:paraId="41C6F5C9">
      <w:pPr>
        <w:keepNext w:val="0"/>
        <w:keepLines w:val="0"/>
        <w:pageBreakBefore w:val="0"/>
        <w:wordWrap w:val="0"/>
        <w:topLinePunct w:val="0"/>
        <w:bidi w:val="0"/>
        <w:adjustRightInd w:val="0"/>
        <w:snapToGrid w:val="0"/>
        <w:spacing w:line="500" w:lineRule="exact"/>
        <w:ind w:firstLine="562"/>
        <w:textAlignment w:val="auto"/>
        <w:rPr>
          <w:rFonts w:hAnsi="宋体" w:cs="宋体"/>
          <w:i/>
          <w:iCs/>
          <w:snapToGrid w:val="0"/>
          <w:color w:val="auto"/>
          <w:kern w:val="0"/>
          <w:highlight w:val="none"/>
        </w:rPr>
      </w:pPr>
      <w:r>
        <w:rPr>
          <w:rFonts w:hint="eastAsia" w:hAnsi="宋体" w:cs="宋体"/>
          <w:snapToGrid w:val="0"/>
          <w:color w:val="auto"/>
          <w:kern w:val="0"/>
          <w:highlight w:val="none"/>
        </w:rPr>
        <w:t>根据有关法律、法规的相关规定，结合本招标项目资金来源和规模特点，本次招标采用“综合评估法”进行评标。</w:t>
      </w:r>
    </w:p>
    <w:p w14:paraId="284DAF78">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15.3</w:t>
      </w:r>
      <w:r>
        <w:rPr>
          <w:rFonts w:hint="eastAsia" w:hAnsi="宋体" w:cs="宋体"/>
          <w:bCs/>
          <w:snapToGrid w:val="0"/>
          <w:color w:val="auto"/>
          <w:kern w:val="0"/>
          <w:szCs w:val="22"/>
          <w:highlight w:val="none"/>
        </w:rPr>
        <w:t xml:space="preserve"> 评审范围：</w:t>
      </w:r>
      <w:r>
        <w:rPr>
          <w:rFonts w:hint="eastAsia" w:hAnsi="宋体" w:cs="宋体"/>
          <w:snapToGrid w:val="0"/>
          <w:color w:val="auto"/>
          <w:kern w:val="0"/>
          <w:highlight w:val="none"/>
        </w:rPr>
        <w:t>评标委员会应对所有进入评标投标人的投标文件进行评审。</w:t>
      </w:r>
    </w:p>
    <w:p w14:paraId="628310C2">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15.4</w:t>
      </w:r>
      <w:r>
        <w:rPr>
          <w:rFonts w:hint="eastAsia" w:hAnsi="宋体" w:cs="宋体"/>
          <w:snapToGrid w:val="0"/>
          <w:color w:val="auto"/>
          <w:kern w:val="0"/>
          <w:highlight w:val="none"/>
        </w:rPr>
        <w:t xml:space="preserve"> 初步评审阶段</w:t>
      </w:r>
    </w:p>
    <w:p w14:paraId="64754F08">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初步评审阶段分为资格评审、形式评审和响应性评审三个环节。</w:t>
      </w:r>
    </w:p>
    <w:p w14:paraId="24716141">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15.4.1</w:t>
      </w:r>
      <w:r>
        <w:rPr>
          <w:rFonts w:hint="eastAsia" w:hAnsi="宋体" w:cs="宋体"/>
          <w:snapToGrid w:val="0"/>
          <w:color w:val="auto"/>
          <w:kern w:val="0"/>
          <w:highlight w:val="none"/>
        </w:rPr>
        <w:t xml:space="preserve"> 资格评审环节</w:t>
      </w:r>
    </w:p>
    <w:p w14:paraId="025EF35F">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资格评审事项包括：</w:t>
      </w:r>
    </w:p>
    <w:p w14:paraId="5001DD5C">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（1）</w:t>
      </w:r>
      <w:r>
        <w:rPr>
          <w:rFonts w:hint="eastAsia" w:ascii="宋体" w:hAnsi="宋体" w:eastAsia="宋体" w:cs="宋体"/>
          <w:snapToGrid w:val="0"/>
          <w:color w:val="auto"/>
          <w:kern w:val="0"/>
          <w:sz w:val="24"/>
          <w:szCs w:val="24"/>
          <w:highlight w:val="none"/>
        </w:rPr>
        <w:t>投标人是否符合本章第三节第</w:t>
      </w: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.4条“禁止投标条款”规定。如果“禁止投标条款”包括失信惩戒的，投标人信用信息的获取采用现场实时查询的方式实施。由评标委员会成员登录信用中国网站（https://www.creditchina.gov.cn）进行查询。</w:t>
      </w:r>
    </w:p>
    <w:p w14:paraId="25C22F3A">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（2）投标人名称是否与营业执照、资质证书一致。</w:t>
      </w:r>
    </w:p>
    <w:p w14:paraId="1F66C279">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（3）投标人的资质是否符合招标文件规定；其营业执照、资质证书是否合法、有效。</w:t>
      </w:r>
    </w:p>
    <w:p w14:paraId="259451E9">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4）投标文件中拟派总监理工程师是否与《开标一览表》一致；拟派总监理工程师的条件是否符合招标文件规定；是否擅自修改、遗漏《总监理工程师任职声明》的实质性内容；拟派总监理工程师现阶段有担任其他在施建设工程项目总监理工程师职务的，任职项目建设单位是否在《</w:t>
      </w:r>
      <w:r>
        <w:rPr>
          <w:rFonts w:hint="eastAsia" w:hAnsi="宋体" w:cs="宋体"/>
          <w:snapToGrid w:val="0"/>
          <w:color w:val="auto"/>
          <w:kern w:val="0"/>
          <w:szCs w:val="18"/>
          <w:highlight w:val="none"/>
        </w:rPr>
        <w:t>总监理工程师任职项目情况表</w:t>
      </w:r>
      <w:r>
        <w:rPr>
          <w:rFonts w:hint="eastAsia" w:hAnsi="宋体" w:cs="宋体"/>
          <w:snapToGrid w:val="0"/>
          <w:color w:val="auto"/>
          <w:kern w:val="0"/>
          <w:highlight w:val="none"/>
        </w:rPr>
        <w:t xml:space="preserve">》内盖章同意或另行出具了书面同意意见。 </w:t>
      </w:r>
    </w:p>
    <w:p w14:paraId="40D47863">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w:t>
      </w:r>
      <w:r>
        <w:rPr>
          <w:rFonts w:hint="eastAsia" w:hAnsi="宋体" w:cs="宋体"/>
          <w:snapToGrid w:val="0"/>
          <w:color w:val="auto"/>
          <w:kern w:val="0"/>
          <w:highlight w:val="none"/>
          <w:lang w:val="en-US" w:eastAsia="zh-CN"/>
        </w:rPr>
        <w:t>5</w:t>
      </w:r>
      <w:r>
        <w:rPr>
          <w:rFonts w:hint="eastAsia" w:hAnsi="宋体" w:cs="宋体"/>
          <w:snapToGrid w:val="0"/>
          <w:color w:val="auto"/>
          <w:kern w:val="0"/>
          <w:highlight w:val="none"/>
        </w:rPr>
        <w:t>）投标人为外省建筑企业的，是否按规定在“进粤企业和人员诚信信息登记平台”录入企业及其拟派往人员相关信息并通过数据规范检查。</w:t>
      </w:r>
    </w:p>
    <w:p w14:paraId="3880F61D">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15.4.2</w:t>
      </w:r>
      <w:r>
        <w:rPr>
          <w:rFonts w:hint="eastAsia" w:hAnsi="宋体" w:cs="宋体"/>
          <w:snapToGrid w:val="0"/>
          <w:color w:val="auto"/>
          <w:kern w:val="0"/>
          <w:highlight w:val="none"/>
        </w:rPr>
        <w:t xml:space="preserve"> 形式评审环节</w:t>
      </w:r>
    </w:p>
    <w:p w14:paraId="31C3FB62">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形式评审事项包括：</w:t>
      </w:r>
    </w:p>
    <w:p w14:paraId="34BAB71F">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（1）各分册是否按招标文件规定加盖电子印章。</w:t>
      </w:r>
    </w:p>
    <w:p w14:paraId="34D06385">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（2）本节第</w:t>
      </w:r>
      <w:r>
        <w:rPr>
          <w:rFonts w:hint="eastAsia" w:hAnsi="宋体" w:cs="宋体"/>
          <w:b/>
          <w:bCs/>
          <w:snapToGrid w:val="0"/>
          <w:color w:val="auto"/>
          <w:kern w:val="0"/>
          <w:szCs w:val="18"/>
          <w:highlight w:val="none"/>
        </w:rPr>
        <w:t>10.2.2</w:t>
      </w:r>
      <w:r>
        <w:rPr>
          <w:rFonts w:hint="eastAsia" w:hAnsi="宋体" w:cs="宋体"/>
          <w:snapToGrid w:val="0"/>
          <w:color w:val="auto"/>
          <w:kern w:val="0"/>
          <w:szCs w:val="18"/>
          <w:highlight w:val="none"/>
        </w:rPr>
        <w:t>目、</w:t>
      </w:r>
      <w:r>
        <w:rPr>
          <w:rFonts w:hint="eastAsia" w:hAnsi="宋体" w:cs="宋体"/>
          <w:snapToGrid w:val="0"/>
          <w:color w:val="auto"/>
          <w:kern w:val="0"/>
          <w:highlight w:val="none"/>
        </w:rPr>
        <w:t>第</w:t>
      </w:r>
      <w:r>
        <w:rPr>
          <w:rFonts w:hint="eastAsia" w:hAnsi="宋体" w:cs="宋体"/>
          <w:b/>
          <w:bCs/>
          <w:snapToGrid w:val="0"/>
          <w:color w:val="auto"/>
          <w:kern w:val="0"/>
          <w:szCs w:val="18"/>
          <w:highlight w:val="none"/>
        </w:rPr>
        <w:t>10.3.3</w:t>
      </w:r>
      <w:r>
        <w:rPr>
          <w:rFonts w:hint="eastAsia" w:hAnsi="宋体" w:cs="宋体"/>
          <w:snapToGrid w:val="0"/>
          <w:color w:val="auto"/>
          <w:kern w:val="0"/>
          <w:szCs w:val="18"/>
          <w:highlight w:val="none"/>
        </w:rPr>
        <w:t>目</w:t>
      </w:r>
      <w:r>
        <w:rPr>
          <w:rFonts w:hint="eastAsia" w:hAnsi="宋体" w:cs="宋体"/>
          <w:snapToGrid w:val="0"/>
          <w:color w:val="auto"/>
          <w:kern w:val="0"/>
          <w:highlight w:val="none"/>
        </w:rPr>
        <w:t>中规定的“</w:t>
      </w:r>
      <w:r>
        <w:rPr>
          <w:rFonts w:hint="eastAsia" w:hAnsi="宋体" w:cs="宋体"/>
          <w:snapToGrid w:val="0"/>
          <w:color w:val="auto"/>
          <w:kern w:val="0"/>
          <w:szCs w:val="18"/>
          <w:highlight w:val="none"/>
        </w:rPr>
        <w:t>所有投标人均应提供</w:t>
      </w:r>
      <w:r>
        <w:rPr>
          <w:rFonts w:hint="eastAsia" w:hAnsi="宋体" w:cs="宋体"/>
          <w:snapToGrid w:val="0"/>
          <w:color w:val="auto"/>
          <w:kern w:val="0"/>
          <w:highlight w:val="none"/>
        </w:rPr>
        <w:t>”的组成内容（包括该组成内容的所附资料）是否完整、齐全。</w:t>
      </w:r>
    </w:p>
    <w:p w14:paraId="52F49B4C">
      <w:pPr>
        <w:keepNext w:val="0"/>
        <w:keepLines w:val="0"/>
        <w:pageBreakBefore w:val="0"/>
        <w:wordWrap w:val="0"/>
        <w:topLinePunct w:val="0"/>
        <w:bidi w:val="0"/>
        <w:adjustRightInd w:val="0"/>
        <w:snapToGrid w:val="0"/>
        <w:spacing w:line="500" w:lineRule="exact"/>
        <w:ind w:firstLine="562"/>
        <w:textAlignment w:val="auto"/>
        <w:rPr>
          <w:rFonts w:hAnsi="宋体" w:cs="宋体"/>
          <w:snapToGrid w:val="0"/>
          <w:color w:val="auto"/>
          <w:kern w:val="0"/>
          <w:highlight w:val="none"/>
        </w:rPr>
      </w:pPr>
      <w:r>
        <w:rPr>
          <w:rFonts w:hint="eastAsia" w:hAnsi="宋体" w:cs="宋体"/>
          <w:b/>
          <w:bCs/>
          <w:snapToGrid w:val="0"/>
          <w:color w:val="auto"/>
          <w:kern w:val="0"/>
          <w:highlight w:val="none"/>
        </w:rPr>
        <w:t>15.4.3</w:t>
      </w:r>
      <w:r>
        <w:rPr>
          <w:rFonts w:hint="eastAsia" w:hAnsi="宋体" w:cs="宋体"/>
          <w:snapToGrid w:val="0"/>
          <w:color w:val="auto"/>
          <w:kern w:val="0"/>
          <w:highlight w:val="none"/>
        </w:rPr>
        <w:t xml:space="preserve"> 响应性评审环节</w:t>
      </w:r>
    </w:p>
    <w:p w14:paraId="6152F2A0">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响应性评审事项包括：</w:t>
      </w:r>
    </w:p>
    <w:p w14:paraId="3B18108A">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（1）投标有效期、监理及相关服务期限等是否响应招标文件实质性要求；是否擅自修改、遗漏《投标函》《各项承诺一览表》的实质性内容。</w:t>
      </w:r>
    </w:p>
    <w:p w14:paraId="20F6D749">
      <w:pPr>
        <w:keepNext w:val="0"/>
        <w:keepLines w:val="0"/>
        <w:pageBreakBefore w:val="0"/>
        <w:wordWrap w:val="0"/>
        <w:topLinePunct w:val="0"/>
        <w:bidi w:val="0"/>
        <w:adjustRightInd w:val="0"/>
        <w:snapToGrid w:val="0"/>
        <w:spacing w:line="500" w:lineRule="exact"/>
        <w:ind w:firstLine="562"/>
        <w:textAlignment w:val="auto"/>
        <w:rPr>
          <w:rFonts w:hAnsi="宋体" w:cs="宋体"/>
          <w:snapToGrid w:val="0"/>
          <w:color w:val="auto"/>
          <w:kern w:val="0"/>
          <w:highlight w:val="none"/>
        </w:rPr>
      </w:pPr>
      <w:r>
        <w:rPr>
          <w:rFonts w:hint="eastAsia" w:hAnsi="宋体" w:cs="宋体"/>
          <w:snapToGrid w:val="0"/>
          <w:color w:val="auto"/>
          <w:kern w:val="0"/>
          <w:highlight w:val="none"/>
        </w:rPr>
        <w:t>（2）投标总价是否唯一；投标总价是否超出最高投标限价。</w:t>
      </w:r>
    </w:p>
    <w:p w14:paraId="6D8D3B02">
      <w:pPr>
        <w:keepNext w:val="0"/>
        <w:keepLines w:val="0"/>
        <w:pageBreakBefore w:val="0"/>
        <w:wordWrap w:val="0"/>
        <w:topLinePunct w:val="0"/>
        <w:bidi w:val="0"/>
        <w:adjustRightInd w:val="0"/>
        <w:snapToGrid w:val="0"/>
        <w:spacing w:line="500" w:lineRule="exact"/>
        <w:ind w:firstLine="562"/>
        <w:textAlignment w:val="auto"/>
        <w:rPr>
          <w:rFonts w:hAnsi="宋体" w:cs="宋体"/>
          <w:snapToGrid w:val="0"/>
          <w:color w:val="auto"/>
          <w:kern w:val="0"/>
          <w:highlight w:val="none"/>
        </w:rPr>
      </w:pPr>
      <w:r>
        <w:rPr>
          <w:rFonts w:hint="eastAsia" w:hAnsi="宋体" w:cs="宋体"/>
          <w:snapToGrid w:val="0"/>
          <w:color w:val="auto"/>
          <w:kern w:val="0"/>
          <w:highlight w:val="none"/>
        </w:rPr>
        <w:t>（3）监理大纲中的监理及相关服务的范围、内容、目标是否符合招标文件规定。</w:t>
      </w:r>
    </w:p>
    <w:p w14:paraId="0D7CB7D7">
      <w:pPr>
        <w:keepNext w:val="0"/>
        <w:keepLines w:val="0"/>
        <w:pageBreakBefore w:val="0"/>
        <w:wordWrap w:val="0"/>
        <w:topLinePunct w:val="0"/>
        <w:bidi w:val="0"/>
        <w:adjustRightInd w:val="0"/>
        <w:snapToGrid w:val="0"/>
        <w:spacing w:line="500" w:lineRule="exact"/>
        <w:ind w:firstLine="562"/>
        <w:textAlignment w:val="auto"/>
        <w:rPr>
          <w:rFonts w:hAnsi="宋体" w:cs="宋体"/>
          <w:snapToGrid w:val="0"/>
          <w:color w:val="auto"/>
          <w:kern w:val="0"/>
          <w:highlight w:val="none"/>
        </w:rPr>
      </w:pPr>
      <w:r>
        <w:rPr>
          <w:rFonts w:hint="eastAsia" w:hAnsi="宋体" w:cs="宋体"/>
          <w:b/>
          <w:bCs/>
          <w:snapToGrid w:val="0"/>
          <w:color w:val="auto"/>
          <w:kern w:val="0"/>
          <w:highlight w:val="none"/>
        </w:rPr>
        <w:t>15.4.4</w:t>
      </w:r>
      <w:r>
        <w:rPr>
          <w:rFonts w:hint="eastAsia" w:hAnsi="宋体" w:cs="宋体"/>
          <w:snapToGrid w:val="0"/>
          <w:color w:val="auto"/>
          <w:kern w:val="0"/>
          <w:highlight w:val="none"/>
        </w:rPr>
        <w:t xml:space="preserve"> 否决投标说明</w:t>
      </w:r>
    </w:p>
    <w:p w14:paraId="717AAFB5">
      <w:pPr>
        <w:keepNext w:val="0"/>
        <w:keepLines w:val="0"/>
        <w:pageBreakBefore w:val="0"/>
        <w:wordWrap w:val="0"/>
        <w:topLinePunct w:val="0"/>
        <w:bidi w:val="0"/>
        <w:adjustRightInd w:val="0"/>
        <w:snapToGrid w:val="0"/>
        <w:spacing w:line="500" w:lineRule="exact"/>
        <w:ind w:firstLine="562"/>
        <w:textAlignment w:val="auto"/>
        <w:rPr>
          <w:rFonts w:hAnsi="宋体" w:cs="宋体"/>
          <w:snapToGrid w:val="0"/>
          <w:color w:val="auto"/>
          <w:kern w:val="0"/>
          <w:highlight w:val="none"/>
        </w:rPr>
      </w:pPr>
      <w:r>
        <w:rPr>
          <w:rFonts w:hint="eastAsia" w:hAnsi="宋体" w:cs="宋体"/>
          <w:snapToGrid w:val="0"/>
          <w:color w:val="auto"/>
          <w:kern w:val="0"/>
          <w:highlight w:val="none"/>
        </w:rPr>
        <w:t>初步评审阶段各个环节否决投标的全部条件，在本章第四节“否决投标条件”第</w:t>
      </w:r>
      <w:r>
        <w:rPr>
          <w:rFonts w:hint="eastAsia" w:hAnsi="宋体" w:cs="宋体"/>
          <w:b/>
          <w:bCs/>
          <w:snapToGrid w:val="0"/>
          <w:color w:val="auto"/>
          <w:kern w:val="0"/>
          <w:highlight w:val="none"/>
        </w:rPr>
        <w:t>1</w:t>
      </w:r>
      <w:r>
        <w:rPr>
          <w:rFonts w:hint="eastAsia" w:hAnsi="宋体" w:cs="宋体"/>
          <w:snapToGrid w:val="0"/>
          <w:color w:val="auto"/>
          <w:kern w:val="0"/>
          <w:highlight w:val="none"/>
        </w:rPr>
        <w:t>条至第</w:t>
      </w:r>
      <w:r>
        <w:rPr>
          <w:rFonts w:hint="eastAsia" w:hAnsi="宋体" w:cs="宋体"/>
          <w:b/>
          <w:bCs/>
          <w:snapToGrid w:val="0"/>
          <w:color w:val="auto"/>
          <w:kern w:val="0"/>
          <w:highlight w:val="none"/>
        </w:rPr>
        <w:t>4</w:t>
      </w:r>
      <w:r>
        <w:rPr>
          <w:rFonts w:hint="eastAsia" w:hAnsi="宋体" w:cs="宋体"/>
          <w:snapToGrid w:val="0"/>
          <w:color w:val="auto"/>
          <w:kern w:val="0"/>
          <w:highlight w:val="none"/>
        </w:rPr>
        <w:t>条中集中列示。投标人有其中所列任何一种情形的，由评标委员会否决其投标。在初步评审阶段任何环节被否决的投标，不进入下一环节（或阶段）评审。经初步评审后，若所有投标均被否决，招标人应当依法重新招标。</w:t>
      </w:r>
    </w:p>
    <w:p w14:paraId="4F691C7F">
      <w:pPr>
        <w:keepNext w:val="0"/>
        <w:keepLines w:val="0"/>
        <w:pageBreakBefore w:val="0"/>
        <w:wordWrap w:val="0"/>
        <w:topLinePunct w:val="0"/>
        <w:bidi w:val="0"/>
        <w:adjustRightInd w:val="0"/>
        <w:snapToGrid w:val="0"/>
        <w:spacing w:line="500" w:lineRule="exact"/>
        <w:textAlignment w:val="auto"/>
        <w:rPr>
          <w:rFonts w:hAnsi="宋体" w:cs="宋体"/>
          <w:snapToGrid w:val="0"/>
          <w:color w:val="auto"/>
          <w:kern w:val="0"/>
          <w:highlight w:val="none"/>
        </w:rPr>
      </w:pPr>
      <w:r>
        <w:rPr>
          <w:rFonts w:hint="eastAsia" w:hAnsi="宋体" w:cs="宋体"/>
          <w:b/>
          <w:bCs/>
          <w:snapToGrid w:val="0"/>
          <w:color w:val="auto"/>
          <w:kern w:val="0"/>
          <w:highlight w:val="none"/>
        </w:rPr>
        <w:t xml:space="preserve">    15.5</w:t>
      </w:r>
      <w:r>
        <w:rPr>
          <w:rFonts w:hint="eastAsia" w:hAnsi="宋体" w:cs="宋体"/>
          <w:snapToGrid w:val="0"/>
          <w:color w:val="auto"/>
          <w:kern w:val="0"/>
          <w:highlight w:val="none"/>
        </w:rPr>
        <w:t xml:space="preserve"> 详细评审</w:t>
      </w:r>
      <w:bookmarkStart w:id="55" w:name="_Hlt121629839"/>
      <w:r>
        <w:rPr>
          <w:rFonts w:hint="eastAsia" w:hAnsi="宋体" w:cs="宋体"/>
          <w:snapToGrid w:val="0"/>
          <w:color w:val="auto"/>
          <w:kern w:val="0"/>
          <w:highlight w:val="none"/>
        </w:rPr>
        <w:t>阶段</w:t>
      </w:r>
    </w:p>
    <w:p w14:paraId="7AA415AA">
      <w:pPr>
        <w:keepNext w:val="0"/>
        <w:keepLines w:val="0"/>
        <w:pageBreakBefore w:val="0"/>
        <w:wordWrap w:val="0"/>
        <w:topLinePunct w:val="0"/>
        <w:bidi w:val="0"/>
        <w:adjustRightInd w:val="0"/>
        <w:snapToGrid w:val="0"/>
        <w:spacing w:line="500" w:lineRule="exact"/>
        <w:textAlignment w:val="auto"/>
        <w:rPr>
          <w:rFonts w:hAnsi="宋体" w:cs="宋体"/>
          <w:snapToGrid w:val="0"/>
          <w:color w:val="auto"/>
          <w:kern w:val="0"/>
          <w:highlight w:val="none"/>
        </w:rPr>
      </w:pPr>
      <w:r>
        <w:rPr>
          <w:rFonts w:hint="eastAsia" w:hAnsi="宋体" w:cs="宋体"/>
          <w:b/>
          <w:bCs/>
          <w:snapToGrid w:val="0"/>
          <w:color w:val="auto"/>
          <w:kern w:val="0"/>
          <w:highlight w:val="none"/>
        </w:rPr>
        <w:t xml:space="preserve">    15.5.1</w:t>
      </w:r>
      <w:r>
        <w:rPr>
          <w:rFonts w:hint="eastAsia" w:hAnsi="宋体" w:cs="宋体"/>
          <w:bCs/>
          <w:snapToGrid w:val="0"/>
          <w:color w:val="auto"/>
          <w:kern w:val="0"/>
          <w:highlight w:val="none"/>
        </w:rPr>
        <w:t xml:space="preserve"> “综合评估法”评审程序</w:t>
      </w:r>
    </w:p>
    <w:p w14:paraId="74C9E745">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评审内容分为商务、技术和投标报价三大部分，综合得分满分为100分。其中，商务满分为</w:t>
      </w:r>
      <w:r>
        <w:rPr>
          <w:rFonts w:hint="eastAsia" w:hAnsi="宋体" w:cs="宋体"/>
          <w:snapToGrid w:val="0"/>
          <w:color w:val="auto"/>
          <w:kern w:val="0"/>
          <w:highlight w:val="none"/>
          <w:u w:val="single"/>
        </w:rPr>
        <w:t xml:space="preserve"> </w:t>
      </w:r>
      <w:r>
        <w:rPr>
          <w:rFonts w:hint="eastAsia" w:hAnsi="宋体" w:cs="宋体"/>
          <w:snapToGrid w:val="0"/>
          <w:color w:val="auto"/>
          <w:kern w:val="0"/>
          <w:highlight w:val="none"/>
          <w:u w:val="single"/>
          <w:lang w:val="en-US" w:eastAsia="zh-CN"/>
        </w:rPr>
        <w:t>50</w:t>
      </w:r>
      <w:r>
        <w:rPr>
          <w:rFonts w:hint="eastAsia" w:hAnsi="宋体" w:cs="宋体"/>
          <w:snapToGrid w:val="0"/>
          <w:color w:val="auto"/>
          <w:kern w:val="0"/>
          <w:highlight w:val="none"/>
          <w:u w:val="single"/>
        </w:rPr>
        <w:t xml:space="preserve"> </w:t>
      </w:r>
      <w:r>
        <w:rPr>
          <w:rFonts w:hint="eastAsia" w:hAnsi="宋体" w:cs="宋体"/>
          <w:snapToGrid w:val="0"/>
          <w:color w:val="auto"/>
          <w:kern w:val="0"/>
          <w:highlight w:val="none"/>
        </w:rPr>
        <w:t>分，技术满分为</w:t>
      </w:r>
      <w:r>
        <w:rPr>
          <w:rFonts w:hint="eastAsia" w:hAnsi="宋体" w:cs="宋体"/>
          <w:snapToGrid w:val="0"/>
          <w:color w:val="auto"/>
          <w:kern w:val="0"/>
          <w:highlight w:val="none"/>
          <w:u w:val="single"/>
        </w:rPr>
        <w:t xml:space="preserve"> </w:t>
      </w:r>
      <w:r>
        <w:rPr>
          <w:rFonts w:hint="eastAsia" w:hAnsi="宋体" w:cs="宋体"/>
          <w:snapToGrid w:val="0"/>
          <w:color w:val="auto"/>
          <w:kern w:val="0"/>
          <w:highlight w:val="none"/>
          <w:u w:val="single"/>
          <w:lang w:val="en-US" w:eastAsia="zh-CN"/>
        </w:rPr>
        <w:t>20</w:t>
      </w:r>
      <w:r>
        <w:rPr>
          <w:rFonts w:hint="eastAsia" w:hAnsi="宋体" w:cs="宋体"/>
          <w:snapToGrid w:val="0"/>
          <w:color w:val="auto"/>
          <w:kern w:val="0"/>
          <w:highlight w:val="none"/>
          <w:u w:val="single"/>
        </w:rPr>
        <w:t xml:space="preserve"> </w:t>
      </w:r>
      <w:r>
        <w:rPr>
          <w:rFonts w:hint="eastAsia" w:hAnsi="宋体" w:cs="宋体"/>
          <w:snapToGrid w:val="0"/>
          <w:color w:val="auto"/>
          <w:kern w:val="0"/>
          <w:highlight w:val="none"/>
        </w:rPr>
        <w:t>分，投标报价部分满分为</w:t>
      </w:r>
      <w:r>
        <w:rPr>
          <w:rFonts w:hint="eastAsia" w:hAnsi="宋体" w:cs="宋体"/>
          <w:snapToGrid w:val="0"/>
          <w:color w:val="auto"/>
          <w:kern w:val="0"/>
          <w:highlight w:val="none"/>
          <w:u w:val="single"/>
        </w:rPr>
        <w:t xml:space="preserve"> </w:t>
      </w:r>
      <w:r>
        <w:rPr>
          <w:rFonts w:hint="eastAsia" w:hAnsi="宋体" w:cs="宋体"/>
          <w:snapToGrid w:val="0"/>
          <w:color w:val="auto"/>
          <w:kern w:val="0"/>
          <w:highlight w:val="none"/>
          <w:u w:val="single"/>
          <w:lang w:val="en-US" w:eastAsia="zh-CN"/>
        </w:rPr>
        <w:t>3</w:t>
      </w:r>
      <w:r>
        <w:rPr>
          <w:rFonts w:hint="eastAsia" w:hAnsi="宋体" w:cs="宋体"/>
          <w:snapToGrid w:val="0"/>
          <w:color w:val="auto"/>
          <w:kern w:val="0"/>
          <w:highlight w:val="none"/>
          <w:u w:val="single"/>
        </w:rPr>
        <w:t xml:space="preserve">0 </w:t>
      </w:r>
      <w:r>
        <w:rPr>
          <w:rFonts w:hint="eastAsia" w:hAnsi="宋体" w:cs="宋体"/>
          <w:snapToGrid w:val="0"/>
          <w:color w:val="auto"/>
          <w:kern w:val="0"/>
          <w:highlight w:val="none"/>
        </w:rPr>
        <w:t>分。</w:t>
      </w:r>
    </w:p>
    <w:p w14:paraId="49097322">
      <w:pPr>
        <w:keepNext w:val="0"/>
        <w:keepLines w:val="0"/>
        <w:pageBreakBefore w:val="0"/>
        <w:wordWrap w:val="0"/>
        <w:topLinePunct w:val="0"/>
        <w:bidi w:val="0"/>
        <w:adjustRightInd w:val="0"/>
        <w:snapToGrid w:val="0"/>
        <w:spacing w:line="500" w:lineRule="exact"/>
        <w:ind w:firstLine="480"/>
        <w:textAlignment w:val="auto"/>
        <w:rPr>
          <w:rFonts w:hAnsi="宋体" w:cs="宋体"/>
          <w:snapToGrid w:val="0"/>
          <w:color w:val="auto"/>
          <w:kern w:val="0"/>
          <w:highlight w:val="none"/>
        </w:rPr>
      </w:pPr>
      <w:r>
        <w:rPr>
          <w:rFonts w:hint="eastAsia" w:hAnsi="宋体" w:cs="宋体"/>
          <w:snapToGrid w:val="0"/>
          <w:color w:val="auto"/>
          <w:kern w:val="0"/>
          <w:highlight w:val="none"/>
        </w:rPr>
        <w:t>除特别注明外，综合得分以及商务、技术、投标报价得分的中间过程计算值和最终值，均按“四舍五入”原则精确到两位小数。</w:t>
      </w:r>
    </w:p>
    <w:p w14:paraId="5D5F80A8">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（1）商务得分M</w:t>
      </w:r>
      <w:r>
        <w:rPr>
          <w:rFonts w:hint="eastAsia" w:hAnsi="宋体" w:cs="宋体"/>
          <w:snapToGrid w:val="0"/>
          <w:color w:val="auto"/>
          <w:kern w:val="0"/>
          <w:highlight w:val="none"/>
          <w:vertAlign w:val="subscript"/>
        </w:rPr>
        <w:t>1</w:t>
      </w:r>
    </w:p>
    <w:p w14:paraId="7D776785">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评标委员会按照《综合评分表》商务部分指定的评分标准对各评分因素进行打分。各评分因素得分之和即为某投标人的商务得分M</w:t>
      </w:r>
      <w:r>
        <w:rPr>
          <w:rFonts w:hint="eastAsia" w:hAnsi="宋体" w:cs="宋体"/>
          <w:snapToGrid w:val="0"/>
          <w:color w:val="auto"/>
          <w:kern w:val="0"/>
          <w:highlight w:val="none"/>
          <w:vertAlign w:val="subscript"/>
        </w:rPr>
        <w:t>1</w:t>
      </w:r>
      <w:r>
        <w:rPr>
          <w:rFonts w:hint="eastAsia" w:hAnsi="宋体" w:cs="宋体"/>
          <w:snapToGrid w:val="0"/>
          <w:color w:val="auto"/>
          <w:kern w:val="0"/>
          <w:highlight w:val="none"/>
        </w:rPr>
        <w:t>。</w:t>
      </w:r>
    </w:p>
    <w:p w14:paraId="23498F90">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（2）技术得分M</w:t>
      </w:r>
      <w:r>
        <w:rPr>
          <w:rFonts w:hint="eastAsia" w:hAnsi="宋体" w:cs="宋体"/>
          <w:snapToGrid w:val="0"/>
          <w:color w:val="auto"/>
          <w:kern w:val="0"/>
          <w:highlight w:val="none"/>
          <w:vertAlign w:val="subscript"/>
        </w:rPr>
        <w:t>2</w:t>
      </w:r>
    </w:p>
    <w:p w14:paraId="47A40284">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评标委员会各成员独立按照《综合评分表》技术部分（监理大纲）指定的评分标准对各评分因素进行打分，累加后得出技术评分。将评标委员会所有成员的技术评分去掉一个最高分和一个最低分后，取算术平均值，即为某投标人的技术得分M</w:t>
      </w:r>
      <w:r>
        <w:rPr>
          <w:rFonts w:hint="eastAsia" w:hAnsi="宋体" w:cs="宋体"/>
          <w:snapToGrid w:val="0"/>
          <w:color w:val="auto"/>
          <w:kern w:val="0"/>
          <w:highlight w:val="none"/>
          <w:vertAlign w:val="subscript"/>
        </w:rPr>
        <w:t>2</w:t>
      </w:r>
      <w:r>
        <w:rPr>
          <w:rFonts w:hint="eastAsia" w:hAnsi="宋体" w:cs="宋体"/>
          <w:snapToGrid w:val="0"/>
          <w:color w:val="auto"/>
          <w:kern w:val="0"/>
          <w:highlight w:val="none"/>
        </w:rPr>
        <w:t>。</w:t>
      </w:r>
    </w:p>
    <w:p w14:paraId="13AF2206">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（3）投标报价得分M</w:t>
      </w:r>
      <w:r>
        <w:rPr>
          <w:rFonts w:hint="eastAsia" w:hAnsi="宋体" w:cs="宋体"/>
          <w:snapToGrid w:val="0"/>
          <w:color w:val="auto"/>
          <w:kern w:val="0"/>
          <w:highlight w:val="none"/>
          <w:vertAlign w:val="subscript"/>
        </w:rPr>
        <w:t>3</w:t>
      </w:r>
    </w:p>
    <w:p w14:paraId="5274240F">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a．评标委员会按照《综合评分表》投标报价部分指定的方法计算评标基准价D。</w:t>
      </w:r>
    </w:p>
    <w:p w14:paraId="00B3E847">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b．采用内插法计算某投标人的投标报价得分M</w:t>
      </w:r>
      <w:r>
        <w:rPr>
          <w:rFonts w:hint="eastAsia" w:hAnsi="宋体" w:cs="宋体"/>
          <w:snapToGrid w:val="0"/>
          <w:color w:val="auto"/>
          <w:kern w:val="0"/>
          <w:highlight w:val="none"/>
          <w:vertAlign w:val="subscript"/>
        </w:rPr>
        <w:t>3</w:t>
      </w:r>
      <w:r>
        <w:rPr>
          <w:rFonts w:hint="eastAsia" w:hAnsi="宋体" w:cs="宋体"/>
          <w:snapToGrid w:val="0"/>
          <w:color w:val="auto"/>
          <w:kern w:val="0"/>
          <w:highlight w:val="none"/>
        </w:rPr>
        <w:t>，即当投标人的投标总价等于评标基准价时得满分，每高于评标基准价一个百分点扣</w:t>
      </w:r>
      <w:r>
        <w:rPr>
          <w:rFonts w:hint="eastAsia" w:hAnsi="宋体" w:cs="宋体"/>
          <w:snapToGrid w:val="0"/>
          <w:color w:val="auto"/>
          <w:kern w:val="0"/>
          <w:highlight w:val="none"/>
          <w:lang w:val="en-US" w:eastAsia="zh-CN"/>
        </w:rPr>
        <w:t>0.5</w:t>
      </w:r>
      <w:r>
        <w:rPr>
          <w:rFonts w:hint="eastAsia" w:hAnsi="宋体" w:cs="宋体"/>
          <w:snapToGrid w:val="0"/>
          <w:color w:val="auto"/>
          <w:kern w:val="0"/>
          <w:highlight w:val="none"/>
        </w:rPr>
        <w:t>分, 每低于评标基准价一个百分点扣0.</w:t>
      </w:r>
      <w:r>
        <w:rPr>
          <w:rFonts w:hint="eastAsia" w:hAnsi="宋体" w:cs="宋体"/>
          <w:snapToGrid w:val="0"/>
          <w:color w:val="auto"/>
          <w:kern w:val="0"/>
          <w:highlight w:val="none"/>
          <w:lang w:val="en-US" w:eastAsia="zh-CN"/>
        </w:rPr>
        <w:t>3</w:t>
      </w:r>
      <w:r>
        <w:rPr>
          <w:rFonts w:hint="eastAsia" w:hAnsi="宋体" w:cs="宋体"/>
          <w:snapToGrid w:val="0"/>
          <w:color w:val="auto"/>
          <w:kern w:val="0"/>
          <w:highlight w:val="none"/>
        </w:rPr>
        <w:t>分，扣完为止。公式如下：</w:t>
      </w:r>
    </w:p>
    <w:p w14:paraId="3641A7FA">
      <w:pPr>
        <w:keepNext w:val="0"/>
        <w:keepLines w:val="0"/>
        <w:pageBreakBefore w:val="0"/>
        <w:wordWrap w:val="0"/>
        <w:topLinePunct w:val="0"/>
        <w:bidi w:val="0"/>
        <w:adjustRightInd w:val="0"/>
        <w:snapToGrid w:val="0"/>
        <w:spacing w:line="500" w:lineRule="exact"/>
        <w:ind w:firstLine="480" w:firstLineChars="200"/>
        <w:jc w:val="center"/>
        <w:textAlignment w:val="auto"/>
        <w:rPr>
          <w:rFonts w:hAnsi="宋体" w:cs="宋体"/>
          <w:snapToGrid w:val="0"/>
          <w:color w:val="auto"/>
          <w:kern w:val="0"/>
          <w:highlight w:val="none"/>
        </w:rPr>
      </w:pPr>
      <w:r>
        <w:rPr>
          <w:rFonts w:hint="eastAsia" w:hAnsi="宋体" w:cs="宋体"/>
          <w:snapToGrid w:val="0"/>
          <w:color w:val="auto"/>
          <w:kern w:val="0"/>
          <w:highlight w:val="none"/>
        </w:rPr>
        <w:t>M</w:t>
      </w:r>
      <w:r>
        <w:rPr>
          <w:rFonts w:hint="eastAsia" w:hAnsi="宋体" w:cs="宋体"/>
          <w:snapToGrid w:val="0"/>
          <w:color w:val="auto"/>
          <w:kern w:val="0"/>
          <w:highlight w:val="none"/>
          <w:vertAlign w:val="subscript"/>
        </w:rPr>
        <w:t>3</w:t>
      </w:r>
      <w:r>
        <w:rPr>
          <w:rFonts w:hint="eastAsia" w:hAnsi="宋体" w:cs="宋体"/>
          <w:snapToGrid w:val="0"/>
          <w:color w:val="auto"/>
          <w:kern w:val="0"/>
          <w:highlight w:val="none"/>
        </w:rPr>
        <w:t>＝投标报价满分－（|Di－D|÷D）×100×E</w:t>
      </w:r>
    </w:p>
    <w:p w14:paraId="7D5BE617">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式中：D为评标基准价，Di为某投标人的投标总价；</w:t>
      </w:r>
    </w:p>
    <w:p w14:paraId="4D67AE7A">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E为扣分因子。当Di＞D时，E＝</w:t>
      </w:r>
      <w:r>
        <w:rPr>
          <w:rFonts w:hint="eastAsia" w:hAnsi="宋体" w:cs="宋体"/>
          <w:snapToGrid w:val="0"/>
          <w:color w:val="auto"/>
          <w:kern w:val="0"/>
          <w:highlight w:val="none"/>
          <w:lang w:val="en-US" w:eastAsia="zh-CN"/>
        </w:rPr>
        <w:t>0.5</w:t>
      </w:r>
      <w:r>
        <w:rPr>
          <w:rFonts w:hint="eastAsia" w:hAnsi="宋体" w:cs="宋体"/>
          <w:snapToGrid w:val="0"/>
          <w:color w:val="auto"/>
          <w:kern w:val="0"/>
          <w:highlight w:val="none"/>
        </w:rPr>
        <w:t>；当Di＜D时，E＝</w:t>
      </w:r>
      <w:r>
        <w:rPr>
          <w:rFonts w:hint="eastAsia" w:hAnsi="宋体" w:cs="宋体"/>
          <w:snapToGrid w:val="0"/>
          <w:color w:val="auto"/>
          <w:kern w:val="0"/>
          <w:highlight w:val="none"/>
          <w:lang w:val="en-US" w:eastAsia="zh-CN"/>
        </w:rPr>
        <w:t>0.3</w:t>
      </w:r>
      <w:r>
        <w:rPr>
          <w:rFonts w:hint="eastAsia" w:hAnsi="宋体" w:cs="宋体"/>
          <w:snapToGrid w:val="0"/>
          <w:color w:val="auto"/>
          <w:kern w:val="0"/>
          <w:highlight w:val="none"/>
        </w:rPr>
        <w:t>。</w:t>
      </w:r>
    </w:p>
    <w:p w14:paraId="0EFE1443">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（4）综合得分M</w:t>
      </w:r>
    </w:p>
    <w:p w14:paraId="245E1952">
      <w:pPr>
        <w:keepNext w:val="0"/>
        <w:keepLines w:val="0"/>
        <w:pageBreakBefore w:val="0"/>
        <w:wordWrap w:val="0"/>
        <w:topLinePunct w:val="0"/>
        <w:bidi w:val="0"/>
        <w:adjustRightInd w:val="0"/>
        <w:snapToGrid w:val="0"/>
        <w:spacing w:line="500" w:lineRule="exact"/>
        <w:jc w:val="center"/>
        <w:textAlignment w:val="auto"/>
        <w:rPr>
          <w:rFonts w:hAnsi="宋体" w:cs="宋体"/>
          <w:snapToGrid w:val="0"/>
          <w:color w:val="auto"/>
          <w:kern w:val="0"/>
          <w:highlight w:val="none"/>
        </w:rPr>
      </w:pPr>
      <w:r>
        <w:rPr>
          <w:rFonts w:hint="eastAsia" w:hAnsi="宋体" w:cs="宋体"/>
          <w:snapToGrid w:val="0"/>
          <w:color w:val="auto"/>
          <w:kern w:val="0"/>
          <w:highlight w:val="none"/>
        </w:rPr>
        <w:t>M＝M</w:t>
      </w:r>
      <w:r>
        <w:rPr>
          <w:rFonts w:hint="eastAsia" w:hAnsi="宋体" w:cs="宋体"/>
          <w:snapToGrid w:val="0"/>
          <w:color w:val="auto"/>
          <w:kern w:val="0"/>
          <w:highlight w:val="none"/>
          <w:vertAlign w:val="subscript"/>
        </w:rPr>
        <w:t>1</w:t>
      </w:r>
      <w:r>
        <w:rPr>
          <w:rFonts w:hint="eastAsia" w:hAnsi="宋体" w:cs="宋体"/>
          <w:snapToGrid w:val="0"/>
          <w:color w:val="auto"/>
          <w:kern w:val="0"/>
          <w:highlight w:val="none"/>
        </w:rPr>
        <w:t>＋M</w:t>
      </w:r>
      <w:r>
        <w:rPr>
          <w:rFonts w:hint="eastAsia" w:hAnsi="宋体" w:cs="宋体"/>
          <w:snapToGrid w:val="0"/>
          <w:color w:val="auto"/>
          <w:kern w:val="0"/>
          <w:highlight w:val="none"/>
          <w:vertAlign w:val="subscript"/>
        </w:rPr>
        <w:t>2</w:t>
      </w:r>
      <w:r>
        <w:rPr>
          <w:rFonts w:hint="eastAsia" w:hAnsi="宋体" w:cs="宋体"/>
          <w:snapToGrid w:val="0"/>
          <w:color w:val="auto"/>
          <w:kern w:val="0"/>
          <w:highlight w:val="none"/>
        </w:rPr>
        <w:t>＋M</w:t>
      </w:r>
      <w:r>
        <w:rPr>
          <w:rFonts w:hint="eastAsia" w:hAnsi="宋体" w:cs="宋体"/>
          <w:snapToGrid w:val="0"/>
          <w:color w:val="auto"/>
          <w:kern w:val="0"/>
          <w:highlight w:val="none"/>
          <w:vertAlign w:val="subscript"/>
        </w:rPr>
        <w:t>3</w:t>
      </w:r>
    </w:p>
    <w:p w14:paraId="2DEB2EA3">
      <w:pPr>
        <w:keepNext w:val="0"/>
        <w:keepLines w:val="0"/>
        <w:pageBreakBefore w:val="0"/>
        <w:wordWrap w:val="0"/>
        <w:topLinePunct w:val="0"/>
        <w:bidi w:val="0"/>
        <w:adjustRightInd w:val="0"/>
        <w:snapToGrid w:val="0"/>
        <w:spacing w:line="500" w:lineRule="exact"/>
        <w:ind w:firstLine="480" w:firstLineChars="200"/>
        <w:textAlignment w:val="auto"/>
        <w:rPr>
          <w:rFonts w:hint="eastAsia" w:ascii="Times New Roman"/>
          <w:snapToGrid w:val="0"/>
          <w:color w:val="auto"/>
          <w:kern w:val="0"/>
          <w:highlight w:val="none"/>
        </w:rPr>
      </w:pPr>
      <w:r>
        <w:rPr>
          <w:rFonts w:hint="eastAsia" w:hAnsi="宋体" w:cs="宋体"/>
          <w:snapToGrid w:val="0"/>
          <w:color w:val="auto"/>
          <w:kern w:val="0"/>
          <w:highlight w:val="none"/>
        </w:rPr>
        <w:t>式中：M为综合得分，M</w:t>
      </w:r>
      <w:r>
        <w:rPr>
          <w:rFonts w:hint="eastAsia" w:hAnsi="宋体" w:cs="宋体"/>
          <w:snapToGrid w:val="0"/>
          <w:color w:val="auto"/>
          <w:kern w:val="0"/>
          <w:highlight w:val="none"/>
          <w:vertAlign w:val="subscript"/>
        </w:rPr>
        <w:t>1</w:t>
      </w:r>
      <w:r>
        <w:rPr>
          <w:rFonts w:hint="eastAsia" w:hAnsi="宋体" w:cs="宋体"/>
          <w:snapToGrid w:val="0"/>
          <w:color w:val="auto"/>
          <w:kern w:val="0"/>
          <w:highlight w:val="none"/>
        </w:rPr>
        <w:t>为商务得分，M</w:t>
      </w:r>
      <w:r>
        <w:rPr>
          <w:rFonts w:hint="eastAsia" w:hAnsi="宋体" w:cs="宋体"/>
          <w:snapToGrid w:val="0"/>
          <w:color w:val="auto"/>
          <w:kern w:val="0"/>
          <w:highlight w:val="none"/>
          <w:vertAlign w:val="subscript"/>
        </w:rPr>
        <w:t>2</w:t>
      </w:r>
      <w:r>
        <w:rPr>
          <w:rFonts w:hint="eastAsia" w:hAnsi="宋体" w:cs="宋体"/>
          <w:snapToGrid w:val="0"/>
          <w:color w:val="auto"/>
          <w:kern w:val="0"/>
          <w:highlight w:val="none"/>
        </w:rPr>
        <w:t>为技术得分，M</w:t>
      </w:r>
      <w:r>
        <w:rPr>
          <w:rFonts w:hint="eastAsia" w:hAnsi="宋体" w:cs="宋体"/>
          <w:snapToGrid w:val="0"/>
          <w:color w:val="auto"/>
          <w:kern w:val="0"/>
          <w:highlight w:val="none"/>
          <w:vertAlign w:val="subscript"/>
        </w:rPr>
        <w:t>3</w:t>
      </w:r>
      <w:r>
        <w:rPr>
          <w:rFonts w:hint="eastAsia" w:ascii="Times New Roman"/>
          <w:snapToGrid w:val="0"/>
          <w:color w:val="auto"/>
          <w:kern w:val="0"/>
          <w:highlight w:val="none"/>
        </w:rPr>
        <w:t>为投标报价得分。</w:t>
      </w:r>
    </w:p>
    <w:p w14:paraId="015B4829">
      <w:pPr>
        <w:keepNext w:val="0"/>
        <w:keepLines w:val="0"/>
        <w:pageBreakBefore w:val="0"/>
        <w:wordWrap w:val="0"/>
        <w:topLinePunct w:val="0"/>
        <w:bidi w:val="0"/>
        <w:adjustRightInd w:val="0"/>
        <w:snapToGrid w:val="0"/>
        <w:spacing w:line="500" w:lineRule="exact"/>
        <w:ind w:firstLine="480" w:firstLineChars="200"/>
        <w:textAlignment w:val="auto"/>
        <w:rPr>
          <w:rFonts w:ascii="Times New Roman"/>
          <w:snapToGrid w:val="0"/>
          <w:color w:val="auto"/>
          <w:kern w:val="0"/>
          <w:highlight w:val="none"/>
        </w:rPr>
      </w:pPr>
    </w:p>
    <w:p w14:paraId="3CF358A1">
      <w:pPr>
        <w:keepNext w:val="0"/>
        <w:keepLines w:val="0"/>
        <w:pageBreakBefore w:val="0"/>
        <w:wordWrap w:val="0"/>
        <w:topLinePunct w:val="0"/>
        <w:bidi w:val="0"/>
        <w:adjustRightInd w:val="0"/>
        <w:snapToGrid w:val="0"/>
        <w:spacing w:line="500" w:lineRule="exact"/>
        <w:ind w:firstLine="480" w:firstLineChars="200"/>
        <w:textAlignment w:val="auto"/>
        <w:rPr>
          <w:rFonts w:ascii="Times New Roman"/>
          <w:snapToGrid w:val="0"/>
          <w:color w:val="auto"/>
          <w:kern w:val="0"/>
          <w:highlight w:val="none"/>
        </w:rPr>
      </w:pPr>
    </w:p>
    <w:p w14:paraId="7E555631">
      <w:pPr>
        <w:keepNext w:val="0"/>
        <w:keepLines w:val="0"/>
        <w:pageBreakBefore w:val="0"/>
        <w:wordWrap w:val="0"/>
        <w:topLinePunct w:val="0"/>
        <w:bidi w:val="0"/>
        <w:adjustRightInd w:val="0"/>
        <w:snapToGrid w:val="0"/>
        <w:spacing w:line="500" w:lineRule="exact"/>
        <w:ind w:firstLine="480" w:firstLineChars="200"/>
        <w:textAlignment w:val="auto"/>
        <w:rPr>
          <w:rFonts w:ascii="Times New Roman"/>
          <w:snapToGrid w:val="0"/>
          <w:color w:val="auto"/>
          <w:kern w:val="0"/>
          <w:highlight w:val="none"/>
        </w:rPr>
      </w:pPr>
    </w:p>
    <w:p w14:paraId="5AF15D8A">
      <w:pPr>
        <w:keepNext w:val="0"/>
        <w:keepLines w:val="0"/>
        <w:pageBreakBefore w:val="0"/>
        <w:wordWrap w:val="0"/>
        <w:topLinePunct w:val="0"/>
        <w:bidi w:val="0"/>
        <w:adjustRightInd w:val="0"/>
        <w:snapToGrid w:val="0"/>
        <w:spacing w:line="500" w:lineRule="exact"/>
        <w:ind w:firstLine="480" w:firstLineChars="200"/>
        <w:textAlignment w:val="auto"/>
        <w:rPr>
          <w:rFonts w:ascii="Times New Roman"/>
          <w:snapToGrid w:val="0"/>
          <w:color w:val="auto"/>
          <w:kern w:val="0"/>
          <w:highlight w:val="none"/>
        </w:rPr>
      </w:pPr>
    </w:p>
    <w:p w14:paraId="3A6E1C4F">
      <w:pPr>
        <w:keepNext w:val="0"/>
        <w:keepLines w:val="0"/>
        <w:pageBreakBefore w:val="0"/>
        <w:wordWrap w:val="0"/>
        <w:topLinePunct w:val="0"/>
        <w:bidi w:val="0"/>
        <w:adjustRightInd w:val="0"/>
        <w:snapToGrid w:val="0"/>
        <w:spacing w:line="500" w:lineRule="exact"/>
        <w:ind w:firstLine="480" w:firstLineChars="200"/>
        <w:textAlignment w:val="auto"/>
        <w:rPr>
          <w:rFonts w:ascii="Times New Roman"/>
          <w:snapToGrid w:val="0"/>
          <w:color w:val="auto"/>
          <w:kern w:val="0"/>
          <w:highlight w:val="none"/>
        </w:rPr>
      </w:pPr>
    </w:p>
    <w:p w14:paraId="5989C37D">
      <w:pPr>
        <w:keepNext w:val="0"/>
        <w:keepLines w:val="0"/>
        <w:pageBreakBefore w:val="0"/>
        <w:wordWrap w:val="0"/>
        <w:topLinePunct w:val="0"/>
        <w:bidi w:val="0"/>
        <w:adjustRightInd w:val="0"/>
        <w:snapToGrid w:val="0"/>
        <w:spacing w:line="500" w:lineRule="exact"/>
        <w:ind w:firstLine="480" w:firstLineChars="200"/>
        <w:textAlignment w:val="auto"/>
        <w:rPr>
          <w:rFonts w:ascii="Times New Roman"/>
          <w:snapToGrid w:val="0"/>
          <w:color w:val="auto"/>
          <w:kern w:val="0"/>
          <w:highlight w:val="none"/>
        </w:rPr>
      </w:pPr>
    </w:p>
    <w:p w14:paraId="0AB56BB8">
      <w:pPr>
        <w:keepNext w:val="0"/>
        <w:keepLines w:val="0"/>
        <w:pageBreakBefore w:val="0"/>
        <w:wordWrap w:val="0"/>
        <w:topLinePunct w:val="0"/>
        <w:bidi w:val="0"/>
        <w:adjustRightInd w:val="0"/>
        <w:snapToGrid w:val="0"/>
        <w:spacing w:line="500" w:lineRule="exact"/>
        <w:ind w:firstLine="480" w:firstLineChars="200"/>
        <w:textAlignment w:val="auto"/>
        <w:rPr>
          <w:rFonts w:ascii="Times New Roman"/>
          <w:snapToGrid w:val="0"/>
          <w:color w:val="auto"/>
          <w:kern w:val="0"/>
          <w:highlight w:val="none"/>
        </w:rPr>
      </w:pPr>
    </w:p>
    <w:p w14:paraId="54DFCA09">
      <w:pPr>
        <w:bidi w:val="0"/>
        <w:rPr>
          <w:rFonts w:hint="eastAsia"/>
          <w:color w:val="auto"/>
          <w:highlight w:val="none"/>
          <w:lang w:val="en-US" w:eastAsia="zh-CN"/>
        </w:rPr>
      </w:pPr>
      <w:bookmarkStart w:id="56" w:name="_Toc6276"/>
      <w:bookmarkStart w:id="57" w:name="_Toc31548"/>
    </w:p>
    <w:p w14:paraId="566ABFDA">
      <w:pPr>
        <w:bidi w:val="0"/>
        <w:rPr>
          <w:rFonts w:hint="eastAsia"/>
          <w:color w:val="auto"/>
          <w:highlight w:val="none"/>
          <w:lang w:val="en-US" w:eastAsia="zh-CN"/>
        </w:rPr>
      </w:pPr>
    </w:p>
    <w:p w14:paraId="17C17EA4">
      <w:pPr>
        <w:bidi w:val="0"/>
        <w:rPr>
          <w:rFonts w:hint="eastAsia"/>
          <w:color w:val="auto"/>
          <w:highlight w:val="none"/>
          <w:lang w:val="en-US" w:eastAsia="zh-CN"/>
        </w:rPr>
      </w:pPr>
    </w:p>
    <w:p w14:paraId="0096D610">
      <w:pPr>
        <w:bidi w:val="0"/>
        <w:rPr>
          <w:rFonts w:hint="eastAsia"/>
          <w:color w:val="auto"/>
          <w:highlight w:val="none"/>
          <w:lang w:val="en-US" w:eastAsia="zh-CN"/>
        </w:rPr>
      </w:pPr>
    </w:p>
    <w:p w14:paraId="36C78AF5">
      <w:pPr>
        <w:bidi w:val="0"/>
        <w:rPr>
          <w:rFonts w:hint="eastAsia"/>
          <w:color w:val="auto"/>
          <w:highlight w:val="none"/>
          <w:lang w:val="en-US" w:eastAsia="zh-CN"/>
        </w:rPr>
      </w:pPr>
    </w:p>
    <w:p w14:paraId="3604A6AC">
      <w:pPr>
        <w:bidi w:val="0"/>
        <w:rPr>
          <w:rFonts w:hint="eastAsia"/>
          <w:color w:val="auto"/>
          <w:highlight w:val="none"/>
          <w:lang w:val="en-US" w:eastAsia="zh-CN"/>
        </w:rPr>
      </w:pPr>
    </w:p>
    <w:p w14:paraId="2B846775">
      <w:pPr>
        <w:bidi w:val="0"/>
        <w:rPr>
          <w:rFonts w:hint="eastAsia"/>
          <w:color w:val="auto"/>
          <w:highlight w:val="none"/>
          <w:lang w:val="en-US" w:eastAsia="zh-CN"/>
        </w:rPr>
      </w:pPr>
    </w:p>
    <w:p w14:paraId="18BAA559">
      <w:pPr>
        <w:bidi w:val="0"/>
        <w:rPr>
          <w:rFonts w:hint="eastAsia"/>
          <w:color w:val="auto"/>
          <w:highlight w:val="none"/>
          <w:lang w:val="en-US" w:eastAsia="zh-CN"/>
        </w:rPr>
      </w:pPr>
    </w:p>
    <w:p w14:paraId="04EC36AC">
      <w:pPr>
        <w:rPr>
          <w:rFonts w:hint="eastAsia" w:ascii="宋体" w:hAnsi="宋体" w:eastAsia="宋体" w:cs="宋体"/>
          <w:b/>
          <w:bCs/>
          <w:color w:val="auto"/>
          <w:sz w:val="32"/>
          <w:szCs w:val="22"/>
          <w:highlight w:val="none"/>
        </w:rPr>
      </w:pPr>
      <w:bookmarkStart w:id="58" w:name="_Toc6939"/>
      <w:r>
        <w:rPr>
          <w:rFonts w:hint="eastAsia" w:ascii="宋体" w:hAnsi="宋体" w:eastAsia="宋体" w:cs="宋体"/>
          <w:b/>
          <w:bCs/>
          <w:color w:val="auto"/>
          <w:sz w:val="32"/>
          <w:szCs w:val="22"/>
          <w:highlight w:val="none"/>
        </w:rPr>
        <w:br w:type="page"/>
      </w:r>
    </w:p>
    <w:p w14:paraId="65DF1DB6">
      <w:pPr>
        <w:pStyle w:val="4"/>
        <w:rPr>
          <w:rFonts w:hint="eastAsia" w:ascii="宋体" w:hAnsi="宋体" w:eastAsia="宋体" w:cs="宋体"/>
          <w:b/>
          <w:bCs/>
          <w:color w:val="auto"/>
          <w:sz w:val="32"/>
          <w:szCs w:val="22"/>
          <w:highlight w:val="none"/>
        </w:rPr>
      </w:pPr>
      <w:r>
        <w:rPr>
          <w:rFonts w:hint="eastAsia" w:ascii="宋体" w:hAnsi="宋体" w:eastAsia="宋体" w:cs="宋体"/>
          <w:b/>
          <w:bCs/>
          <w:color w:val="auto"/>
          <w:sz w:val="32"/>
          <w:szCs w:val="22"/>
          <w:highlight w:val="none"/>
        </w:rPr>
        <w:t>表1 综合评分表</w:t>
      </w:r>
      <w:bookmarkEnd w:id="56"/>
      <w:bookmarkEnd w:id="57"/>
      <w:bookmarkEnd w:id="58"/>
    </w:p>
    <w:p w14:paraId="086905B1">
      <w:pPr>
        <w:pStyle w:val="40"/>
        <w:jc w:val="both"/>
        <w:rPr>
          <w:rFonts w:ascii="宋体" w:hAnsi="宋体" w:cs="宋体"/>
          <w:color w:val="auto"/>
          <w:sz w:val="24"/>
          <w:highlight w:val="none"/>
        </w:rPr>
      </w:pPr>
    </w:p>
    <w:tbl>
      <w:tblPr>
        <w:tblStyle w:val="31"/>
        <w:tblW w:w="9564" w:type="dxa"/>
        <w:jc w:val="center"/>
        <w:tblLayout w:type="fixed"/>
        <w:tblCellMar>
          <w:top w:w="0" w:type="dxa"/>
          <w:left w:w="108" w:type="dxa"/>
          <w:bottom w:w="0" w:type="dxa"/>
          <w:right w:w="108" w:type="dxa"/>
        </w:tblCellMar>
      </w:tblPr>
      <w:tblGrid>
        <w:gridCol w:w="1370"/>
        <w:gridCol w:w="4176"/>
        <w:gridCol w:w="4018"/>
      </w:tblGrid>
      <w:tr w14:paraId="2382B442">
        <w:tblPrEx>
          <w:tblCellMar>
            <w:top w:w="0" w:type="dxa"/>
            <w:left w:w="108" w:type="dxa"/>
            <w:bottom w:w="0" w:type="dxa"/>
            <w:right w:w="108" w:type="dxa"/>
          </w:tblCellMar>
        </w:tblPrEx>
        <w:trPr>
          <w:trHeight w:val="510" w:hRule="exact"/>
          <w:jc w:val="center"/>
        </w:trPr>
        <w:tc>
          <w:tcPr>
            <w:tcW w:w="9564" w:type="dxa"/>
            <w:gridSpan w:val="3"/>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0D4244FA">
            <w:pPr>
              <w:pStyle w:val="15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snapToGrid w:val="0"/>
              <w:spacing w:after="0" w:line="5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商务部分，满分：</w:t>
            </w:r>
            <w:r>
              <w:rPr>
                <w:rFonts w:hint="eastAsia" w:ascii="宋体" w:hAnsi="宋体" w:eastAsia="宋体" w:cs="宋体"/>
                <w:b/>
                <w:bCs/>
                <w:color w:val="auto"/>
                <w:kern w:val="0"/>
                <w:sz w:val="24"/>
                <w:szCs w:val="24"/>
                <w:highlight w:val="none"/>
                <w:u w:val="single"/>
                <w:lang w:eastAsia="zh-CN"/>
              </w:rPr>
              <w:t>5</w:t>
            </w:r>
            <w:r>
              <w:rPr>
                <w:rFonts w:hint="eastAsia" w:hAnsi="宋体" w:cs="宋体"/>
                <w:b/>
                <w:bCs/>
                <w:color w:val="auto"/>
                <w:kern w:val="0"/>
                <w:sz w:val="24"/>
                <w:szCs w:val="24"/>
                <w:highlight w:val="none"/>
                <w:u w:val="single"/>
                <w:lang w:val="en-US" w:eastAsia="zh-CN"/>
              </w:rPr>
              <w:t>0</w:t>
            </w:r>
            <w:r>
              <w:rPr>
                <w:rFonts w:hint="eastAsia" w:ascii="宋体" w:hAnsi="宋体" w:eastAsia="宋体" w:cs="宋体"/>
                <w:b/>
                <w:bCs/>
                <w:color w:val="auto"/>
                <w:kern w:val="0"/>
                <w:sz w:val="24"/>
                <w:szCs w:val="24"/>
                <w:highlight w:val="none"/>
              </w:rPr>
              <w:t>分。</w:t>
            </w:r>
          </w:p>
        </w:tc>
      </w:tr>
      <w:tr w14:paraId="5AE4316C">
        <w:tblPrEx>
          <w:tblCellMar>
            <w:top w:w="0" w:type="dxa"/>
            <w:left w:w="108" w:type="dxa"/>
            <w:bottom w:w="0" w:type="dxa"/>
            <w:right w:w="108" w:type="dxa"/>
          </w:tblCellMar>
        </w:tblPrEx>
        <w:trPr>
          <w:trHeight w:val="510" w:hRule="exact"/>
          <w:jc w:val="center"/>
        </w:trPr>
        <w:tc>
          <w:tcPr>
            <w:tcW w:w="1370" w:type="dxa"/>
            <w:tcBorders>
              <w:top w:val="single" w:color="000000" w:sz="4" w:space="0"/>
              <w:left w:val="single" w:color="000000" w:sz="4" w:space="0"/>
              <w:bottom w:val="single" w:color="000000" w:sz="4" w:space="0"/>
              <w:right w:val="single" w:color="000000" w:sz="4" w:space="0"/>
            </w:tcBorders>
            <w:noWrap w:val="0"/>
            <w:vAlign w:val="center"/>
          </w:tcPr>
          <w:p w14:paraId="59CED0E8">
            <w:pPr>
              <w:pStyle w:val="15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snapToGrid w:val="0"/>
              <w:spacing w:after="0" w:line="50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评分因素</w:t>
            </w:r>
          </w:p>
        </w:tc>
        <w:tc>
          <w:tcPr>
            <w:tcW w:w="4176" w:type="dxa"/>
            <w:tcBorders>
              <w:top w:val="single" w:color="000000" w:sz="4" w:space="0"/>
              <w:left w:val="single" w:color="000000" w:sz="4" w:space="0"/>
              <w:bottom w:val="single" w:color="000000" w:sz="4" w:space="0"/>
              <w:right w:val="single" w:color="000000" w:sz="4" w:space="0"/>
            </w:tcBorders>
            <w:noWrap w:val="0"/>
            <w:vAlign w:val="center"/>
          </w:tcPr>
          <w:p w14:paraId="4FBAF56A">
            <w:pPr>
              <w:pStyle w:val="15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snapToGrid w:val="0"/>
              <w:spacing w:after="0" w:line="50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评分标准</w:t>
            </w:r>
          </w:p>
        </w:tc>
        <w:tc>
          <w:tcPr>
            <w:tcW w:w="4018" w:type="dxa"/>
            <w:tcBorders>
              <w:top w:val="single" w:color="000000" w:sz="4" w:space="0"/>
              <w:left w:val="single" w:color="000000" w:sz="4" w:space="0"/>
              <w:bottom w:val="single" w:color="000000" w:sz="4" w:space="0"/>
              <w:right w:val="single" w:color="000000" w:sz="4" w:space="0"/>
            </w:tcBorders>
            <w:noWrap w:val="0"/>
            <w:vAlign w:val="center"/>
          </w:tcPr>
          <w:p w14:paraId="1908CD52">
            <w:pPr>
              <w:pStyle w:val="15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snapToGrid w:val="0"/>
              <w:spacing w:after="0" w:line="50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6FA911D2">
        <w:tblPrEx>
          <w:tblCellMar>
            <w:top w:w="0" w:type="dxa"/>
            <w:left w:w="108" w:type="dxa"/>
            <w:bottom w:w="0" w:type="dxa"/>
            <w:right w:w="108" w:type="dxa"/>
          </w:tblCellMar>
        </w:tblPrEx>
        <w:trPr>
          <w:trHeight w:val="2812" w:hRule="atLeast"/>
          <w:jc w:val="center"/>
        </w:trPr>
        <w:tc>
          <w:tcPr>
            <w:tcW w:w="13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25EDC8">
            <w:pPr>
              <w:pStyle w:val="155"/>
              <w:keepNext w:val="0"/>
              <w:keepLines w:val="0"/>
              <w:pageBreakBefore w:val="0"/>
              <w:widowControl w:val="0"/>
              <w:kinsoku/>
              <w:wordWrap w:val="0"/>
              <w:overflowPunct/>
              <w:topLinePunct w:val="0"/>
              <w:autoSpaceDE/>
              <w:autoSpaceDN/>
              <w:bidi w:val="0"/>
              <w:adjustRightInd/>
              <w:snapToGrid w:val="0"/>
              <w:spacing w:after="0"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企业业绩</w:t>
            </w:r>
          </w:p>
          <w:p w14:paraId="03C1A133">
            <w:pPr>
              <w:pStyle w:val="155"/>
              <w:keepNext w:val="0"/>
              <w:keepLines w:val="0"/>
              <w:pageBreakBefore w:val="0"/>
              <w:widowControl w:val="0"/>
              <w:kinsoku/>
              <w:wordWrap w:val="0"/>
              <w:overflowPunct/>
              <w:topLinePunct w:val="0"/>
              <w:autoSpaceDE/>
              <w:autoSpaceDN/>
              <w:bidi w:val="0"/>
              <w:adjustRightInd/>
              <w:snapToGrid w:val="0"/>
              <w:spacing w:after="0" w:line="288" w:lineRule="auto"/>
              <w:ind w:firstLine="120" w:firstLineChars="5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w:t>
            </w:r>
            <w:r>
              <w:rPr>
                <w:rFonts w:hint="eastAsia" w:hAnsi="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41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915A8">
            <w:pPr>
              <w:pStyle w:val="155"/>
              <w:keepNext w:val="0"/>
              <w:keepLines w:val="0"/>
              <w:pageBreakBefore w:val="0"/>
              <w:widowControl w:val="0"/>
              <w:kinsoku/>
              <w:wordWrap w:val="0"/>
              <w:overflowPunct/>
              <w:topLinePunct w:val="0"/>
              <w:autoSpaceDE/>
              <w:autoSpaceDN/>
              <w:bidi w:val="0"/>
              <w:adjustRightInd/>
              <w:snapToGrid w:val="0"/>
              <w:spacing w:after="0"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2021年1月1日至今，投标人承接过同类工程监理业绩情况：</w:t>
            </w:r>
          </w:p>
          <w:p w14:paraId="17603B19">
            <w:pPr>
              <w:pStyle w:val="155"/>
              <w:keepNext w:val="0"/>
              <w:keepLines w:val="0"/>
              <w:pageBreakBefore w:val="0"/>
              <w:widowControl w:val="0"/>
              <w:kinsoku/>
              <w:wordWrap w:val="0"/>
              <w:overflowPunct/>
              <w:topLinePunct w:val="0"/>
              <w:autoSpaceDE/>
              <w:autoSpaceDN/>
              <w:bidi w:val="0"/>
              <w:adjustRightInd/>
              <w:snapToGrid w:val="0"/>
              <w:spacing w:after="0"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1.承接过类似监理项目的，每项得</w:t>
            </w:r>
            <w:r>
              <w:rPr>
                <w:rFonts w:hint="eastAsia" w:hAnsi="宋体" w:cs="宋体"/>
                <w:color w:val="auto"/>
                <w:sz w:val="24"/>
                <w:szCs w:val="24"/>
                <w:highlight w:val="none"/>
                <w:lang w:val="en-US" w:eastAsia="zh-CN"/>
              </w:rPr>
              <w:t>2.5</w:t>
            </w:r>
            <w:r>
              <w:rPr>
                <w:rFonts w:hint="eastAsia" w:ascii="宋体" w:hAnsi="宋体" w:eastAsia="宋体" w:cs="宋体"/>
                <w:color w:val="auto"/>
                <w:sz w:val="24"/>
                <w:szCs w:val="24"/>
                <w:highlight w:val="none"/>
              </w:rPr>
              <w:t>分。</w:t>
            </w:r>
          </w:p>
          <w:p w14:paraId="40D7D1D6">
            <w:pPr>
              <w:pStyle w:val="155"/>
              <w:keepNext w:val="0"/>
              <w:keepLines w:val="0"/>
              <w:pageBreakBefore w:val="0"/>
              <w:widowControl w:val="0"/>
              <w:kinsoku/>
              <w:wordWrap w:val="0"/>
              <w:overflowPunct/>
              <w:topLinePunct w:val="0"/>
              <w:autoSpaceDE/>
              <w:autoSpaceDN/>
              <w:bidi w:val="0"/>
              <w:adjustRightInd/>
              <w:snapToGrid w:val="0"/>
              <w:spacing w:after="0"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2.未承接过类似监理项目的，不予计分。</w:t>
            </w:r>
          </w:p>
          <w:p w14:paraId="12F94FEF">
            <w:pPr>
              <w:pStyle w:val="155"/>
              <w:keepNext w:val="0"/>
              <w:keepLines w:val="0"/>
              <w:pageBreakBefore w:val="0"/>
              <w:widowControl w:val="0"/>
              <w:kinsoku/>
              <w:wordWrap w:val="0"/>
              <w:overflowPunct/>
              <w:topLinePunct w:val="0"/>
              <w:autoSpaceDE/>
              <w:autoSpaceDN/>
              <w:bidi w:val="0"/>
              <w:adjustRightInd/>
              <w:snapToGrid w:val="0"/>
              <w:spacing w:after="0" w:line="288"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说明:本项最高得10分。</w:t>
            </w:r>
          </w:p>
        </w:tc>
        <w:tc>
          <w:tcPr>
            <w:tcW w:w="4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4698DF">
            <w:pPr>
              <w:pStyle w:val="155"/>
              <w:keepNext w:val="0"/>
              <w:keepLines w:val="0"/>
              <w:pageBreakBefore w:val="0"/>
              <w:widowControl w:val="0"/>
              <w:kinsoku/>
              <w:wordWrap w:val="0"/>
              <w:overflowPunct/>
              <w:topLinePunct w:val="0"/>
              <w:autoSpaceDE/>
              <w:autoSpaceDN/>
              <w:bidi w:val="0"/>
              <w:adjustRightInd/>
              <w:snapToGrid w:val="0"/>
              <w:spacing w:after="0" w:line="288" w:lineRule="auto"/>
              <w:textAlignment w:val="auto"/>
              <w:rPr>
                <w:rFonts w:hint="eastAsia" w:ascii="宋体" w:hAnsi="宋体" w:eastAsia="宋体" w:cs="宋体"/>
                <w:b w:val="0"/>
                <w:bCs w:val="0"/>
                <w:i w:val="0"/>
                <w:iCs w:val="0"/>
                <w:color w:val="auto"/>
                <w:kern w:val="0"/>
                <w:sz w:val="24"/>
                <w:szCs w:val="24"/>
                <w:highlight w:val="none"/>
              </w:rPr>
            </w:pPr>
            <w:r>
              <w:rPr>
                <w:rFonts w:hint="eastAsia" w:ascii="宋体" w:hAnsi="宋体" w:eastAsia="宋体" w:cs="宋体"/>
                <w:b w:val="0"/>
                <w:bCs w:val="0"/>
                <w:i w:val="0"/>
                <w:iCs w:val="0"/>
                <w:color w:val="auto"/>
                <w:kern w:val="0"/>
                <w:sz w:val="24"/>
                <w:szCs w:val="24"/>
                <w:highlight w:val="none"/>
              </w:rPr>
              <w:t>1.类似监理项目指：工程总投资金额≥</w:t>
            </w:r>
            <w:r>
              <w:rPr>
                <w:rFonts w:hint="eastAsia" w:hAnsi="宋体" w:cs="宋体"/>
                <w:b w:val="0"/>
                <w:bCs w:val="0"/>
                <w:i w:val="0"/>
                <w:iCs w:val="0"/>
                <w:color w:val="auto"/>
                <w:kern w:val="0"/>
                <w:sz w:val="24"/>
                <w:szCs w:val="24"/>
                <w:highlight w:val="none"/>
                <w:lang w:val="en-US" w:eastAsia="zh-CN"/>
              </w:rPr>
              <w:t>500</w:t>
            </w:r>
            <w:r>
              <w:rPr>
                <w:rFonts w:hint="eastAsia" w:ascii="宋体" w:hAnsi="宋体" w:eastAsia="宋体" w:cs="宋体"/>
                <w:b w:val="0"/>
                <w:bCs w:val="0"/>
                <w:i w:val="0"/>
                <w:iCs w:val="0"/>
                <w:color w:val="auto"/>
                <w:kern w:val="0"/>
                <w:sz w:val="24"/>
                <w:szCs w:val="24"/>
                <w:highlight w:val="none"/>
              </w:rPr>
              <w:t>万元的市政公用工程类监理项目。</w:t>
            </w:r>
          </w:p>
          <w:p w14:paraId="76CA050A">
            <w:pPr>
              <w:pStyle w:val="155"/>
              <w:keepNext w:val="0"/>
              <w:keepLines w:val="0"/>
              <w:pageBreakBefore w:val="0"/>
              <w:widowControl w:val="0"/>
              <w:kinsoku/>
              <w:wordWrap w:val="0"/>
              <w:overflowPunct/>
              <w:topLinePunct w:val="0"/>
              <w:autoSpaceDE/>
              <w:autoSpaceDN/>
              <w:bidi w:val="0"/>
              <w:adjustRightInd/>
              <w:snapToGrid w:val="0"/>
              <w:spacing w:after="0" w:line="288" w:lineRule="auto"/>
              <w:textAlignment w:val="auto"/>
              <w:rPr>
                <w:rFonts w:hint="eastAsia" w:ascii="宋体" w:hAnsi="宋体" w:eastAsia="宋体" w:cs="宋体"/>
                <w:b w:val="0"/>
                <w:bCs w:val="0"/>
                <w:i w:val="0"/>
                <w:iCs w:val="0"/>
                <w:color w:val="auto"/>
                <w:kern w:val="0"/>
                <w:sz w:val="24"/>
                <w:szCs w:val="24"/>
                <w:highlight w:val="none"/>
              </w:rPr>
            </w:pPr>
            <w:r>
              <w:rPr>
                <w:rFonts w:hint="eastAsia" w:ascii="宋体" w:hAnsi="宋体" w:eastAsia="宋体" w:cs="宋体"/>
                <w:b w:val="0"/>
                <w:bCs w:val="0"/>
                <w:i w:val="0"/>
                <w:iCs w:val="0"/>
                <w:color w:val="auto"/>
                <w:kern w:val="0"/>
                <w:sz w:val="24"/>
                <w:szCs w:val="24"/>
                <w:highlight w:val="none"/>
              </w:rPr>
              <w:t>2.需提供监理合同关键页彩色扫描件</w:t>
            </w:r>
            <w:r>
              <w:rPr>
                <w:rFonts w:hint="eastAsia" w:ascii="宋体" w:hAnsi="宋体" w:eastAsia="宋体" w:cs="宋体"/>
                <w:color w:val="auto"/>
                <w:kern w:val="0"/>
                <w:sz w:val="24"/>
                <w:szCs w:val="24"/>
                <w:highlight w:val="none"/>
              </w:rPr>
              <w:t>，</w:t>
            </w:r>
            <w:r>
              <w:rPr>
                <w:rFonts w:hint="eastAsia" w:hAnsi="宋体" w:cs="宋体"/>
                <w:snapToGrid w:val="0"/>
                <w:color w:val="auto"/>
                <w:sz w:val="24"/>
                <w:szCs w:val="24"/>
                <w:highlight w:val="none"/>
                <w:lang w:val="en-US" w:eastAsia="zh-CN"/>
              </w:rPr>
              <w:t>未按要求提供不得分。</w:t>
            </w:r>
          </w:p>
          <w:p w14:paraId="021F7643">
            <w:pPr>
              <w:pStyle w:val="155"/>
              <w:keepNext w:val="0"/>
              <w:keepLines w:val="0"/>
              <w:pageBreakBefore w:val="0"/>
              <w:widowControl w:val="0"/>
              <w:kinsoku/>
              <w:wordWrap w:val="0"/>
              <w:overflowPunct/>
              <w:topLinePunct w:val="0"/>
              <w:autoSpaceDE/>
              <w:autoSpaceDN/>
              <w:bidi w:val="0"/>
              <w:adjustRightInd/>
              <w:snapToGrid w:val="0"/>
              <w:spacing w:after="0" w:line="288" w:lineRule="auto"/>
              <w:textAlignment w:val="auto"/>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i w:val="0"/>
                <w:iCs w:val="0"/>
                <w:color w:val="auto"/>
                <w:kern w:val="0"/>
                <w:sz w:val="24"/>
                <w:szCs w:val="24"/>
                <w:highlight w:val="none"/>
              </w:rPr>
              <w:t>3.业绩时间以施工监理合同签订时间为准。</w:t>
            </w:r>
          </w:p>
        </w:tc>
      </w:tr>
      <w:tr w14:paraId="7548075E">
        <w:tblPrEx>
          <w:tblCellMar>
            <w:top w:w="0" w:type="dxa"/>
            <w:left w:w="108" w:type="dxa"/>
            <w:bottom w:w="0" w:type="dxa"/>
            <w:right w:w="108" w:type="dxa"/>
          </w:tblCellMar>
        </w:tblPrEx>
        <w:trPr>
          <w:trHeight w:val="8198" w:hRule="atLeast"/>
          <w:jc w:val="center"/>
        </w:trPr>
        <w:tc>
          <w:tcPr>
            <w:tcW w:w="1370" w:type="dxa"/>
            <w:tcBorders>
              <w:top w:val="single" w:color="000000" w:sz="4" w:space="0"/>
              <w:left w:val="single" w:color="000000" w:sz="4" w:space="0"/>
              <w:bottom w:val="single" w:color="auto" w:sz="4" w:space="0"/>
              <w:right w:val="single" w:color="000000" w:sz="4" w:space="0"/>
            </w:tcBorders>
            <w:noWrap w:val="0"/>
            <w:vAlign w:val="center"/>
          </w:tcPr>
          <w:p w14:paraId="4288E301">
            <w:pPr>
              <w:pStyle w:val="155"/>
              <w:keepNext w:val="0"/>
              <w:keepLines w:val="0"/>
              <w:pageBreakBefore w:val="0"/>
              <w:widowControl w:val="0"/>
              <w:kinsoku/>
              <w:wordWrap w:val="0"/>
              <w:overflowPunct/>
              <w:topLinePunct w:val="0"/>
              <w:autoSpaceDE/>
              <w:autoSpaceDN/>
              <w:bidi w:val="0"/>
              <w:adjustRightInd/>
              <w:snapToGrid w:val="0"/>
              <w:spacing w:after="0"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企业获奖</w:t>
            </w:r>
          </w:p>
          <w:p w14:paraId="32CDA75C">
            <w:pPr>
              <w:pStyle w:val="155"/>
              <w:keepNext w:val="0"/>
              <w:keepLines w:val="0"/>
              <w:pageBreakBefore w:val="0"/>
              <w:widowControl w:val="0"/>
              <w:kinsoku/>
              <w:wordWrap w:val="0"/>
              <w:overflowPunct/>
              <w:topLinePunct w:val="0"/>
              <w:autoSpaceDE/>
              <w:autoSpaceDN/>
              <w:bidi w:val="0"/>
              <w:adjustRightInd/>
              <w:snapToGrid w:val="0"/>
              <w:spacing w:after="0"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hAnsi="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4176" w:type="dxa"/>
            <w:tcBorders>
              <w:top w:val="single" w:color="000000" w:sz="4" w:space="0"/>
              <w:left w:val="single" w:color="000000" w:sz="4" w:space="0"/>
              <w:bottom w:val="single" w:color="auto" w:sz="4" w:space="0"/>
              <w:right w:val="single" w:color="000000" w:sz="4" w:space="0"/>
            </w:tcBorders>
            <w:noWrap w:val="0"/>
            <w:vAlign w:val="center"/>
          </w:tcPr>
          <w:p w14:paraId="792D99B0">
            <w:pPr>
              <w:pStyle w:val="155"/>
              <w:keepNext w:val="0"/>
              <w:keepLines w:val="0"/>
              <w:pageBreakBefore w:val="0"/>
              <w:widowControl w:val="0"/>
              <w:kinsoku/>
              <w:wordWrap w:val="0"/>
              <w:overflowPunct/>
              <w:topLinePunct w:val="0"/>
              <w:autoSpaceDE/>
              <w:autoSpaceDN/>
              <w:bidi w:val="0"/>
              <w:adjustRightInd/>
              <w:snapToGrid w:val="0"/>
              <w:spacing w:after="0" w:line="288"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2021年1月1日至今，投标人监理过的项目获奖情况：</w:t>
            </w:r>
          </w:p>
          <w:p w14:paraId="06A6B20F">
            <w:pPr>
              <w:pStyle w:val="155"/>
              <w:keepNext w:val="0"/>
              <w:keepLines w:val="0"/>
              <w:pageBreakBefore w:val="0"/>
              <w:widowControl w:val="0"/>
              <w:kinsoku/>
              <w:wordWrap w:val="0"/>
              <w:overflowPunct/>
              <w:topLinePunct w:val="0"/>
              <w:autoSpaceDE/>
              <w:autoSpaceDN/>
              <w:bidi w:val="0"/>
              <w:adjustRightInd/>
              <w:snapToGrid w:val="0"/>
              <w:spacing w:after="0" w:line="288"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1.获得省级（或以上）奖项的，每个得</w:t>
            </w:r>
            <w:r>
              <w:rPr>
                <w:rFonts w:hint="eastAsia" w:hAnsi="宋体" w:cs="宋体"/>
                <w:color w:val="auto"/>
                <w:kern w:val="0"/>
                <w:sz w:val="24"/>
                <w:szCs w:val="24"/>
                <w:highlight w:val="none"/>
                <w:lang w:val="en-US" w:eastAsia="zh-CN"/>
              </w:rPr>
              <w:t>2.5</w:t>
            </w:r>
            <w:r>
              <w:rPr>
                <w:rFonts w:hint="eastAsia" w:ascii="宋体" w:hAnsi="宋体" w:eastAsia="宋体" w:cs="宋体"/>
                <w:color w:val="auto"/>
                <w:kern w:val="0"/>
                <w:sz w:val="24"/>
                <w:szCs w:val="24"/>
                <w:highlight w:val="none"/>
              </w:rPr>
              <w:t>分。</w:t>
            </w:r>
          </w:p>
          <w:p w14:paraId="41698353">
            <w:pPr>
              <w:pStyle w:val="155"/>
              <w:keepNext w:val="0"/>
              <w:keepLines w:val="0"/>
              <w:pageBreakBefore w:val="0"/>
              <w:widowControl w:val="0"/>
              <w:kinsoku/>
              <w:wordWrap w:val="0"/>
              <w:overflowPunct/>
              <w:topLinePunct w:val="0"/>
              <w:autoSpaceDE/>
              <w:autoSpaceDN/>
              <w:bidi w:val="0"/>
              <w:adjustRightInd/>
              <w:snapToGrid w:val="0"/>
              <w:spacing w:after="0" w:line="288"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2.获得地市级奖项的，每个得1分。</w:t>
            </w:r>
          </w:p>
          <w:p w14:paraId="396506E5">
            <w:pPr>
              <w:pStyle w:val="155"/>
              <w:keepNext w:val="0"/>
              <w:keepLines w:val="0"/>
              <w:pageBreakBefore w:val="0"/>
              <w:widowControl w:val="0"/>
              <w:kinsoku/>
              <w:wordWrap w:val="0"/>
              <w:overflowPunct/>
              <w:topLinePunct w:val="0"/>
              <w:autoSpaceDE/>
              <w:autoSpaceDN/>
              <w:bidi w:val="0"/>
              <w:adjustRightInd/>
              <w:snapToGrid w:val="0"/>
              <w:spacing w:after="0" w:line="288"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3.以上奖项均未获得的，不予计分。</w:t>
            </w:r>
          </w:p>
          <w:p w14:paraId="6E60BB28">
            <w:pPr>
              <w:pStyle w:val="155"/>
              <w:keepNext w:val="0"/>
              <w:keepLines w:val="0"/>
              <w:pageBreakBefore w:val="0"/>
              <w:widowControl w:val="0"/>
              <w:kinsoku/>
              <w:wordWrap w:val="0"/>
              <w:overflowPunct/>
              <w:topLinePunct w:val="0"/>
              <w:autoSpaceDE/>
              <w:autoSpaceDN/>
              <w:bidi w:val="0"/>
              <w:adjustRightInd/>
              <w:snapToGrid w:val="0"/>
              <w:spacing w:after="0" w:line="288"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说明:本项最高得10分。</w:t>
            </w:r>
          </w:p>
        </w:tc>
        <w:tc>
          <w:tcPr>
            <w:tcW w:w="4018" w:type="dxa"/>
            <w:tcBorders>
              <w:top w:val="single" w:color="000000" w:sz="4" w:space="0"/>
              <w:left w:val="single" w:color="000000" w:sz="4" w:space="0"/>
              <w:bottom w:val="single" w:color="auto" w:sz="4" w:space="0"/>
              <w:right w:val="single" w:color="000000" w:sz="4" w:space="0"/>
            </w:tcBorders>
            <w:noWrap w:val="0"/>
            <w:vAlign w:val="center"/>
          </w:tcPr>
          <w:p w14:paraId="59F0D750">
            <w:pPr>
              <w:keepNext w:val="0"/>
              <w:keepLines w:val="0"/>
              <w:pageBreakBefore w:val="0"/>
              <w:widowControl w:val="0"/>
              <w:kinsoku/>
              <w:wordWrap w:val="0"/>
              <w:overflowPunct/>
              <w:topLinePunct w:val="0"/>
              <w:autoSpaceDE/>
              <w:autoSpaceDN/>
              <w:bidi w:val="0"/>
              <w:adjustRightInd/>
              <w:spacing w:line="288" w:lineRule="auto"/>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1.允许投标人提交多个业绩，但同一业绩只按最高级别奖项计分一次。</w:t>
            </w:r>
          </w:p>
          <w:p w14:paraId="455B7CFB">
            <w:pPr>
              <w:keepNext w:val="0"/>
              <w:keepLines w:val="0"/>
              <w:pageBreakBefore w:val="0"/>
              <w:widowControl w:val="0"/>
              <w:kinsoku/>
              <w:wordWrap w:val="0"/>
              <w:overflowPunct/>
              <w:topLinePunct w:val="0"/>
              <w:autoSpaceDE/>
              <w:autoSpaceDN/>
              <w:bidi w:val="0"/>
              <w:adjustRightInd/>
              <w:spacing w:line="288" w:lineRule="auto"/>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2．需附有关奖项证明彩色扫描件。</w:t>
            </w:r>
          </w:p>
          <w:p w14:paraId="2282511F">
            <w:pPr>
              <w:keepNext w:val="0"/>
              <w:keepLines w:val="0"/>
              <w:pageBreakBefore w:val="0"/>
              <w:widowControl w:val="0"/>
              <w:kinsoku/>
              <w:wordWrap w:val="0"/>
              <w:overflowPunct/>
              <w:topLinePunct w:val="0"/>
              <w:autoSpaceDE/>
              <w:autoSpaceDN/>
              <w:bidi w:val="0"/>
              <w:adjustRightInd/>
              <w:spacing w:line="288" w:lineRule="auto"/>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3．颁发机构限定以下范围：</w:t>
            </w:r>
          </w:p>
          <w:p w14:paraId="25F131EF">
            <w:pPr>
              <w:keepNext w:val="0"/>
              <w:keepLines w:val="0"/>
              <w:pageBreakBefore w:val="0"/>
              <w:widowControl w:val="0"/>
              <w:kinsoku/>
              <w:wordWrap w:val="0"/>
              <w:overflowPunct/>
              <w:topLinePunct w:val="0"/>
              <w:autoSpaceDE/>
              <w:autoSpaceDN/>
              <w:bidi w:val="0"/>
              <w:adjustRightInd/>
              <w:spacing w:line="288" w:lineRule="auto"/>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①国家级奖项：国务院、住建部、国家级行业协会（学会）；（相关协会（学会）需经民政部门备案）</w:t>
            </w:r>
          </w:p>
          <w:p w14:paraId="654665A1">
            <w:pPr>
              <w:keepNext w:val="0"/>
              <w:keepLines w:val="0"/>
              <w:pageBreakBefore w:val="0"/>
              <w:widowControl w:val="0"/>
              <w:kinsoku/>
              <w:wordWrap w:val="0"/>
              <w:overflowPunct/>
              <w:topLinePunct w:val="0"/>
              <w:autoSpaceDE/>
              <w:autoSpaceDN/>
              <w:bidi w:val="0"/>
              <w:adjustRightInd/>
              <w:spacing w:line="288" w:lineRule="auto"/>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②省级奖项：省级人民政府、省级住建部门、省级行业协会（学会）；（相关协会（学会）需经民政部门备案）</w:t>
            </w:r>
          </w:p>
          <w:p w14:paraId="26988224">
            <w:pPr>
              <w:keepNext w:val="0"/>
              <w:keepLines w:val="0"/>
              <w:pageBreakBefore w:val="0"/>
              <w:widowControl w:val="0"/>
              <w:kinsoku/>
              <w:wordWrap w:val="0"/>
              <w:overflowPunct/>
              <w:topLinePunct w:val="0"/>
              <w:autoSpaceDE/>
              <w:autoSpaceDN/>
              <w:bidi w:val="0"/>
              <w:adjustRightInd/>
              <w:spacing w:line="288" w:lineRule="auto"/>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③地市级奖项：地市级人民政府、地市级住建部门、地市级行业协会（学会）。（相关协会（学会）需经民政部门备案）</w:t>
            </w:r>
          </w:p>
          <w:p w14:paraId="35ED49B9">
            <w:pPr>
              <w:keepNext w:val="0"/>
              <w:keepLines w:val="0"/>
              <w:pageBreakBefore w:val="0"/>
              <w:widowControl w:val="0"/>
              <w:kinsoku/>
              <w:wordWrap w:val="0"/>
              <w:overflowPunct/>
              <w:topLinePunct w:val="0"/>
              <w:autoSpaceDE/>
              <w:autoSpaceDN/>
              <w:bidi w:val="0"/>
              <w:adjustRightInd/>
              <w:spacing w:line="288" w:lineRule="auto"/>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4．获奖时间以奖项证明的落款日期为准。</w:t>
            </w:r>
          </w:p>
          <w:p w14:paraId="31978E77">
            <w:pPr>
              <w:keepNext w:val="0"/>
              <w:keepLines w:val="0"/>
              <w:pageBreakBefore w:val="0"/>
              <w:widowControl w:val="0"/>
              <w:kinsoku/>
              <w:wordWrap w:val="0"/>
              <w:overflowPunct/>
              <w:topLinePunct w:val="0"/>
              <w:autoSpaceDE/>
              <w:autoSpaceDN/>
              <w:bidi w:val="0"/>
              <w:adjustRightInd/>
              <w:spacing w:line="288" w:lineRule="auto"/>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5．任一奖项有以下情形之一的，该奖项视为无效，不予计分：</w:t>
            </w:r>
          </w:p>
          <w:p w14:paraId="6D9966F2">
            <w:pPr>
              <w:keepNext w:val="0"/>
              <w:keepLines w:val="0"/>
              <w:pageBreakBefore w:val="0"/>
              <w:widowControl w:val="0"/>
              <w:kinsoku/>
              <w:wordWrap w:val="0"/>
              <w:overflowPunct/>
              <w:topLinePunct w:val="0"/>
              <w:autoSpaceDE/>
              <w:autoSpaceDN/>
              <w:bidi w:val="0"/>
              <w:adjustRightInd/>
              <w:spacing w:line="288" w:lineRule="auto"/>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①奖项不属于指定类别的；</w:t>
            </w:r>
          </w:p>
          <w:p w14:paraId="320B65F6">
            <w:pPr>
              <w:keepNext w:val="0"/>
              <w:keepLines w:val="0"/>
              <w:pageBreakBefore w:val="0"/>
              <w:widowControl w:val="0"/>
              <w:kinsoku/>
              <w:wordWrap w:val="0"/>
              <w:overflowPunct/>
              <w:topLinePunct w:val="0"/>
              <w:autoSpaceDE/>
              <w:autoSpaceDN/>
              <w:bidi w:val="0"/>
              <w:adjustRightInd/>
              <w:spacing w:line="288" w:lineRule="auto"/>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②颁发机构不符合要求的；</w:t>
            </w:r>
          </w:p>
          <w:p w14:paraId="2BBB2B4B">
            <w:pPr>
              <w:keepNext w:val="0"/>
              <w:keepLines w:val="0"/>
              <w:pageBreakBefore w:val="0"/>
              <w:widowControl w:val="0"/>
              <w:kinsoku/>
              <w:wordWrap w:val="0"/>
              <w:overflowPunct/>
              <w:topLinePunct w:val="0"/>
              <w:autoSpaceDE/>
              <w:autoSpaceDN/>
              <w:bidi w:val="0"/>
              <w:adjustRightInd/>
              <w:spacing w:line="288"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③获奖时间不符合要求的。</w:t>
            </w:r>
          </w:p>
        </w:tc>
      </w:tr>
      <w:tr w14:paraId="56372D24">
        <w:tblPrEx>
          <w:tblCellMar>
            <w:top w:w="0" w:type="dxa"/>
            <w:left w:w="108" w:type="dxa"/>
            <w:bottom w:w="0" w:type="dxa"/>
            <w:right w:w="108" w:type="dxa"/>
          </w:tblCellMar>
        </w:tblPrEx>
        <w:trPr>
          <w:trHeight w:val="2038" w:hRule="atLeast"/>
          <w:jc w:val="center"/>
        </w:trPr>
        <w:tc>
          <w:tcPr>
            <w:tcW w:w="1370" w:type="dxa"/>
            <w:tcBorders>
              <w:top w:val="single" w:color="000000" w:sz="4" w:space="0"/>
              <w:left w:val="single" w:color="000000" w:sz="4" w:space="0"/>
              <w:bottom w:val="single" w:color="auto" w:sz="4" w:space="0"/>
              <w:right w:val="single" w:color="000000" w:sz="4" w:space="0"/>
            </w:tcBorders>
            <w:noWrap w:val="0"/>
            <w:vAlign w:val="center"/>
          </w:tcPr>
          <w:p w14:paraId="2A9EB319">
            <w:pPr>
              <w:pStyle w:val="155"/>
              <w:keepNext w:val="0"/>
              <w:keepLines w:val="0"/>
              <w:pageBreakBefore w:val="0"/>
              <w:widowControl w:val="0"/>
              <w:kinsoku/>
              <w:wordWrap w:val="0"/>
              <w:overflowPunct/>
              <w:topLinePunct w:val="0"/>
              <w:autoSpaceDE/>
              <w:autoSpaceDN/>
              <w:bidi w:val="0"/>
              <w:adjustRightInd/>
              <w:snapToGrid w:val="0"/>
              <w:spacing w:after="0" w:line="288"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企业</w:t>
            </w:r>
            <w:r>
              <w:rPr>
                <w:rFonts w:hint="eastAsia" w:ascii="宋体" w:hAnsi="宋体" w:eastAsia="宋体" w:cs="宋体"/>
                <w:color w:val="auto"/>
                <w:sz w:val="24"/>
                <w:szCs w:val="24"/>
                <w:highlight w:val="none"/>
                <w:lang w:val="en-US" w:eastAsia="zh-CN"/>
              </w:rPr>
              <w:t>纳税</w:t>
            </w:r>
          </w:p>
          <w:p w14:paraId="0E882EB9">
            <w:pPr>
              <w:pStyle w:val="155"/>
              <w:keepNext w:val="0"/>
              <w:keepLines w:val="0"/>
              <w:pageBreakBefore w:val="0"/>
              <w:widowControl w:val="0"/>
              <w:kinsoku/>
              <w:wordWrap w:val="0"/>
              <w:overflowPunct/>
              <w:topLinePunct w:val="0"/>
              <w:autoSpaceDE/>
              <w:autoSpaceDN/>
              <w:bidi w:val="0"/>
              <w:adjustRightInd/>
              <w:snapToGrid w:val="0"/>
              <w:spacing w:after="0"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c>
          <w:tcPr>
            <w:tcW w:w="4176" w:type="dxa"/>
            <w:tcBorders>
              <w:top w:val="single" w:color="000000" w:sz="4" w:space="0"/>
              <w:left w:val="single" w:color="000000" w:sz="4" w:space="0"/>
              <w:bottom w:val="single" w:color="auto" w:sz="4" w:space="0"/>
              <w:right w:val="single" w:color="000000" w:sz="4" w:space="0"/>
            </w:tcBorders>
            <w:noWrap w:val="0"/>
            <w:vAlign w:val="center"/>
          </w:tcPr>
          <w:p w14:paraId="24F84A58">
            <w:pPr>
              <w:pStyle w:val="155"/>
              <w:keepNext w:val="0"/>
              <w:keepLines w:val="0"/>
              <w:pageBreakBefore w:val="0"/>
              <w:widowControl w:val="0"/>
              <w:kinsoku/>
              <w:wordWrap w:val="0"/>
              <w:overflowPunct/>
              <w:topLinePunct w:val="0"/>
              <w:autoSpaceDE/>
              <w:autoSpaceDN/>
              <w:bidi w:val="0"/>
              <w:adjustRightInd/>
              <w:snapToGrid w:val="0"/>
              <w:spacing w:after="0" w:line="288"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投标人连续连续5年或以上（其中必须包含有2024年度）获得过税务主管部门出具的纳税信用等级为A级，得5分；</w:t>
            </w:r>
          </w:p>
          <w:p w14:paraId="4BC61C84">
            <w:pPr>
              <w:pStyle w:val="155"/>
              <w:keepNext w:val="0"/>
              <w:keepLines w:val="0"/>
              <w:pageBreakBefore w:val="0"/>
              <w:widowControl w:val="0"/>
              <w:kinsoku/>
              <w:wordWrap w:val="0"/>
              <w:overflowPunct/>
              <w:topLinePunct w:val="0"/>
              <w:autoSpaceDE/>
              <w:autoSpaceDN/>
              <w:bidi w:val="0"/>
              <w:adjustRightInd/>
              <w:snapToGrid w:val="0"/>
              <w:spacing w:after="0" w:line="288"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说明:本项最高得5分。</w:t>
            </w:r>
          </w:p>
        </w:tc>
        <w:tc>
          <w:tcPr>
            <w:tcW w:w="4018" w:type="dxa"/>
            <w:tcBorders>
              <w:top w:val="single" w:color="000000" w:sz="4" w:space="0"/>
              <w:left w:val="single" w:color="000000" w:sz="4" w:space="0"/>
              <w:bottom w:val="single" w:color="auto" w:sz="4" w:space="0"/>
              <w:right w:val="single" w:color="000000" w:sz="4" w:space="0"/>
            </w:tcBorders>
            <w:noWrap w:val="0"/>
            <w:vAlign w:val="center"/>
          </w:tcPr>
          <w:p w14:paraId="61A14335">
            <w:pPr>
              <w:keepNext w:val="0"/>
              <w:keepLines w:val="0"/>
              <w:pageBreakBefore w:val="0"/>
              <w:widowControl w:val="0"/>
              <w:kinsoku/>
              <w:wordWrap w:val="0"/>
              <w:overflowPunct/>
              <w:topLinePunct w:val="0"/>
              <w:autoSpaceDE/>
              <w:autoSpaceDN/>
              <w:bidi w:val="0"/>
              <w:adjustRightInd/>
              <w:spacing w:line="288" w:lineRule="auto"/>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1.须提供企业纳税信用等级证明材料（或证书）彩色扫描件及国家税务总局（或省级电子税务局）网上查询截图彩色扫描件。</w:t>
            </w:r>
          </w:p>
          <w:p w14:paraId="033BFCC0">
            <w:pPr>
              <w:keepNext w:val="0"/>
              <w:keepLines w:val="0"/>
              <w:pageBreakBefore w:val="0"/>
              <w:widowControl w:val="0"/>
              <w:kinsoku/>
              <w:wordWrap w:val="0"/>
              <w:overflowPunct/>
              <w:topLinePunct w:val="0"/>
              <w:autoSpaceDE/>
              <w:autoSpaceDN/>
              <w:bidi w:val="0"/>
              <w:adjustRightInd/>
              <w:spacing w:line="288" w:lineRule="auto"/>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2.只计算投标人自身（不包含投标人的分公司和子公司），否则不得分。</w:t>
            </w:r>
          </w:p>
        </w:tc>
      </w:tr>
      <w:tr w14:paraId="4369DF93">
        <w:tblPrEx>
          <w:tblCellMar>
            <w:top w:w="0" w:type="dxa"/>
            <w:left w:w="108" w:type="dxa"/>
            <w:bottom w:w="0" w:type="dxa"/>
            <w:right w:w="108" w:type="dxa"/>
          </w:tblCellMar>
        </w:tblPrEx>
        <w:trPr>
          <w:trHeight w:val="790" w:hRule="atLeast"/>
          <w:jc w:val="center"/>
        </w:trPr>
        <w:tc>
          <w:tcPr>
            <w:tcW w:w="1370"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63B62EBE">
            <w:pPr>
              <w:pStyle w:val="155"/>
              <w:keepNext w:val="0"/>
              <w:keepLines w:val="0"/>
              <w:pageBreakBefore w:val="0"/>
              <w:widowControl w:val="0"/>
              <w:kinsoku/>
              <w:wordWrap w:val="0"/>
              <w:overflowPunct/>
              <w:topLinePunct w:val="0"/>
              <w:autoSpaceDE/>
              <w:autoSpaceDN/>
              <w:bidi w:val="0"/>
              <w:adjustRightInd/>
              <w:snapToGrid w:val="0"/>
              <w:spacing w:after="0" w:line="288"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企业管理体系认证</w:t>
            </w:r>
          </w:p>
          <w:p w14:paraId="05A82D42">
            <w:pPr>
              <w:pStyle w:val="155"/>
              <w:keepNext w:val="0"/>
              <w:keepLines w:val="0"/>
              <w:pageBreakBefore w:val="0"/>
              <w:widowControl w:val="0"/>
              <w:kinsoku/>
              <w:wordWrap w:val="0"/>
              <w:overflowPunct/>
              <w:topLinePunct w:val="0"/>
              <w:autoSpaceDE/>
              <w:autoSpaceDN/>
              <w:bidi w:val="0"/>
              <w:adjustRightInd/>
              <w:snapToGrid w:val="0"/>
              <w:spacing w:after="0" w:line="288" w:lineRule="auto"/>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（5分）</w:t>
            </w:r>
          </w:p>
        </w:tc>
        <w:tc>
          <w:tcPr>
            <w:tcW w:w="4176"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2E4B1A09">
            <w:pPr>
              <w:pStyle w:val="104"/>
              <w:keepNext w:val="0"/>
              <w:keepLines w:val="0"/>
              <w:pageBreakBefore w:val="0"/>
              <w:widowControl w:val="0"/>
              <w:kinsoku/>
              <w:wordWrap w:val="0"/>
              <w:overflowPunct/>
              <w:topLinePunct w:val="0"/>
              <w:autoSpaceDE/>
              <w:autoSpaceDN/>
              <w:bidi w:val="0"/>
              <w:adjustRightInd/>
              <w:snapToGrid w:val="0"/>
              <w:spacing w:line="288"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投标人获得企业质量管理体系、职业健康安全管理体系、环境管理体系认证证书、工程监理规范体系认证证书，并在有效期内；</w:t>
            </w:r>
          </w:p>
          <w:p w14:paraId="0C2C60A0">
            <w:pPr>
              <w:pStyle w:val="104"/>
              <w:keepNext w:val="0"/>
              <w:keepLines w:val="0"/>
              <w:pageBreakBefore w:val="0"/>
              <w:widowControl w:val="0"/>
              <w:kinsoku/>
              <w:wordWrap w:val="0"/>
              <w:overflowPunct/>
              <w:topLinePunct w:val="0"/>
              <w:autoSpaceDE/>
              <w:autoSpaceDN/>
              <w:bidi w:val="0"/>
              <w:adjustRightInd/>
              <w:snapToGrid w:val="0"/>
              <w:spacing w:line="288"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1.获得以上4项认证证书的，得5分；</w:t>
            </w:r>
          </w:p>
          <w:p w14:paraId="6FE0B921">
            <w:pPr>
              <w:pStyle w:val="104"/>
              <w:keepNext w:val="0"/>
              <w:keepLines w:val="0"/>
              <w:pageBreakBefore w:val="0"/>
              <w:widowControl w:val="0"/>
              <w:kinsoku/>
              <w:wordWrap w:val="0"/>
              <w:overflowPunct/>
              <w:topLinePunct w:val="0"/>
              <w:autoSpaceDE/>
              <w:autoSpaceDN/>
              <w:bidi w:val="0"/>
              <w:adjustRightInd/>
              <w:snapToGrid w:val="0"/>
              <w:spacing w:line="288"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2.获得其中3项认证证书的，得3分；</w:t>
            </w:r>
          </w:p>
          <w:p w14:paraId="728796AA">
            <w:pPr>
              <w:pStyle w:val="104"/>
              <w:keepNext w:val="0"/>
              <w:keepLines w:val="0"/>
              <w:pageBreakBefore w:val="0"/>
              <w:widowControl w:val="0"/>
              <w:kinsoku/>
              <w:wordWrap w:val="0"/>
              <w:overflowPunct/>
              <w:topLinePunct w:val="0"/>
              <w:autoSpaceDE/>
              <w:autoSpaceDN/>
              <w:bidi w:val="0"/>
              <w:adjustRightInd/>
              <w:snapToGrid w:val="0"/>
              <w:spacing w:line="288"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3.获得其中1-2项认证证书的，得1分；</w:t>
            </w:r>
          </w:p>
          <w:p w14:paraId="199749C7">
            <w:pPr>
              <w:pStyle w:val="104"/>
              <w:keepNext w:val="0"/>
              <w:keepLines w:val="0"/>
              <w:pageBreakBefore w:val="0"/>
              <w:widowControl w:val="0"/>
              <w:kinsoku/>
              <w:wordWrap w:val="0"/>
              <w:overflowPunct/>
              <w:topLinePunct w:val="0"/>
              <w:autoSpaceDE/>
              <w:autoSpaceDN/>
              <w:bidi w:val="0"/>
              <w:adjustRightInd/>
              <w:snapToGrid w:val="0"/>
              <w:spacing w:line="288"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4.以上证书均未获得的，不予计分；</w:t>
            </w:r>
          </w:p>
          <w:p w14:paraId="54AEA0B9">
            <w:pPr>
              <w:pStyle w:val="104"/>
              <w:keepNext w:val="0"/>
              <w:keepLines w:val="0"/>
              <w:pageBreakBefore w:val="0"/>
              <w:widowControl w:val="0"/>
              <w:kinsoku/>
              <w:wordWrap w:val="0"/>
              <w:overflowPunct/>
              <w:topLinePunct w:val="0"/>
              <w:autoSpaceDE/>
              <w:autoSpaceDN/>
              <w:bidi w:val="0"/>
              <w:adjustRightInd/>
              <w:snapToGrid w:val="0"/>
              <w:spacing w:line="288" w:lineRule="auto"/>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说明:本项最高得5分。</w:t>
            </w:r>
          </w:p>
        </w:tc>
        <w:tc>
          <w:tcPr>
            <w:tcW w:w="4018"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7F73FDC2">
            <w:pPr>
              <w:pStyle w:val="155"/>
              <w:keepNext w:val="0"/>
              <w:keepLines w:val="0"/>
              <w:pageBreakBefore w:val="0"/>
              <w:widowControl w:val="0"/>
              <w:kinsoku/>
              <w:wordWrap w:val="0"/>
              <w:overflowPunct/>
              <w:topLinePunct w:val="0"/>
              <w:autoSpaceDE/>
              <w:autoSpaceDN/>
              <w:bidi w:val="0"/>
              <w:adjustRightInd/>
              <w:snapToGrid w:val="0"/>
              <w:spacing w:after="0" w:line="288" w:lineRule="auto"/>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1.须附在有效期内的认证证书彩色扫描件，同时提供</w:t>
            </w:r>
            <w:r>
              <w:rPr>
                <w:rFonts w:hint="eastAsia" w:ascii="宋体" w:hAnsi="宋体" w:eastAsia="宋体" w:cs="宋体"/>
                <w:color w:val="auto"/>
                <w:kern w:val="0"/>
                <w:sz w:val="24"/>
                <w:szCs w:val="24"/>
                <w:highlight w:val="none"/>
                <w:lang w:val="en-US" w:eastAsia="zh-CN"/>
              </w:rPr>
              <w:t>全国认证认可信息公共服务平台</w:t>
            </w:r>
            <w:r>
              <w:rPr>
                <w:rFonts w:hint="eastAsia" w:ascii="宋体" w:hAnsi="宋体" w:eastAsia="宋体" w:cs="宋体"/>
                <w:color w:val="auto"/>
                <w:kern w:val="0"/>
                <w:sz w:val="24"/>
                <w:szCs w:val="24"/>
                <w:highlight w:val="none"/>
              </w:rPr>
              <w:t>(http://cx.cnca.cn/）网页查询结果截图，否则不得分。</w:t>
            </w:r>
          </w:p>
        </w:tc>
      </w:tr>
      <w:tr w14:paraId="52FC9AED">
        <w:tblPrEx>
          <w:tblCellMar>
            <w:top w:w="0" w:type="dxa"/>
            <w:left w:w="108" w:type="dxa"/>
            <w:bottom w:w="0" w:type="dxa"/>
            <w:right w:w="108" w:type="dxa"/>
          </w:tblCellMar>
        </w:tblPrEx>
        <w:trPr>
          <w:trHeight w:val="4402" w:hRule="atLeast"/>
          <w:jc w:val="center"/>
        </w:trPr>
        <w:tc>
          <w:tcPr>
            <w:tcW w:w="1370"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7D97C7E3">
            <w:pPr>
              <w:pStyle w:val="10"/>
              <w:keepNext w:val="0"/>
              <w:keepLines w:val="0"/>
              <w:pageBreakBefore w:val="0"/>
              <w:widowControl w:val="0"/>
              <w:kinsoku/>
              <w:wordWrap w:val="0"/>
              <w:overflowPunct/>
              <w:topLinePunct w:val="0"/>
              <w:autoSpaceDE/>
              <w:autoSpaceDN/>
              <w:bidi w:val="0"/>
              <w:adjustRightInd w:val="0"/>
              <w:snapToGrid w:val="0"/>
              <w:spacing w:after="0" w:afterLines="0" w:line="288" w:lineRule="auto"/>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企业荣誉</w:t>
            </w:r>
          </w:p>
          <w:p w14:paraId="599C477E">
            <w:pPr>
              <w:pStyle w:val="155"/>
              <w:keepNext w:val="0"/>
              <w:keepLines w:val="0"/>
              <w:pageBreakBefore w:val="0"/>
              <w:widowControl w:val="0"/>
              <w:kinsoku/>
              <w:wordWrap w:val="0"/>
              <w:overflowPunct/>
              <w:topLinePunct w:val="0"/>
              <w:autoSpaceDE/>
              <w:autoSpaceDN/>
              <w:bidi w:val="0"/>
              <w:snapToGrid w:val="0"/>
              <w:spacing w:after="0" w:line="288"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SA"/>
              </w:rPr>
              <w:t>（10分）</w:t>
            </w:r>
          </w:p>
        </w:tc>
        <w:tc>
          <w:tcPr>
            <w:tcW w:w="4176"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570CF396">
            <w:pPr>
              <w:pStyle w:val="104"/>
              <w:keepNext w:val="0"/>
              <w:keepLines w:val="0"/>
              <w:pageBreakBefore w:val="0"/>
              <w:widowControl w:val="0"/>
              <w:kinsoku/>
              <w:wordWrap w:val="0"/>
              <w:overflowPunct/>
              <w:topLinePunct w:val="0"/>
              <w:autoSpaceDE/>
              <w:autoSpaceDN/>
              <w:bidi w:val="0"/>
              <w:adjustRightInd/>
              <w:snapToGrid w:val="0"/>
              <w:spacing w:line="288"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1.2021年1月1日至今，投标人获得过省级或以上市政行业协会颁发的市政行业协会先进单位证书。</w:t>
            </w:r>
          </w:p>
          <w:p w14:paraId="25C85229">
            <w:pPr>
              <w:pStyle w:val="104"/>
              <w:keepNext w:val="0"/>
              <w:keepLines w:val="0"/>
              <w:pageBreakBefore w:val="0"/>
              <w:widowControl w:val="0"/>
              <w:kinsoku/>
              <w:wordWrap w:val="0"/>
              <w:overflowPunct/>
              <w:topLinePunct w:val="0"/>
              <w:autoSpaceDE/>
              <w:autoSpaceDN/>
              <w:bidi w:val="0"/>
              <w:adjustRightInd/>
              <w:snapToGrid w:val="0"/>
              <w:spacing w:line="288"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①连续3年或以上获得过的得5分。</w:t>
            </w:r>
          </w:p>
          <w:p w14:paraId="1061B31C">
            <w:pPr>
              <w:pStyle w:val="104"/>
              <w:keepNext w:val="0"/>
              <w:keepLines w:val="0"/>
              <w:pageBreakBefore w:val="0"/>
              <w:widowControl w:val="0"/>
              <w:kinsoku/>
              <w:wordWrap w:val="0"/>
              <w:overflowPunct/>
              <w:topLinePunct w:val="0"/>
              <w:autoSpaceDE/>
              <w:autoSpaceDN/>
              <w:bidi w:val="0"/>
              <w:adjustRightInd/>
              <w:snapToGrid w:val="0"/>
              <w:spacing w:line="288"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②获得过的得3分。</w:t>
            </w:r>
          </w:p>
          <w:p w14:paraId="1077FA0C">
            <w:pPr>
              <w:pStyle w:val="104"/>
              <w:keepNext w:val="0"/>
              <w:keepLines w:val="0"/>
              <w:pageBreakBefore w:val="0"/>
              <w:widowControl w:val="0"/>
              <w:kinsoku/>
              <w:wordWrap w:val="0"/>
              <w:overflowPunct/>
              <w:topLinePunct w:val="0"/>
              <w:autoSpaceDE/>
              <w:autoSpaceDN/>
              <w:bidi w:val="0"/>
              <w:adjustRightInd/>
              <w:snapToGrid w:val="0"/>
              <w:spacing w:line="288"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③未获得的，不予计分。</w:t>
            </w:r>
          </w:p>
          <w:p w14:paraId="1F4337A5">
            <w:pPr>
              <w:pStyle w:val="104"/>
              <w:keepNext w:val="0"/>
              <w:keepLines w:val="0"/>
              <w:pageBreakBefore w:val="0"/>
              <w:widowControl w:val="0"/>
              <w:kinsoku/>
              <w:wordWrap w:val="0"/>
              <w:overflowPunct/>
              <w:topLinePunct w:val="0"/>
              <w:autoSpaceDE/>
              <w:autoSpaceDN/>
              <w:bidi w:val="0"/>
              <w:adjustRightInd/>
              <w:snapToGrid w:val="0"/>
              <w:spacing w:line="288"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注:本小项最高得5分；</w:t>
            </w:r>
          </w:p>
          <w:p w14:paraId="29C62BAF">
            <w:pPr>
              <w:pStyle w:val="104"/>
              <w:keepNext w:val="0"/>
              <w:keepLines w:val="0"/>
              <w:pageBreakBefore w:val="0"/>
              <w:widowControl w:val="0"/>
              <w:kinsoku/>
              <w:wordWrap w:val="0"/>
              <w:overflowPunct/>
              <w:topLinePunct w:val="0"/>
              <w:autoSpaceDE/>
              <w:autoSpaceDN/>
              <w:bidi w:val="0"/>
              <w:adjustRightInd/>
              <w:snapToGrid w:val="0"/>
              <w:spacing w:line="288"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2.2021年1月1日至今，投标人获得过“建筑业优秀典型监理企业”证书的得5分。</w:t>
            </w:r>
          </w:p>
          <w:p w14:paraId="4EFBA376">
            <w:pPr>
              <w:pStyle w:val="104"/>
              <w:keepNext w:val="0"/>
              <w:keepLines w:val="0"/>
              <w:pageBreakBefore w:val="0"/>
              <w:widowControl w:val="0"/>
              <w:kinsoku/>
              <w:wordWrap w:val="0"/>
              <w:overflowPunct/>
              <w:topLinePunct w:val="0"/>
              <w:autoSpaceDE/>
              <w:autoSpaceDN/>
              <w:bidi w:val="0"/>
              <w:adjustRightInd/>
              <w:snapToGrid w:val="0"/>
              <w:spacing w:line="288"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注:本小项最高得5分；</w:t>
            </w:r>
          </w:p>
          <w:p w14:paraId="6032A2C3">
            <w:pPr>
              <w:pStyle w:val="104"/>
              <w:keepNext w:val="0"/>
              <w:keepLines w:val="0"/>
              <w:pageBreakBefore w:val="0"/>
              <w:widowControl w:val="0"/>
              <w:kinsoku/>
              <w:wordWrap w:val="0"/>
              <w:overflowPunct/>
              <w:topLinePunct w:val="0"/>
              <w:autoSpaceDE/>
              <w:autoSpaceDN/>
              <w:bidi w:val="0"/>
              <w:adjustRightInd/>
              <w:snapToGrid w:val="0"/>
              <w:spacing w:line="288"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说明:本项最高得10分。</w:t>
            </w:r>
          </w:p>
        </w:tc>
        <w:tc>
          <w:tcPr>
            <w:tcW w:w="4018"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3E9CA3EE">
            <w:pPr>
              <w:keepNext w:val="0"/>
              <w:keepLines w:val="0"/>
              <w:pageBreakBefore w:val="0"/>
              <w:widowControl w:val="0"/>
              <w:kinsoku/>
              <w:wordWrap w:val="0"/>
              <w:overflowPunct/>
              <w:topLinePunct w:val="0"/>
              <w:autoSpaceDE/>
              <w:autoSpaceDN/>
              <w:bidi w:val="0"/>
              <w:spacing w:line="288" w:lineRule="auto"/>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颁发机构限定以下范围：地级市及以上的人民政府、住建部门、行业协会；如颁发机构为行业协会的，需提供中国社会组织政务服务平台（全国社会组织社会信息公示平台）（https://xxgs.chinanpo.mca.gov.cn/gsxt/newList）网站查询备案登记截图。</w:t>
            </w:r>
          </w:p>
          <w:p w14:paraId="572E14D8">
            <w:pPr>
              <w:keepNext w:val="0"/>
              <w:keepLines w:val="0"/>
              <w:pageBreakBefore w:val="0"/>
              <w:widowControl w:val="0"/>
              <w:kinsoku/>
              <w:wordWrap w:val="0"/>
              <w:overflowPunct/>
              <w:topLinePunct w:val="0"/>
              <w:autoSpaceDE/>
              <w:autoSpaceDN/>
              <w:bidi w:val="0"/>
              <w:spacing w:line="288" w:lineRule="auto"/>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2.需提供相关证书彩色扫描件，以证书发证时间为准，否则不得分。</w:t>
            </w:r>
          </w:p>
        </w:tc>
      </w:tr>
      <w:tr w14:paraId="438A21A8">
        <w:tblPrEx>
          <w:tblCellMar>
            <w:top w:w="0" w:type="dxa"/>
            <w:left w:w="108" w:type="dxa"/>
            <w:bottom w:w="0" w:type="dxa"/>
            <w:right w:w="108" w:type="dxa"/>
          </w:tblCellMar>
        </w:tblPrEx>
        <w:trPr>
          <w:trHeight w:val="1153" w:hRule="atLeast"/>
          <w:jc w:val="center"/>
        </w:trPr>
        <w:tc>
          <w:tcPr>
            <w:tcW w:w="1370"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4520304E">
            <w:pPr>
              <w:pStyle w:val="155"/>
              <w:keepNext w:val="0"/>
              <w:keepLines w:val="0"/>
              <w:pageBreakBefore w:val="0"/>
              <w:widowControl w:val="0"/>
              <w:kinsoku/>
              <w:wordWrap w:val="0"/>
              <w:overflowPunct/>
              <w:topLinePunct w:val="0"/>
              <w:autoSpaceDE/>
              <w:autoSpaceDN/>
              <w:bidi w:val="0"/>
              <w:snapToGrid w:val="0"/>
              <w:spacing w:after="0" w:line="288" w:lineRule="auto"/>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项目总监综合素质</w:t>
            </w:r>
          </w:p>
          <w:p w14:paraId="402EB699">
            <w:pPr>
              <w:pStyle w:val="155"/>
              <w:keepNext w:val="0"/>
              <w:keepLines w:val="0"/>
              <w:pageBreakBefore w:val="0"/>
              <w:widowControl w:val="0"/>
              <w:kinsoku/>
              <w:wordWrap w:val="0"/>
              <w:overflowPunct/>
              <w:topLinePunct w:val="0"/>
              <w:autoSpaceDE/>
              <w:autoSpaceDN/>
              <w:bidi w:val="0"/>
              <w:snapToGrid w:val="0"/>
              <w:spacing w:after="0" w:line="288" w:lineRule="auto"/>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（2分）</w:t>
            </w:r>
          </w:p>
        </w:tc>
        <w:tc>
          <w:tcPr>
            <w:tcW w:w="4176"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5D3E631B">
            <w:pPr>
              <w:pStyle w:val="104"/>
              <w:keepNext w:val="0"/>
              <w:keepLines w:val="0"/>
              <w:pageBreakBefore w:val="0"/>
              <w:widowControl w:val="0"/>
              <w:kinsoku/>
              <w:wordWrap w:val="0"/>
              <w:overflowPunct/>
              <w:topLinePunct w:val="0"/>
              <w:autoSpaceDE/>
              <w:autoSpaceDN/>
              <w:bidi w:val="0"/>
              <w:adjustRightInd/>
              <w:snapToGrid w:val="0"/>
              <w:spacing w:line="288"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拟委派的总监理工程师具有工程师或以上职称的得2分；</w:t>
            </w:r>
          </w:p>
          <w:p w14:paraId="623C6B34">
            <w:pPr>
              <w:pStyle w:val="104"/>
              <w:keepNext w:val="0"/>
              <w:keepLines w:val="0"/>
              <w:pageBreakBefore w:val="0"/>
              <w:widowControl w:val="0"/>
              <w:kinsoku/>
              <w:wordWrap w:val="0"/>
              <w:overflowPunct/>
              <w:topLinePunct w:val="0"/>
              <w:autoSpaceDE/>
              <w:autoSpaceDN/>
              <w:bidi w:val="0"/>
              <w:adjustRightInd/>
              <w:snapToGrid w:val="0"/>
              <w:spacing w:line="288"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说明:本项最高得2分。</w:t>
            </w:r>
          </w:p>
        </w:tc>
        <w:tc>
          <w:tcPr>
            <w:tcW w:w="4018"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2D1654FF">
            <w:pPr>
              <w:keepNext w:val="0"/>
              <w:keepLines w:val="0"/>
              <w:pageBreakBefore w:val="0"/>
              <w:widowControl w:val="0"/>
              <w:kinsoku/>
              <w:wordWrap w:val="0"/>
              <w:overflowPunct/>
              <w:topLinePunct w:val="0"/>
              <w:autoSpaceDE/>
              <w:autoSpaceDN/>
              <w:bidi w:val="0"/>
              <w:spacing w:line="288" w:lineRule="auto"/>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须附提供职称证书彩色扫描件，否则不得分。</w:t>
            </w:r>
          </w:p>
        </w:tc>
      </w:tr>
      <w:tr w14:paraId="775D8F59">
        <w:tblPrEx>
          <w:tblCellMar>
            <w:top w:w="0" w:type="dxa"/>
            <w:left w:w="108" w:type="dxa"/>
            <w:bottom w:w="0" w:type="dxa"/>
            <w:right w:w="108" w:type="dxa"/>
          </w:tblCellMar>
        </w:tblPrEx>
        <w:trPr>
          <w:trHeight w:val="3636" w:hRule="atLeast"/>
          <w:jc w:val="center"/>
        </w:trPr>
        <w:tc>
          <w:tcPr>
            <w:tcW w:w="1370" w:type="dxa"/>
            <w:tcBorders>
              <w:top w:val="single" w:color="auto" w:sz="4" w:space="0"/>
              <w:left w:val="single" w:color="auto" w:sz="4" w:space="0"/>
              <w:bottom w:val="single" w:color="auto" w:sz="4" w:space="0"/>
              <w:right w:val="single" w:color="auto" w:sz="4" w:space="0"/>
            </w:tcBorders>
            <w:noWrap w:val="0"/>
            <w:vAlign w:val="center"/>
          </w:tcPr>
          <w:p w14:paraId="4831E8ED">
            <w:pPr>
              <w:keepNext w:val="0"/>
              <w:keepLines w:val="0"/>
              <w:pageBreakBefore w:val="0"/>
              <w:widowControl w:val="0"/>
              <w:kinsoku/>
              <w:wordWrap w:val="0"/>
              <w:overflowPunct/>
              <w:topLinePunct w:val="0"/>
              <w:autoSpaceDE/>
              <w:autoSpaceDN/>
              <w:bidi w:val="0"/>
              <w:spacing w:line="288" w:lineRule="auto"/>
              <w:ind w:left="24" w:leftChars="10" w:right="24" w:rightChars="10"/>
              <w:jc w:val="center"/>
              <w:textAlignment w:val="auto"/>
              <w:rPr>
                <w:rFonts w:hint="eastAsia" w:ascii="宋体" w:hAnsi="宋体" w:eastAsia="宋体" w:cs="宋体"/>
                <w:color w:val="auto"/>
                <w:sz w:val="24"/>
                <w:szCs w:val="24"/>
                <w:highlight w:val="none"/>
                <w:lang w:val="zh-TW"/>
              </w:rPr>
            </w:pPr>
            <w:r>
              <w:rPr>
                <w:rFonts w:hint="eastAsia" w:ascii="宋体" w:hAnsi="宋体" w:eastAsia="宋体" w:cs="宋体"/>
                <w:color w:val="auto"/>
                <w:sz w:val="24"/>
                <w:szCs w:val="24"/>
                <w:highlight w:val="none"/>
                <w:lang w:val="zh-TW"/>
              </w:rPr>
              <w:t>项目监理机构其他人员配备</w:t>
            </w:r>
          </w:p>
          <w:p w14:paraId="7379769E">
            <w:pPr>
              <w:keepNext w:val="0"/>
              <w:keepLines w:val="0"/>
              <w:pageBreakBefore w:val="0"/>
              <w:widowControl w:val="0"/>
              <w:kinsoku/>
              <w:wordWrap w:val="0"/>
              <w:overflowPunct/>
              <w:topLinePunct w:val="0"/>
              <w:autoSpaceDE/>
              <w:autoSpaceDN/>
              <w:bidi w:val="0"/>
              <w:spacing w:line="288" w:lineRule="auto"/>
              <w:ind w:left="24" w:leftChars="10" w:right="24" w:rightChars="1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TW"/>
              </w:rPr>
              <w:t>（8分）</w:t>
            </w:r>
          </w:p>
        </w:tc>
        <w:tc>
          <w:tcPr>
            <w:tcW w:w="4176" w:type="dxa"/>
            <w:tcBorders>
              <w:top w:val="single" w:color="auto" w:sz="4" w:space="0"/>
              <w:left w:val="single" w:color="auto" w:sz="4" w:space="0"/>
              <w:bottom w:val="single" w:color="auto" w:sz="4" w:space="0"/>
              <w:right w:val="single" w:color="auto" w:sz="4" w:space="0"/>
            </w:tcBorders>
            <w:noWrap w:val="0"/>
            <w:vAlign w:val="center"/>
          </w:tcPr>
          <w:p w14:paraId="52B67920">
            <w:pPr>
              <w:keepNext w:val="0"/>
              <w:keepLines w:val="0"/>
              <w:pageBreakBefore w:val="0"/>
              <w:widowControl w:val="0"/>
              <w:kinsoku/>
              <w:wordWrap w:val="0"/>
              <w:overflowPunct/>
              <w:topLinePunct w:val="0"/>
              <w:autoSpaceDE/>
              <w:autoSpaceDN/>
              <w:bidi w:val="0"/>
              <w:adjustRightInd/>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1、拟委派本项目的监理人员，数量和专业完全满足表2《项目监理机构其他人员需求表》要求的得</w:t>
            </w:r>
            <w:r>
              <w:rPr>
                <w:rFonts w:hint="eastAsia" w:hAnsi="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p w14:paraId="4990CFED">
            <w:pPr>
              <w:keepNext w:val="0"/>
              <w:keepLines w:val="0"/>
              <w:pageBreakBefore w:val="0"/>
              <w:widowControl w:val="0"/>
              <w:kinsoku/>
              <w:wordWrap w:val="0"/>
              <w:overflowPunct/>
              <w:topLinePunct w:val="0"/>
              <w:autoSpaceDE/>
              <w:autoSpaceDN/>
              <w:bidi w:val="0"/>
              <w:adjustRightInd/>
              <w:snapToGrid/>
              <w:spacing w:line="288" w:lineRule="auto"/>
              <w:textAlignment w:val="auto"/>
              <w:rPr>
                <w:rFonts w:hint="default"/>
                <w:color w:val="auto"/>
                <w:highlight w:val="none"/>
                <w:lang w:val="en-US" w:eastAsia="zh-CN"/>
              </w:rPr>
            </w:pPr>
            <w:r>
              <w:rPr>
                <w:rFonts w:hint="eastAsia" w:ascii="宋体" w:hAnsi="宋体" w:eastAsia="宋体" w:cs="宋体"/>
                <w:color w:val="auto"/>
                <w:sz w:val="24"/>
                <w:szCs w:val="24"/>
                <w:highlight w:val="none"/>
              </w:rPr>
              <w:t>2、拟委派本项目的监理人员(总监理工程师除外)中</w:t>
            </w:r>
            <w:r>
              <w:rPr>
                <w:rFonts w:hint="eastAsia" w:ascii="宋体" w:hAnsi="宋体" w:eastAsia="宋体" w:cs="宋体"/>
                <w:color w:val="auto"/>
                <w:sz w:val="24"/>
                <w:szCs w:val="24"/>
                <w:highlight w:val="none"/>
                <w:shd w:val="clear"/>
              </w:rPr>
              <w:t>：</w:t>
            </w:r>
            <w:r>
              <w:rPr>
                <w:rFonts w:hint="eastAsia" w:hAnsi="宋体" w:cs="宋体"/>
                <w:color w:val="auto"/>
                <w:sz w:val="24"/>
                <w:szCs w:val="24"/>
                <w:highlight w:val="none"/>
                <w:shd w:val="clear" w:fill="FFFFFF" w:themeFill="background1"/>
                <w:lang w:val="en-US" w:eastAsia="zh-CN"/>
              </w:rPr>
              <w:t>具备具有工程师或以上职称的每人得2分，本小项最高得4分。</w:t>
            </w:r>
          </w:p>
          <w:p w14:paraId="49274761">
            <w:pPr>
              <w:keepNext w:val="0"/>
              <w:keepLines w:val="0"/>
              <w:pageBreakBefore w:val="0"/>
              <w:widowControl w:val="0"/>
              <w:kinsoku/>
              <w:wordWrap w:val="0"/>
              <w:overflowPunct/>
              <w:topLinePunct w:val="0"/>
              <w:autoSpaceDE/>
              <w:autoSpaceDN/>
              <w:bidi w:val="0"/>
              <w:adjustRightInd/>
              <w:snapToGrid/>
              <w:spacing w:line="288"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说明:本项最高得8分。</w:t>
            </w:r>
          </w:p>
        </w:tc>
        <w:tc>
          <w:tcPr>
            <w:tcW w:w="4018" w:type="dxa"/>
            <w:tcBorders>
              <w:top w:val="single" w:color="auto" w:sz="4" w:space="0"/>
              <w:left w:val="single" w:color="auto" w:sz="4" w:space="0"/>
              <w:bottom w:val="single" w:color="auto" w:sz="4" w:space="0"/>
              <w:right w:val="single" w:color="auto" w:sz="4" w:space="0"/>
            </w:tcBorders>
            <w:noWrap w:val="0"/>
            <w:vAlign w:val="center"/>
          </w:tcPr>
          <w:p w14:paraId="408C23DE">
            <w:pPr>
              <w:pStyle w:val="155"/>
              <w:keepNext w:val="0"/>
              <w:keepLines w:val="0"/>
              <w:pageBreakBefore w:val="0"/>
              <w:widowControl w:val="0"/>
              <w:numPr>
                <w:ilvl w:val="0"/>
                <w:numId w:val="0"/>
              </w:numPr>
              <w:kinsoku/>
              <w:wordWrap w:val="0"/>
              <w:overflowPunct/>
              <w:topLinePunct w:val="0"/>
              <w:autoSpaceDE/>
              <w:autoSpaceDN/>
              <w:bidi w:val="0"/>
              <w:snapToGrid w:val="0"/>
              <w:spacing w:after="0" w:line="288" w:lineRule="auto"/>
              <w:textAlignment w:val="auto"/>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1.满足表2《项目监理机构其他人员需求表》要求的本评分项可得分；不满足要求的本评分项不得分。</w:t>
            </w:r>
          </w:p>
          <w:p w14:paraId="28C15AFB">
            <w:pPr>
              <w:pStyle w:val="155"/>
              <w:keepNext w:val="0"/>
              <w:keepLines w:val="0"/>
              <w:pageBreakBefore w:val="0"/>
              <w:widowControl w:val="0"/>
              <w:numPr>
                <w:ilvl w:val="0"/>
                <w:numId w:val="0"/>
              </w:numPr>
              <w:kinsoku/>
              <w:wordWrap w:val="0"/>
              <w:overflowPunct/>
              <w:topLinePunct w:val="0"/>
              <w:autoSpaceDE/>
              <w:autoSpaceDN/>
              <w:bidi w:val="0"/>
              <w:snapToGrid w:val="0"/>
              <w:spacing w:after="0" w:line="288" w:lineRule="auto"/>
              <w:textAlignment w:val="auto"/>
              <w:rPr>
                <w:rFonts w:hint="eastAsia" w:ascii="宋体" w:hAnsi="宋体" w:eastAsia="宋体" w:cs="宋体"/>
                <w:color w:val="auto"/>
                <w:kern w:val="0"/>
                <w:sz w:val="24"/>
                <w:szCs w:val="24"/>
                <w:highlight w:val="none"/>
              </w:rPr>
            </w:pPr>
            <w:r>
              <w:rPr>
                <w:rFonts w:hint="eastAsia" w:hAnsi="宋体" w:cs="宋体"/>
                <w:color w:val="auto"/>
                <w:sz w:val="24"/>
                <w:szCs w:val="24"/>
                <w:highlight w:val="none"/>
                <w:lang w:val="en-US" w:eastAsia="zh-CN"/>
              </w:rPr>
              <w:t>2.须提供相应证件、证书彩色扫描件，否则不得分。</w:t>
            </w:r>
          </w:p>
        </w:tc>
      </w:tr>
      <w:tr w14:paraId="2B5155DC">
        <w:tblPrEx>
          <w:tblCellMar>
            <w:top w:w="0" w:type="dxa"/>
            <w:left w:w="108" w:type="dxa"/>
            <w:bottom w:w="0" w:type="dxa"/>
            <w:right w:w="108" w:type="dxa"/>
          </w:tblCellMar>
        </w:tblPrEx>
        <w:trPr>
          <w:trHeight w:val="546" w:hRule="exact"/>
          <w:jc w:val="center"/>
        </w:trPr>
        <w:tc>
          <w:tcPr>
            <w:tcW w:w="9564" w:type="dxa"/>
            <w:gridSpan w:val="3"/>
            <w:tcBorders>
              <w:top w:val="single" w:color="000000" w:sz="4" w:space="0"/>
              <w:left w:val="single" w:color="000000" w:sz="4" w:space="0"/>
              <w:bottom w:val="single" w:color="000000" w:sz="4" w:space="0"/>
              <w:right w:val="single" w:color="000000" w:sz="4" w:space="0"/>
            </w:tcBorders>
            <w:shd w:val="clear" w:color="auto" w:fill="D9D9D9"/>
            <w:noWrap w:val="0"/>
            <w:vAlign w:val="center"/>
          </w:tcPr>
          <w:p w14:paraId="0C2E6A1E">
            <w:pPr>
              <w:pStyle w:val="155"/>
              <w:keepNext w:val="0"/>
              <w:keepLines w:val="0"/>
              <w:pageBreakBefore w:val="0"/>
              <w:widowControl w:val="0"/>
              <w:kinsoku/>
              <w:wordWrap w:val="0"/>
              <w:overflowPunct/>
              <w:topLinePunct w:val="0"/>
              <w:autoSpaceDE/>
              <w:autoSpaceDN/>
              <w:bidi w:val="0"/>
              <w:snapToGrid w:val="0"/>
              <w:spacing w:after="0" w:line="5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技术部分（监理大纲），满分：</w:t>
            </w:r>
            <w:r>
              <w:rPr>
                <w:rFonts w:hint="eastAsia" w:hAnsi="宋体" w:cs="宋体"/>
                <w:b/>
                <w:bCs/>
                <w:color w:val="auto"/>
                <w:kern w:val="0"/>
                <w:sz w:val="24"/>
                <w:szCs w:val="24"/>
                <w:highlight w:val="none"/>
                <w:u w:val="single"/>
                <w:lang w:val="en-US" w:eastAsia="zh-CN"/>
              </w:rPr>
              <w:t>20</w:t>
            </w:r>
            <w:r>
              <w:rPr>
                <w:rFonts w:hint="eastAsia" w:ascii="宋体" w:hAnsi="宋体" w:eastAsia="宋体" w:cs="宋体"/>
                <w:b/>
                <w:bCs/>
                <w:color w:val="auto"/>
                <w:kern w:val="0"/>
                <w:sz w:val="24"/>
                <w:szCs w:val="24"/>
                <w:highlight w:val="none"/>
              </w:rPr>
              <w:t>分。</w:t>
            </w:r>
          </w:p>
        </w:tc>
      </w:tr>
      <w:tr w14:paraId="0AB7433C">
        <w:tblPrEx>
          <w:tblCellMar>
            <w:top w:w="0" w:type="dxa"/>
            <w:left w:w="108" w:type="dxa"/>
            <w:bottom w:w="0" w:type="dxa"/>
            <w:right w:w="108" w:type="dxa"/>
          </w:tblCellMar>
        </w:tblPrEx>
        <w:trPr>
          <w:trHeight w:val="554" w:hRule="exact"/>
          <w:jc w:val="center"/>
        </w:trPr>
        <w:tc>
          <w:tcPr>
            <w:tcW w:w="1370" w:type="dxa"/>
            <w:tcBorders>
              <w:top w:val="single" w:color="000000" w:sz="4" w:space="0"/>
              <w:left w:val="single" w:color="000000" w:sz="4" w:space="0"/>
              <w:bottom w:val="single" w:color="auto" w:sz="4" w:space="0"/>
              <w:right w:val="single" w:color="000000" w:sz="4" w:space="0"/>
            </w:tcBorders>
            <w:noWrap w:val="0"/>
            <w:vAlign w:val="center"/>
          </w:tcPr>
          <w:p w14:paraId="761521A8">
            <w:pPr>
              <w:pStyle w:val="155"/>
              <w:keepNext w:val="0"/>
              <w:keepLines w:val="0"/>
              <w:pageBreakBefore w:val="0"/>
              <w:widowControl w:val="0"/>
              <w:kinsoku/>
              <w:wordWrap w:val="0"/>
              <w:overflowPunct/>
              <w:topLinePunct w:val="0"/>
              <w:autoSpaceDE/>
              <w:autoSpaceDN/>
              <w:bidi w:val="0"/>
              <w:snapToGrid w:val="0"/>
              <w:spacing w:after="0" w:line="50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评分因素</w:t>
            </w:r>
          </w:p>
        </w:tc>
        <w:tc>
          <w:tcPr>
            <w:tcW w:w="4176" w:type="dxa"/>
            <w:tcBorders>
              <w:top w:val="single" w:color="000000" w:sz="4" w:space="0"/>
              <w:left w:val="single" w:color="000000" w:sz="4" w:space="0"/>
              <w:bottom w:val="single" w:color="auto" w:sz="4" w:space="0"/>
              <w:right w:val="single" w:color="000000" w:sz="4" w:space="0"/>
            </w:tcBorders>
            <w:noWrap w:val="0"/>
            <w:vAlign w:val="center"/>
          </w:tcPr>
          <w:p w14:paraId="73D8067F">
            <w:pPr>
              <w:pStyle w:val="155"/>
              <w:keepNext w:val="0"/>
              <w:keepLines w:val="0"/>
              <w:pageBreakBefore w:val="0"/>
              <w:widowControl w:val="0"/>
              <w:kinsoku/>
              <w:wordWrap w:val="0"/>
              <w:overflowPunct/>
              <w:topLinePunct w:val="0"/>
              <w:autoSpaceDE/>
              <w:autoSpaceDN/>
              <w:bidi w:val="0"/>
              <w:snapToGrid w:val="0"/>
              <w:spacing w:after="0" w:line="50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评分标准</w:t>
            </w:r>
          </w:p>
        </w:tc>
        <w:tc>
          <w:tcPr>
            <w:tcW w:w="4018" w:type="dxa"/>
            <w:tcBorders>
              <w:top w:val="single" w:color="000000" w:sz="4" w:space="0"/>
              <w:left w:val="single" w:color="000000" w:sz="4" w:space="0"/>
              <w:bottom w:val="single" w:color="auto" w:sz="4" w:space="0"/>
              <w:right w:val="single" w:color="000000" w:sz="4" w:space="0"/>
            </w:tcBorders>
            <w:noWrap w:val="0"/>
            <w:vAlign w:val="center"/>
          </w:tcPr>
          <w:p w14:paraId="1A357280">
            <w:pPr>
              <w:pStyle w:val="155"/>
              <w:keepNext w:val="0"/>
              <w:keepLines w:val="0"/>
              <w:pageBreakBefore w:val="0"/>
              <w:widowControl w:val="0"/>
              <w:kinsoku/>
              <w:wordWrap w:val="0"/>
              <w:overflowPunct/>
              <w:topLinePunct w:val="0"/>
              <w:autoSpaceDE/>
              <w:autoSpaceDN/>
              <w:bidi w:val="0"/>
              <w:snapToGrid w:val="0"/>
              <w:spacing w:after="0" w:line="50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5BACB44E">
        <w:tblPrEx>
          <w:tblCellMar>
            <w:top w:w="0" w:type="dxa"/>
            <w:left w:w="108" w:type="dxa"/>
            <w:bottom w:w="0" w:type="dxa"/>
            <w:right w:w="108" w:type="dxa"/>
          </w:tblCellMar>
        </w:tblPrEx>
        <w:trPr>
          <w:trHeight w:val="321" w:hRule="atLeast"/>
          <w:jc w:val="center"/>
        </w:trPr>
        <w:tc>
          <w:tcPr>
            <w:tcW w:w="1370" w:type="dxa"/>
            <w:tcBorders>
              <w:top w:val="single" w:color="auto" w:sz="4" w:space="0"/>
              <w:left w:val="single" w:color="auto" w:sz="4" w:space="0"/>
              <w:bottom w:val="single" w:color="auto" w:sz="4" w:space="0"/>
              <w:right w:val="single" w:color="auto" w:sz="4" w:space="0"/>
            </w:tcBorders>
            <w:noWrap w:val="0"/>
            <w:vAlign w:val="center"/>
          </w:tcPr>
          <w:p w14:paraId="1D6E9740">
            <w:pPr>
              <w:pStyle w:val="98"/>
              <w:keepNext w:val="0"/>
              <w:keepLines w:val="0"/>
              <w:pageBreakBefore w:val="0"/>
              <w:widowControl w:val="0"/>
              <w:kinsoku/>
              <w:wordWrap w:val="0"/>
              <w:overflowPunct/>
              <w:topLinePunct w:val="0"/>
              <w:autoSpaceDE/>
              <w:autoSpaceDN/>
              <w:bidi w:val="0"/>
              <w:adjustRightInd/>
              <w:snapToGrid w:val="0"/>
              <w:spacing w:line="288"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监理依据</w:t>
            </w:r>
          </w:p>
          <w:p w14:paraId="022F846E">
            <w:pPr>
              <w:pStyle w:val="98"/>
              <w:keepNext w:val="0"/>
              <w:keepLines w:val="0"/>
              <w:pageBreakBefore w:val="0"/>
              <w:widowControl w:val="0"/>
              <w:kinsoku/>
              <w:wordWrap w:val="0"/>
              <w:overflowPunct/>
              <w:topLinePunct w:val="0"/>
              <w:autoSpaceDE/>
              <w:autoSpaceDN/>
              <w:bidi w:val="0"/>
              <w:adjustRightInd/>
              <w:snapToGrid w:val="0"/>
              <w:spacing w:line="288"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及工作目标（</w:t>
            </w:r>
            <w:r>
              <w:rPr>
                <w:rFonts w:hint="eastAsia" w:ascii="宋体" w:hAnsi="宋体" w:eastAsia="宋体" w:cs="宋体"/>
                <w:color w:val="auto"/>
                <w:kern w:val="0"/>
                <w:sz w:val="24"/>
                <w:szCs w:val="24"/>
                <w:highlight w:val="none"/>
                <w:u w:val="single"/>
                <w:lang w:val="en-US" w:eastAsia="zh-CN"/>
              </w:rPr>
              <w:t>2</w:t>
            </w:r>
            <w:r>
              <w:rPr>
                <w:rFonts w:hint="eastAsia" w:ascii="宋体" w:hAnsi="宋体" w:eastAsia="宋体" w:cs="宋体"/>
                <w:color w:val="auto"/>
                <w:kern w:val="0"/>
                <w:sz w:val="24"/>
                <w:szCs w:val="24"/>
                <w:highlight w:val="none"/>
              </w:rPr>
              <w:t>分）</w:t>
            </w:r>
          </w:p>
        </w:tc>
        <w:tc>
          <w:tcPr>
            <w:tcW w:w="4176" w:type="dxa"/>
            <w:tcBorders>
              <w:top w:val="single" w:color="auto" w:sz="4" w:space="0"/>
              <w:left w:val="single" w:color="auto" w:sz="4" w:space="0"/>
              <w:bottom w:val="single" w:color="auto" w:sz="4" w:space="0"/>
              <w:right w:val="single" w:color="auto" w:sz="4" w:space="0"/>
            </w:tcBorders>
            <w:noWrap w:val="0"/>
            <w:vAlign w:val="center"/>
          </w:tcPr>
          <w:p w14:paraId="72ECF61A">
            <w:pPr>
              <w:pStyle w:val="110"/>
              <w:keepNext w:val="0"/>
              <w:keepLines w:val="0"/>
              <w:pageBreakBefore w:val="0"/>
              <w:widowControl w:val="0"/>
              <w:kinsoku/>
              <w:wordWrap w:val="0"/>
              <w:overflowPunct/>
              <w:topLinePunct w:val="0"/>
              <w:autoSpaceDE/>
              <w:autoSpaceDN/>
              <w:bidi w:val="0"/>
              <w:adjustRightInd/>
              <w:snapToGrid w:val="0"/>
              <w:spacing w:line="288" w:lineRule="auto"/>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【优】得该项因素分的90%～100%（含90%）；</w:t>
            </w:r>
          </w:p>
          <w:p w14:paraId="0EF329D9">
            <w:pPr>
              <w:pStyle w:val="110"/>
              <w:keepNext w:val="0"/>
              <w:keepLines w:val="0"/>
              <w:pageBreakBefore w:val="0"/>
              <w:widowControl w:val="0"/>
              <w:kinsoku/>
              <w:wordWrap w:val="0"/>
              <w:overflowPunct/>
              <w:topLinePunct w:val="0"/>
              <w:autoSpaceDE/>
              <w:autoSpaceDN/>
              <w:bidi w:val="0"/>
              <w:adjustRightInd/>
              <w:snapToGrid w:val="0"/>
              <w:spacing w:line="288" w:lineRule="auto"/>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【良】得该项因素分的80%～90%（含80%）；</w:t>
            </w:r>
          </w:p>
          <w:p w14:paraId="467A12E4">
            <w:pPr>
              <w:pStyle w:val="110"/>
              <w:keepNext w:val="0"/>
              <w:keepLines w:val="0"/>
              <w:pageBreakBefore w:val="0"/>
              <w:widowControl w:val="0"/>
              <w:kinsoku/>
              <w:wordWrap w:val="0"/>
              <w:overflowPunct/>
              <w:topLinePunct w:val="0"/>
              <w:autoSpaceDE/>
              <w:autoSpaceDN/>
              <w:bidi w:val="0"/>
              <w:adjustRightInd/>
              <w:snapToGrid w:val="0"/>
              <w:spacing w:line="288" w:lineRule="auto"/>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【中】得该项因素分的70%～80%（含70%）；</w:t>
            </w:r>
          </w:p>
          <w:p w14:paraId="30532908">
            <w:pPr>
              <w:pStyle w:val="155"/>
              <w:keepNext w:val="0"/>
              <w:keepLines w:val="0"/>
              <w:pageBreakBefore w:val="0"/>
              <w:widowControl w:val="0"/>
              <w:kinsoku/>
              <w:wordWrap w:val="0"/>
              <w:overflowPunct/>
              <w:topLinePunct w:val="0"/>
              <w:autoSpaceDE/>
              <w:autoSpaceDN/>
              <w:bidi w:val="0"/>
              <w:adjustRightInd/>
              <w:snapToGrid w:val="0"/>
              <w:spacing w:after="0" w:line="288" w:lineRule="auto"/>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【差】得该项因素分的60%～70%（含60%）。</w:t>
            </w:r>
          </w:p>
        </w:tc>
        <w:tc>
          <w:tcPr>
            <w:tcW w:w="4018" w:type="dxa"/>
            <w:tcBorders>
              <w:top w:val="single" w:color="auto" w:sz="4" w:space="0"/>
              <w:left w:val="single" w:color="auto" w:sz="4" w:space="0"/>
              <w:bottom w:val="single" w:color="auto" w:sz="4" w:space="0"/>
              <w:right w:val="single" w:color="auto" w:sz="4" w:space="0"/>
            </w:tcBorders>
            <w:noWrap w:val="0"/>
            <w:vAlign w:val="center"/>
          </w:tcPr>
          <w:p w14:paraId="49595D11">
            <w:pPr>
              <w:pStyle w:val="110"/>
              <w:keepNext w:val="0"/>
              <w:keepLines w:val="0"/>
              <w:pageBreakBefore w:val="0"/>
              <w:widowControl w:val="0"/>
              <w:kinsoku/>
              <w:wordWrap w:val="0"/>
              <w:overflowPunct/>
              <w:topLinePunct w:val="0"/>
              <w:autoSpaceDE/>
              <w:autoSpaceDN/>
              <w:bidi w:val="0"/>
              <w:adjustRightInd/>
              <w:snapToGrid w:val="0"/>
              <w:spacing w:line="288"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要求依据全面、适用；目标清晰、正确；针对性强。</w:t>
            </w:r>
          </w:p>
        </w:tc>
      </w:tr>
      <w:tr w14:paraId="34CCC798">
        <w:tblPrEx>
          <w:tblCellMar>
            <w:top w:w="0" w:type="dxa"/>
            <w:left w:w="108" w:type="dxa"/>
            <w:bottom w:w="0" w:type="dxa"/>
            <w:right w:w="108" w:type="dxa"/>
          </w:tblCellMar>
        </w:tblPrEx>
        <w:trPr>
          <w:trHeight w:val="985" w:hRule="atLeast"/>
          <w:jc w:val="center"/>
        </w:trPr>
        <w:tc>
          <w:tcPr>
            <w:tcW w:w="1370" w:type="dxa"/>
            <w:tcBorders>
              <w:top w:val="single" w:color="auto" w:sz="4" w:space="0"/>
              <w:left w:val="single" w:color="auto" w:sz="4" w:space="0"/>
              <w:bottom w:val="single" w:color="auto" w:sz="4" w:space="0"/>
              <w:right w:val="single" w:color="auto" w:sz="4" w:space="0"/>
            </w:tcBorders>
            <w:noWrap w:val="0"/>
            <w:vAlign w:val="center"/>
          </w:tcPr>
          <w:p w14:paraId="4C8594AF">
            <w:pPr>
              <w:pStyle w:val="98"/>
              <w:keepNext w:val="0"/>
              <w:keepLines w:val="0"/>
              <w:pageBreakBefore w:val="0"/>
              <w:widowControl w:val="0"/>
              <w:kinsoku/>
              <w:wordWrap w:val="0"/>
              <w:overflowPunct/>
              <w:topLinePunct w:val="0"/>
              <w:autoSpaceDE/>
              <w:autoSpaceDN/>
              <w:bidi w:val="0"/>
              <w:adjustRightInd/>
              <w:snapToGrid w:val="0"/>
              <w:spacing w:line="288"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工程质量</w:t>
            </w:r>
          </w:p>
          <w:p w14:paraId="524453CC">
            <w:pPr>
              <w:pStyle w:val="98"/>
              <w:keepNext w:val="0"/>
              <w:keepLines w:val="0"/>
              <w:pageBreakBefore w:val="0"/>
              <w:widowControl w:val="0"/>
              <w:kinsoku/>
              <w:wordWrap w:val="0"/>
              <w:overflowPunct/>
              <w:topLinePunct w:val="0"/>
              <w:autoSpaceDE/>
              <w:autoSpaceDN/>
              <w:bidi w:val="0"/>
              <w:adjustRightInd/>
              <w:snapToGrid w:val="0"/>
              <w:spacing w:line="288"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监理措施</w:t>
            </w:r>
          </w:p>
          <w:p w14:paraId="71AFBC8B">
            <w:pPr>
              <w:pStyle w:val="126"/>
              <w:keepNext w:val="0"/>
              <w:keepLines w:val="0"/>
              <w:pageBreakBefore w:val="0"/>
              <w:widowControl w:val="0"/>
              <w:kinsoku/>
              <w:wordWrap w:val="0"/>
              <w:overflowPunct/>
              <w:topLinePunct w:val="0"/>
              <w:autoSpaceDE/>
              <w:autoSpaceDN/>
              <w:bidi w:val="0"/>
              <w:adjustRightInd/>
              <w:snapToGrid w:val="0"/>
              <w:spacing w:line="288"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lang w:eastAsia="zh-CN"/>
              </w:rPr>
              <w:t>2</w:t>
            </w:r>
            <w:r>
              <w:rPr>
                <w:rFonts w:hint="eastAsia" w:ascii="宋体" w:hAnsi="宋体" w:eastAsia="宋体" w:cs="宋体"/>
                <w:color w:val="auto"/>
                <w:kern w:val="0"/>
                <w:sz w:val="24"/>
                <w:szCs w:val="24"/>
                <w:highlight w:val="none"/>
              </w:rPr>
              <w:t>分）</w:t>
            </w:r>
          </w:p>
        </w:tc>
        <w:tc>
          <w:tcPr>
            <w:tcW w:w="4176" w:type="dxa"/>
            <w:tcBorders>
              <w:top w:val="single" w:color="auto" w:sz="4" w:space="0"/>
              <w:left w:val="single" w:color="auto" w:sz="4" w:space="0"/>
              <w:bottom w:val="single" w:color="auto" w:sz="4" w:space="0"/>
              <w:right w:val="single" w:color="auto" w:sz="4" w:space="0"/>
            </w:tcBorders>
            <w:noWrap w:val="0"/>
            <w:vAlign w:val="center"/>
          </w:tcPr>
          <w:p w14:paraId="64255FCE">
            <w:pPr>
              <w:pStyle w:val="110"/>
              <w:keepNext w:val="0"/>
              <w:keepLines w:val="0"/>
              <w:pageBreakBefore w:val="0"/>
              <w:widowControl w:val="0"/>
              <w:kinsoku/>
              <w:wordWrap w:val="0"/>
              <w:overflowPunct/>
              <w:topLinePunct w:val="0"/>
              <w:autoSpaceDE/>
              <w:autoSpaceDN/>
              <w:bidi w:val="0"/>
              <w:adjustRightInd/>
              <w:snapToGrid w:val="0"/>
              <w:spacing w:line="288" w:lineRule="auto"/>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【优】得该项因素分的90%～100%（含90%）；</w:t>
            </w:r>
          </w:p>
          <w:p w14:paraId="4753AC67">
            <w:pPr>
              <w:pStyle w:val="110"/>
              <w:keepNext w:val="0"/>
              <w:keepLines w:val="0"/>
              <w:pageBreakBefore w:val="0"/>
              <w:widowControl w:val="0"/>
              <w:kinsoku/>
              <w:wordWrap w:val="0"/>
              <w:overflowPunct/>
              <w:topLinePunct w:val="0"/>
              <w:autoSpaceDE/>
              <w:autoSpaceDN/>
              <w:bidi w:val="0"/>
              <w:adjustRightInd/>
              <w:snapToGrid w:val="0"/>
              <w:spacing w:line="288" w:lineRule="auto"/>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【良】得该项因素分的80%～90%（含80%）；</w:t>
            </w:r>
          </w:p>
          <w:p w14:paraId="4CAFD2EF">
            <w:pPr>
              <w:pStyle w:val="110"/>
              <w:keepNext w:val="0"/>
              <w:keepLines w:val="0"/>
              <w:pageBreakBefore w:val="0"/>
              <w:widowControl w:val="0"/>
              <w:kinsoku/>
              <w:wordWrap w:val="0"/>
              <w:overflowPunct/>
              <w:topLinePunct w:val="0"/>
              <w:autoSpaceDE/>
              <w:autoSpaceDN/>
              <w:bidi w:val="0"/>
              <w:adjustRightInd/>
              <w:snapToGrid w:val="0"/>
              <w:spacing w:line="288" w:lineRule="auto"/>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【中】得该项因素分的70%～80%（含70%）；</w:t>
            </w:r>
          </w:p>
          <w:p w14:paraId="5C7958C2">
            <w:pPr>
              <w:pStyle w:val="110"/>
              <w:keepNext w:val="0"/>
              <w:keepLines w:val="0"/>
              <w:pageBreakBefore w:val="0"/>
              <w:widowControl w:val="0"/>
              <w:kinsoku/>
              <w:wordWrap w:val="0"/>
              <w:overflowPunct/>
              <w:topLinePunct w:val="0"/>
              <w:autoSpaceDE/>
              <w:autoSpaceDN/>
              <w:bidi w:val="0"/>
              <w:adjustRightInd/>
              <w:snapToGrid w:val="0"/>
              <w:spacing w:line="288" w:lineRule="auto"/>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【差】得该项因素分的60%～70%（含60%）。</w:t>
            </w:r>
          </w:p>
        </w:tc>
        <w:tc>
          <w:tcPr>
            <w:tcW w:w="4018" w:type="dxa"/>
            <w:vMerge w:val="restart"/>
            <w:tcBorders>
              <w:top w:val="single" w:color="auto" w:sz="4" w:space="0"/>
              <w:left w:val="single" w:color="auto" w:sz="4" w:space="0"/>
              <w:bottom w:val="single" w:color="auto" w:sz="4" w:space="0"/>
              <w:right w:val="single" w:color="auto" w:sz="4" w:space="0"/>
            </w:tcBorders>
            <w:noWrap w:val="0"/>
            <w:vAlign w:val="center"/>
          </w:tcPr>
          <w:p w14:paraId="5EDFDFBE">
            <w:pPr>
              <w:pStyle w:val="110"/>
              <w:keepNext w:val="0"/>
              <w:keepLines w:val="0"/>
              <w:pageBreakBefore w:val="0"/>
              <w:widowControl w:val="0"/>
              <w:kinsoku/>
              <w:wordWrap w:val="0"/>
              <w:overflowPunct/>
              <w:topLinePunct w:val="0"/>
              <w:autoSpaceDE/>
              <w:autoSpaceDN/>
              <w:bidi w:val="0"/>
              <w:snapToGrid w:val="0"/>
              <w:spacing w:line="24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要求目标正确、方法可行、预控和动态管理措施具体、针对性强。脱离本工程实际、机械照搬照抄规范和技术标准的，不能得满分。</w:t>
            </w:r>
          </w:p>
        </w:tc>
      </w:tr>
      <w:tr w14:paraId="657674A1">
        <w:tblPrEx>
          <w:tblCellMar>
            <w:top w:w="0" w:type="dxa"/>
            <w:left w:w="108" w:type="dxa"/>
            <w:bottom w:w="0" w:type="dxa"/>
            <w:right w:w="108" w:type="dxa"/>
          </w:tblCellMar>
        </w:tblPrEx>
        <w:trPr>
          <w:trHeight w:val="321" w:hRule="atLeast"/>
          <w:jc w:val="center"/>
        </w:trPr>
        <w:tc>
          <w:tcPr>
            <w:tcW w:w="1370" w:type="dxa"/>
            <w:tcBorders>
              <w:top w:val="single" w:color="auto" w:sz="4" w:space="0"/>
              <w:left w:val="single" w:color="000000" w:sz="4" w:space="0"/>
              <w:bottom w:val="single" w:color="000000" w:sz="4" w:space="0"/>
              <w:right w:val="single" w:color="auto" w:sz="4" w:space="0"/>
            </w:tcBorders>
            <w:noWrap w:val="0"/>
            <w:vAlign w:val="center"/>
          </w:tcPr>
          <w:p w14:paraId="55D56246">
            <w:pPr>
              <w:pStyle w:val="98"/>
              <w:keepNext w:val="0"/>
              <w:keepLines w:val="0"/>
              <w:pageBreakBefore w:val="0"/>
              <w:widowControl w:val="0"/>
              <w:kinsoku/>
              <w:wordWrap w:val="0"/>
              <w:overflowPunct/>
              <w:topLinePunct w:val="0"/>
              <w:autoSpaceDE/>
              <w:autoSpaceDN/>
              <w:bidi w:val="0"/>
              <w:adjustRightInd/>
              <w:snapToGrid w:val="0"/>
              <w:spacing w:line="288"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工程进度</w:t>
            </w:r>
          </w:p>
          <w:p w14:paraId="6613DE54">
            <w:pPr>
              <w:pStyle w:val="98"/>
              <w:keepNext w:val="0"/>
              <w:keepLines w:val="0"/>
              <w:pageBreakBefore w:val="0"/>
              <w:widowControl w:val="0"/>
              <w:kinsoku/>
              <w:wordWrap w:val="0"/>
              <w:overflowPunct/>
              <w:topLinePunct w:val="0"/>
              <w:autoSpaceDE/>
              <w:autoSpaceDN/>
              <w:bidi w:val="0"/>
              <w:adjustRightInd/>
              <w:snapToGrid w:val="0"/>
              <w:spacing w:line="288"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监理措施</w:t>
            </w:r>
          </w:p>
          <w:p w14:paraId="1C364B3A">
            <w:pPr>
              <w:pStyle w:val="126"/>
              <w:keepNext w:val="0"/>
              <w:keepLines w:val="0"/>
              <w:pageBreakBefore w:val="0"/>
              <w:widowControl w:val="0"/>
              <w:kinsoku/>
              <w:wordWrap w:val="0"/>
              <w:overflowPunct/>
              <w:topLinePunct w:val="0"/>
              <w:autoSpaceDE/>
              <w:autoSpaceDN/>
              <w:bidi w:val="0"/>
              <w:adjustRightInd/>
              <w:snapToGrid w:val="0"/>
              <w:spacing w:line="288"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lang w:eastAsia="zh-CN"/>
              </w:rPr>
              <w:t>2</w:t>
            </w:r>
            <w:r>
              <w:rPr>
                <w:rFonts w:hint="eastAsia" w:ascii="宋体" w:hAnsi="宋体" w:eastAsia="宋体" w:cs="宋体"/>
                <w:color w:val="auto"/>
                <w:kern w:val="0"/>
                <w:sz w:val="24"/>
                <w:szCs w:val="24"/>
                <w:highlight w:val="none"/>
              </w:rPr>
              <w:t>分）</w:t>
            </w:r>
          </w:p>
        </w:tc>
        <w:tc>
          <w:tcPr>
            <w:tcW w:w="4176" w:type="dxa"/>
            <w:tcBorders>
              <w:top w:val="single" w:color="auto" w:sz="4" w:space="0"/>
              <w:left w:val="single" w:color="auto" w:sz="4" w:space="0"/>
              <w:bottom w:val="single" w:color="auto" w:sz="4" w:space="0"/>
              <w:right w:val="single" w:color="auto" w:sz="4" w:space="0"/>
            </w:tcBorders>
            <w:noWrap w:val="0"/>
            <w:vAlign w:val="center"/>
          </w:tcPr>
          <w:p w14:paraId="1C9301B8">
            <w:pPr>
              <w:pStyle w:val="110"/>
              <w:keepNext w:val="0"/>
              <w:keepLines w:val="0"/>
              <w:pageBreakBefore w:val="0"/>
              <w:widowControl w:val="0"/>
              <w:kinsoku/>
              <w:wordWrap w:val="0"/>
              <w:overflowPunct/>
              <w:topLinePunct w:val="0"/>
              <w:autoSpaceDE/>
              <w:autoSpaceDN/>
              <w:bidi w:val="0"/>
              <w:adjustRightInd/>
              <w:snapToGrid w:val="0"/>
              <w:spacing w:line="288" w:lineRule="auto"/>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【优】得该项因素分的90%～100%（含90%）；</w:t>
            </w:r>
          </w:p>
          <w:p w14:paraId="3E012986">
            <w:pPr>
              <w:pStyle w:val="110"/>
              <w:keepNext w:val="0"/>
              <w:keepLines w:val="0"/>
              <w:pageBreakBefore w:val="0"/>
              <w:widowControl w:val="0"/>
              <w:kinsoku/>
              <w:wordWrap w:val="0"/>
              <w:overflowPunct/>
              <w:topLinePunct w:val="0"/>
              <w:autoSpaceDE/>
              <w:autoSpaceDN/>
              <w:bidi w:val="0"/>
              <w:adjustRightInd/>
              <w:snapToGrid w:val="0"/>
              <w:spacing w:line="288" w:lineRule="auto"/>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【良】得该项因素分的80%～90%（含80%）；</w:t>
            </w:r>
          </w:p>
          <w:p w14:paraId="5166F0B0">
            <w:pPr>
              <w:pStyle w:val="110"/>
              <w:keepNext w:val="0"/>
              <w:keepLines w:val="0"/>
              <w:pageBreakBefore w:val="0"/>
              <w:widowControl w:val="0"/>
              <w:kinsoku/>
              <w:wordWrap w:val="0"/>
              <w:overflowPunct/>
              <w:topLinePunct w:val="0"/>
              <w:autoSpaceDE/>
              <w:autoSpaceDN/>
              <w:bidi w:val="0"/>
              <w:adjustRightInd/>
              <w:snapToGrid w:val="0"/>
              <w:spacing w:line="288" w:lineRule="auto"/>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【中】得该项因素分的70%～80%（含70%）；</w:t>
            </w:r>
          </w:p>
          <w:p w14:paraId="685CE569">
            <w:pPr>
              <w:pStyle w:val="110"/>
              <w:keepNext w:val="0"/>
              <w:keepLines w:val="0"/>
              <w:pageBreakBefore w:val="0"/>
              <w:widowControl w:val="0"/>
              <w:kinsoku/>
              <w:wordWrap w:val="0"/>
              <w:overflowPunct/>
              <w:topLinePunct w:val="0"/>
              <w:autoSpaceDE/>
              <w:autoSpaceDN/>
              <w:bidi w:val="0"/>
              <w:adjustRightInd/>
              <w:snapToGrid w:val="0"/>
              <w:spacing w:line="288" w:lineRule="auto"/>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【差】得该项因素分的60%～70%（含60%）。</w:t>
            </w:r>
          </w:p>
        </w:tc>
        <w:tc>
          <w:tcPr>
            <w:tcW w:w="4018" w:type="dxa"/>
            <w:vMerge w:val="continue"/>
            <w:tcBorders>
              <w:top w:val="single" w:color="auto" w:sz="4" w:space="0"/>
              <w:left w:val="single" w:color="auto" w:sz="4" w:space="0"/>
              <w:bottom w:val="single" w:color="auto" w:sz="4" w:space="0"/>
              <w:right w:val="single" w:color="auto" w:sz="4" w:space="0"/>
            </w:tcBorders>
            <w:noWrap w:val="0"/>
            <w:vAlign w:val="center"/>
          </w:tcPr>
          <w:p w14:paraId="33D6114C">
            <w:pPr>
              <w:pStyle w:val="110"/>
              <w:keepNext w:val="0"/>
              <w:keepLines w:val="0"/>
              <w:pageBreakBefore w:val="0"/>
              <w:widowControl w:val="0"/>
              <w:kinsoku/>
              <w:wordWrap w:val="0"/>
              <w:overflowPunct/>
              <w:topLinePunct w:val="0"/>
              <w:autoSpaceDE/>
              <w:autoSpaceDN/>
              <w:bidi w:val="0"/>
              <w:snapToGrid w:val="0"/>
              <w:spacing w:line="500" w:lineRule="exact"/>
              <w:textAlignment w:val="auto"/>
              <w:rPr>
                <w:rFonts w:hint="eastAsia" w:ascii="宋体" w:hAnsi="宋体" w:eastAsia="宋体" w:cs="宋体"/>
                <w:color w:val="auto"/>
                <w:kern w:val="0"/>
                <w:sz w:val="24"/>
                <w:szCs w:val="24"/>
                <w:highlight w:val="none"/>
              </w:rPr>
            </w:pPr>
          </w:p>
        </w:tc>
      </w:tr>
      <w:tr w14:paraId="0AC42CCD">
        <w:tblPrEx>
          <w:tblCellMar>
            <w:top w:w="0" w:type="dxa"/>
            <w:left w:w="108" w:type="dxa"/>
            <w:bottom w:w="0" w:type="dxa"/>
            <w:right w:w="108" w:type="dxa"/>
          </w:tblCellMar>
        </w:tblPrEx>
        <w:trPr>
          <w:trHeight w:val="1480" w:hRule="atLeast"/>
          <w:jc w:val="center"/>
        </w:trPr>
        <w:tc>
          <w:tcPr>
            <w:tcW w:w="1370" w:type="dxa"/>
            <w:tcBorders>
              <w:top w:val="single" w:color="000000" w:sz="4" w:space="0"/>
              <w:left w:val="single" w:color="000000" w:sz="4" w:space="0"/>
              <w:bottom w:val="single" w:color="000000" w:sz="4" w:space="0"/>
              <w:right w:val="single" w:color="auto" w:sz="4" w:space="0"/>
            </w:tcBorders>
            <w:noWrap w:val="0"/>
            <w:vAlign w:val="center"/>
          </w:tcPr>
          <w:p w14:paraId="38C200EE">
            <w:pPr>
              <w:pStyle w:val="98"/>
              <w:keepNext w:val="0"/>
              <w:keepLines w:val="0"/>
              <w:pageBreakBefore w:val="0"/>
              <w:widowControl w:val="0"/>
              <w:kinsoku/>
              <w:wordWrap w:val="0"/>
              <w:overflowPunct/>
              <w:topLinePunct w:val="0"/>
              <w:autoSpaceDE/>
              <w:autoSpaceDN/>
              <w:bidi w:val="0"/>
              <w:adjustRightInd/>
              <w:snapToGrid w:val="0"/>
              <w:spacing w:line="288"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工程造价</w:t>
            </w:r>
          </w:p>
          <w:p w14:paraId="21FFBFF7">
            <w:pPr>
              <w:pStyle w:val="98"/>
              <w:keepNext w:val="0"/>
              <w:keepLines w:val="0"/>
              <w:pageBreakBefore w:val="0"/>
              <w:widowControl w:val="0"/>
              <w:kinsoku/>
              <w:wordWrap w:val="0"/>
              <w:overflowPunct/>
              <w:topLinePunct w:val="0"/>
              <w:autoSpaceDE/>
              <w:autoSpaceDN/>
              <w:bidi w:val="0"/>
              <w:adjustRightInd/>
              <w:snapToGrid w:val="0"/>
              <w:spacing w:line="288"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监理措施</w:t>
            </w:r>
          </w:p>
          <w:p w14:paraId="45E15623">
            <w:pPr>
              <w:pStyle w:val="126"/>
              <w:keepNext w:val="0"/>
              <w:keepLines w:val="0"/>
              <w:pageBreakBefore w:val="0"/>
              <w:widowControl w:val="0"/>
              <w:kinsoku/>
              <w:wordWrap w:val="0"/>
              <w:overflowPunct/>
              <w:topLinePunct w:val="0"/>
              <w:autoSpaceDE/>
              <w:autoSpaceDN/>
              <w:bidi w:val="0"/>
              <w:adjustRightInd/>
              <w:snapToGrid w:val="0"/>
              <w:spacing w:line="288"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lang w:val="en-US" w:eastAsia="zh-CN"/>
              </w:rPr>
              <w:t>2</w:t>
            </w:r>
            <w:r>
              <w:rPr>
                <w:rFonts w:hint="eastAsia" w:ascii="宋体" w:hAnsi="宋体" w:eastAsia="宋体" w:cs="宋体"/>
                <w:color w:val="auto"/>
                <w:kern w:val="0"/>
                <w:sz w:val="24"/>
                <w:szCs w:val="24"/>
                <w:highlight w:val="none"/>
              </w:rPr>
              <w:t>分）</w:t>
            </w:r>
          </w:p>
        </w:tc>
        <w:tc>
          <w:tcPr>
            <w:tcW w:w="4176" w:type="dxa"/>
            <w:tcBorders>
              <w:top w:val="single" w:color="auto" w:sz="4" w:space="0"/>
              <w:left w:val="single" w:color="auto" w:sz="4" w:space="0"/>
              <w:bottom w:val="single" w:color="auto" w:sz="4" w:space="0"/>
              <w:right w:val="single" w:color="auto" w:sz="4" w:space="0"/>
            </w:tcBorders>
            <w:noWrap w:val="0"/>
            <w:vAlign w:val="center"/>
          </w:tcPr>
          <w:p w14:paraId="7894184C">
            <w:pPr>
              <w:pStyle w:val="110"/>
              <w:keepNext w:val="0"/>
              <w:keepLines w:val="0"/>
              <w:pageBreakBefore w:val="0"/>
              <w:widowControl w:val="0"/>
              <w:kinsoku/>
              <w:wordWrap w:val="0"/>
              <w:overflowPunct/>
              <w:topLinePunct w:val="0"/>
              <w:autoSpaceDE/>
              <w:autoSpaceDN/>
              <w:bidi w:val="0"/>
              <w:adjustRightInd/>
              <w:snapToGrid w:val="0"/>
              <w:spacing w:line="288" w:lineRule="auto"/>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【优】得该项因素分的90%～100%（含90%）；</w:t>
            </w:r>
          </w:p>
          <w:p w14:paraId="31B475E3">
            <w:pPr>
              <w:pStyle w:val="110"/>
              <w:keepNext w:val="0"/>
              <w:keepLines w:val="0"/>
              <w:pageBreakBefore w:val="0"/>
              <w:widowControl w:val="0"/>
              <w:kinsoku/>
              <w:wordWrap w:val="0"/>
              <w:overflowPunct/>
              <w:topLinePunct w:val="0"/>
              <w:autoSpaceDE/>
              <w:autoSpaceDN/>
              <w:bidi w:val="0"/>
              <w:adjustRightInd/>
              <w:snapToGrid w:val="0"/>
              <w:spacing w:line="288" w:lineRule="auto"/>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【良】得该项因素分的80%～90%（含80%）；</w:t>
            </w:r>
          </w:p>
          <w:p w14:paraId="06E7F1F6">
            <w:pPr>
              <w:pStyle w:val="110"/>
              <w:keepNext w:val="0"/>
              <w:keepLines w:val="0"/>
              <w:pageBreakBefore w:val="0"/>
              <w:widowControl w:val="0"/>
              <w:kinsoku/>
              <w:wordWrap w:val="0"/>
              <w:overflowPunct/>
              <w:topLinePunct w:val="0"/>
              <w:autoSpaceDE/>
              <w:autoSpaceDN/>
              <w:bidi w:val="0"/>
              <w:adjustRightInd/>
              <w:snapToGrid w:val="0"/>
              <w:spacing w:line="288" w:lineRule="auto"/>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【中】得该项因素分的70%～80%（含70%）；</w:t>
            </w:r>
          </w:p>
          <w:p w14:paraId="30CF66B8">
            <w:pPr>
              <w:pStyle w:val="110"/>
              <w:keepNext w:val="0"/>
              <w:keepLines w:val="0"/>
              <w:pageBreakBefore w:val="0"/>
              <w:widowControl w:val="0"/>
              <w:kinsoku/>
              <w:wordWrap w:val="0"/>
              <w:overflowPunct/>
              <w:topLinePunct w:val="0"/>
              <w:autoSpaceDE/>
              <w:autoSpaceDN/>
              <w:bidi w:val="0"/>
              <w:adjustRightInd/>
              <w:snapToGrid w:val="0"/>
              <w:spacing w:line="288" w:lineRule="auto"/>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【差】得该项因素分的60%～70%（含60%）。</w:t>
            </w:r>
          </w:p>
        </w:tc>
        <w:tc>
          <w:tcPr>
            <w:tcW w:w="4018" w:type="dxa"/>
            <w:vMerge w:val="continue"/>
            <w:tcBorders>
              <w:top w:val="single" w:color="auto" w:sz="4" w:space="0"/>
              <w:left w:val="single" w:color="auto" w:sz="4" w:space="0"/>
              <w:bottom w:val="single" w:color="auto" w:sz="4" w:space="0"/>
              <w:right w:val="single" w:color="auto" w:sz="4" w:space="0"/>
            </w:tcBorders>
            <w:noWrap w:val="0"/>
            <w:vAlign w:val="center"/>
          </w:tcPr>
          <w:p w14:paraId="541C6262">
            <w:pPr>
              <w:pStyle w:val="110"/>
              <w:keepNext w:val="0"/>
              <w:keepLines w:val="0"/>
              <w:pageBreakBefore w:val="0"/>
              <w:widowControl w:val="0"/>
              <w:kinsoku/>
              <w:wordWrap w:val="0"/>
              <w:overflowPunct/>
              <w:topLinePunct w:val="0"/>
              <w:autoSpaceDE/>
              <w:autoSpaceDN/>
              <w:bidi w:val="0"/>
              <w:snapToGrid w:val="0"/>
              <w:spacing w:line="500" w:lineRule="exact"/>
              <w:textAlignment w:val="auto"/>
              <w:rPr>
                <w:rFonts w:hint="eastAsia" w:ascii="宋体" w:hAnsi="宋体" w:eastAsia="宋体" w:cs="宋体"/>
                <w:color w:val="auto"/>
                <w:kern w:val="0"/>
                <w:sz w:val="24"/>
                <w:szCs w:val="24"/>
                <w:highlight w:val="none"/>
              </w:rPr>
            </w:pPr>
          </w:p>
        </w:tc>
      </w:tr>
      <w:tr w14:paraId="37884F6A">
        <w:tblPrEx>
          <w:tblCellMar>
            <w:top w:w="0" w:type="dxa"/>
            <w:left w:w="108" w:type="dxa"/>
            <w:bottom w:w="0" w:type="dxa"/>
            <w:right w:w="108" w:type="dxa"/>
          </w:tblCellMar>
        </w:tblPrEx>
        <w:trPr>
          <w:trHeight w:val="1212" w:hRule="atLeast"/>
          <w:jc w:val="center"/>
        </w:trPr>
        <w:tc>
          <w:tcPr>
            <w:tcW w:w="1370" w:type="dxa"/>
            <w:tcBorders>
              <w:top w:val="single" w:color="000000" w:sz="4" w:space="0"/>
              <w:left w:val="single" w:color="000000" w:sz="4" w:space="0"/>
              <w:bottom w:val="single" w:color="000000" w:sz="4" w:space="0"/>
              <w:right w:val="single" w:color="000000" w:sz="4" w:space="0"/>
            </w:tcBorders>
            <w:noWrap w:val="0"/>
            <w:vAlign w:val="center"/>
          </w:tcPr>
          <w:p w14:paraId="3087CDFF">
            <w:pPr>
              <w:pStyle w:val="98"/>
              <w:keepNext w:val="0"/>
              <w:keepLines w:val="0"/>
              <w:pageBreakBefore w:val="0"/>
              <w:widowControl w:val="0"/>
              <w:kinsoku/>
              <w:wordWrap w:val="0"/>
              <w:overflowPunct/>
              <w:topLinePunct w:val="0"/>
              <w:autoSpaceDE/>
              <w:autoSpaceDN/>
              <w:bidi w:val="0"/>
              <w:adjustRightInd/>
              <w:snapToGrid w:val="0"/>
              <w:spacing w:line="24" w:lineRule="atLeas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安全防护</w:t>
            </w:r>
          </w:p>
          <w:p w14:paraId="29B76934">
            <w:pPr>
              <w:pStyle w:val="98"/>
              <w:keepNext w:val="0"/>
              <w:keepLines w:val="0"/>
              <w:pageBreakBefore w:val="0"/>
              <w:widowControl w:val="0"/>
              <w:kinsoku/>
              <w:wordWrap w:val="0"/>
              <w:overflowPunct/>
              <w:topLinePunct w:val="0"/>
              <w:autoSpaceDE/>
              <w:autoSpaceDN/>
              <w:bidi w:val="0"/>
              <w:adjustRightInd/>
              <w:snapToGrid w:val="0"/>
              <w:spacing w:line="24" w:lineRule="atLeas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监理措施</w:t>
            </w:r>
          </w:p>
          <w:p w14:paraId="6690FA94">
            <w:pPr>
              <w:pStyle w:val="126"/>
              <w:keepNext w:val="0"/>
              <w:keepLines w:val="0"/>
              <w:pageBreakBefore w:val="0"/>
              <w:widowControl w:val="0"/>
              <w:kinsoku/>
              <w:wordWrap w:val="0"/>
              <w:overflowPunct/>
              <w:topLinePunct w:val="0"/>
              <w:autoSpaceDE/>
              <w:autoSpaceDN/>
              <w:bidi w:val="0"/>
              <w:adjustRightInd/>
              <w:snapToGrid w:val="0"/>
              <w:spacing w:line="24" w:lineRule="atLeas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lang w:eastAsia="zh-CN"/>
              </w:rPr>
              <w:t>2</w:t>
            </w:r>
            <w:r>
              <w:rPr>
                <w:rFonts w:hint="eastAsia" w:ascii="宋体" w:hAnsi="宋体" w:eastAsia="宋体" w:cs="宋体"/>
                <w:color w:val="auto"/>
                <w:kern w:val="0"/>
                <w:sz w:val="24"/>
                <w:szCs w:val="24"/>
                <w:highlight w:val="none"/>
              </w:rPr>
              <w:t>分）</w:t>
            </w:r>
          </w:p>
        </w:tc>
        <w:tc>
          <w:tcPr>
            <w:tcW w:w="4176" w:type="dxa"/>
            <w:tcBorders>
              <w:top w:val="single" w:color="auto" w:sz="4" w:space="0"/>
              <w:left w:val="single" w:color="000000" w:sz="4" w:space="0"/>
              <w:bottom w:val="single" w:color="000000" w:sz="4" w:space="0"/>
              <w:right w:val="single" w:color="000000" w:sz="4" w:space="0"/>
            </w:tcBorders>
            <w:noWrap w:val="0"/>
            <w:vAlign w:val="center"/>
          </w:tcPr>
          <w:p w14:paraId="7D132941">
            <w:pPr>
              <w:pStyle w:val="110"/>
              <w:keepNext w:val="0"/>
              <w:keepLines w:val="0"/>
              <w:pageBreakBefore w:val="0"/>
              <w:widowControl w:val="0"/>
              <w:kinsoku/>
              <w:wordWrap w:val="0"/>
              <w:overflowPunct/>
              <w:topLinePunct w:val="0"/>
              <w:autoSpaceDE/>
              <w:autoSpaceDN/>
              <w:bidi w:val="0"/>
              <w:adjustRightInd/>
              <w:snapToGrid w:val="0"/>
              <w:spacing w:line="24" w:lineRule="atLeas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【优】得该项因素分的90%～100%（含90%）；</w:t>
            </w:r>
          </w:p>
          <w:p w14:paraId="7A526C2D">
            <w:pPr>
              <w:pStyle w:val="110"/>
              <w:keepNext w:val="0"/>
              <w:keepLines w:val="0"/>
              <w:pageBreakBefore w:val="0"/>
              <w:widowControl w:val="0"/>
              <w:kinsoku/>
              <w:wordWrap w:val="0"/>
              <w:overflowPunct/>
              <w:topLinePunct w:val="0"/>
              <w:autoSpaceDE/>
              <w:autoSpaceDN/>
              <w:bidi w:val="0"/>
              <w:adjustRightInd/>
              <w:snapToGrid w:val="0"/>
              <w:spacing w:line="24" w:lineRule="atLeas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【良】得该项因素分的80%～90%（含80%）；</w:t>
            </w:r>
          </w:p>
          <w:p w14:paraId="199A40D3">
            <w:pPr>
              <w:pStyle w:val="110"/>
              <w:keepNext w:val="0"/>
              <w:keepLines w:val="0"/>
              <w:pageBreakBefore w:val="0"/>
              <w:widowControl w:val="0"/>
              <w:kinsoku/>
              <w:wordWrap w:val="0"/>
              <w:overflowPunct/>
              <w:topLinePunct w:val="0"/>
              <w:autoSpaceDE/>
              <w:autoSpaceDN/>
              <w:bidi w:val="0"/>
              <w:adjustRightInd/>
              <w:snapToGrid w:val="0"/>
              <w:spacing w:line="24" w:lineRule="atLeas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【中】得该项因素分的70%～80%（含70%）；</w:t>
            </w:r>
          </w:p>
          <w:p w14:paraId="4DF518F1">
            <w:pPr>
              <w:pStyle w:val="110"/>
              <w:keepNext w:val="0"/>
              <w:keepLines w:val="0"/>
              <w:pageBreakBefore w:val="0"/>
              <w:widowControl w:val="0"/>
              <w:kinsoku/>
              <w:wordWrap w:val="0"/>
              <w:overflowPunct/>
              <w:topLinePunct w:val="0"/>
              <w:autoSpaceDE/>
              <w:autoSpaceDN/>
              <w:bidi w:val="0"/>
              <w:adjustRightInd/>
              <w:snapToGrid w:val="0"/>
              <w:spacing w:line="24" w:lineRule="atLeas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【差】得该项因素分的60%～70%（含60%）。</w:t>
            </w:r>
          </w:p>
        </w:tc>
        <w:tc>
          <w:tcPr>
            <w:tcW w:w="4018" w:type="dxa"/>
            <w:vMerge w:val="continue"/>
            <w:tcBorders>
              <w:top w:val="single" w:color="auto" w:sz="4" w:space="0"/>
              <w:left w:val="single" w:color="000000" w:sz="4" w:space="0"/>
              <w:right w:val="single" w:color="auto" w:sz="4" w:space="0"/>
            </w:tcBorders>
            <w:noWrap w:val="0"/>
            <w:vAlign w:val="center"/>
          </w:tcPr>
          <w:p w14:paraId="03260D4F">
            <w:pPr>
              <w:pStyle w:val="110"/>
              <w:keepNext w:val="0"/>
              <w:keepLines w:val="0"/>
              <w:pageBreakBefore w:val="0"/>
              <w:widowControl w:val="0"/>
              <w:kinsoku/>
              <w:wordWrap w:val="0"/>
              <w:overflowPunct/>
              <w:topLinePunct w:val="0"/>
              <w:autoSpaceDE/>
              <w:autoSpaceDN/>
              <w:bidi w:val="0"/>
              <w:adjustRightInd/>
              <w:snapToGrid w:val="0"/>
              <w:spacing w:line="24" w:lineRule="atLeast"/>
              <w:textAlignment w:val="auto"/>
              <w:rPr>
                <w:rFonts w:hint="eastAsia" w:ascii="宋体" w:hAnsi="宋体" w:eastAsia="宋体" w:cs="宋体"/>
                <w:color w:val="auto"/>
                <w:kern w:val="0"/>
                <w:sz w:val="24"/>
                <w:szCs w:val="24"/>
                <w:highlight w:val="none"/>
              </w:rPr>
            </w:pPr>
          </w:p>
        </w:tc>
      </w:tr>
      <w:tr w14:paraId="51495A64">
        <w:tblPrEx>
          <w:tblCellMar>
            <w:top w:w="0" w:type="dxa"/>
            <w:left w:w="108" w:type="dxa"/>
            <w:bottom w:w="0" w:type="dxa"/>
            <w:right w:w="108" w:type="dxa"/>
          </w:tblCellMar>
        </w:tblPrEx>
        <w:trPr>
          <w:trHeight w:val="457" w:hRule="atLeast"/>
          <w:jc w:val="center"/>
        </w:trPr>
        <w:tc>
          <w:tcPr>
            <w:tcW w:w="1370" w:type="dxa"/>
            <w:tcBorders>
              <w:top w:val="single" w:color="000000" w:sz="4" w:space="0"/>
              <w:left w:val="single" w:color="000000" w:sz="4" w:space="0"/>
              <w:bottom w:val="single" w:color="000000" w:sz="4" w:space="0"/>
              <w:right w:val="single" w:color="000000" w:sz="4" w:space="0"/>
            </w:tcBorders>
            <w:noWrap w:val="0"/>
            <w:vAlign w:val="center"/>
          </w:tcPr>
          <w:p w14:paraId="1172BCEC">
            <w:pPr>
              <w:pStyle w:val="98"/>
              <w:keepNext w:val="0"/>
              <w:keepLines w:val="0"/>
              <w:pageBreakBefore w:val="0"/>
              <w:widowControl w:val="0"/>
              <w:kinsoku/>
              <w:wordWrap w:val="0"/>
              <w:overflowPunct/>
              <w:topLinePunct w:val="0"/>
              <w:autoSpaceDE/>
              <w:autoSpaceDN/>
              <w:bidi w:val="0"/>
              <w:adjustRightInd/>
              <w:snapToGrid w:val="0"/>
              <w:spacing w:line="24" w:lineRule="atLeas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绿色施工</w:t>
            </w:r>
          </w:p>
          <w:p w14:paraId="0C221BFB">
            <w:pPr>
              <w:pStyle w:val="98"/>
              <w:keepNext w:val="0"/>
              <w:keepLines w:val="0"/>
              <w:pageBreakBefore w:val="0"/>
              <w:widowControl w:val="0"/>
              <w:kinsoku/>
              <w:wordWrap w:val="0"/>
              <w:overflowPunct/>
              <w:topLinePunct w:val="0"/>
              <w:autoSpaceDE/>
              <w:autoSpaceDN/>
              <w:bidi w:val="0"/>
              <w:adjustRightInd/>
              <w:snapToGrid w:val="0"/>
              <w:spacing w:line="24" w:lineRule="atLeas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、文明施工</w:t>
            </w:r>
          </w:p>
          <w:p w14:paraId="31E21054">
            <w:pPr>
              <w:pStyle w:val="98"/>
              <w:keepNext w:val="0"/>
              <w:keepLines w:val="0"/>
              <w:pageBreakBefore w:val="0"/>
              <w:widowControl w:val="0"/>
              <w:kinsoku/>
              <w:wordWrap w:val="0"/>
              <w:overflowPunct/>
              <w:topLinePunct w:val="0"/>
              <w:autoSpaceDE/>
              <w:autoSpaceDN/>
              <w:bidi w:val="0"/>
              <w:adjustRightInd/>
              <w:snapToGrid w:val="0"/>
              <w:spacing w:line="24" w:lineRule="atLeast"/>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监理措施</w:t>
            </w:r>
          </w:p>
          <w:p w14:paraId="2129A149">
            <w:pPr>
              <w:pStyle w:val="126"/>
              <w:keepNext w:val="0"/>
              <w:keepLines w:val="0"/>
              <w:pageBreakBefore w:val="0"/>
              <w:widowControl w:val="0"/>
              <w:kinsoku/>
              <w:wordWrap w:val="0"/>
              <w:overflowPunct/>
              <w:topLinePunct w:val="0"/>
              <w:autoSpaceDE/>
              <w:autoSpaceDN/>
              <w:bidi w:val="0"/>
              <w:adjustRightInd/>
              <w:snapToGrid w:val="0"/>
              <w:spacing w:line="24" w:lineRule="atLeas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lang w:val="en-US" w:eastAsia="zh-CN"/>
              </w:rPr>
              <w:t>2</w:t>
            </w:r>
            <w:r>
              <w:rPr>
                <w:rFonts w:hint="eastAsia" w:ascii="宋体" w:hAnsi="宋体" w:eastAsia="宋体" w:cs="宋体"/>
                <w:color w:val="auto"/>
                <w:kern w:val="0"/>
                <w:sz w:val="24"/>
                <w:szCs w:val="24"/>
                <w:highlight w:val="none"/>
              </w:rPr>
              <w:t>分）</w:t>
            </w:r>
          </w:p>
        </w:tc>
        <w:tc>
          <w:tcPr>
            <w:tcW w:w="4176" w:type="dxa"/>
            <w:tcBorders>
              <w:top w:val="single" w:color="000000" w:sz="4" w:space="0"/>
              <w:left w:val="single" w:color="000000" w:sz="4" w:space="0"/>
              <w:bottom w:val="single" w:color="000000" w:sz="4" w:space="0"/>
              <w:right w:val="single" w:color="000000" w:sz="4" w:space="0"/>
            </w:tcBorders>
            <w:noWrap w:val="0"/>
            <w:vAlign w:val="center"/>
          </w:tcPr>
          <w:p w14:paraId="09F02ABD">
            <w:pPr>
              <w:pStyle w:val="110"/>
              <w:keepNext w:val="0"/>
              <w:keepLines w:val="0"/>
              <w:pageBreakBefore w:val="0"/>
              <w:widowControl w:val="0"/>
              <w:kinsoku/>
              <w:wordWrap w:val="0"/>
              <w:overflowPunct/>
              <w:topLinePunct w:val="0"/>
              <w:autoSpaceDE/>
              <w:autoSpaceDN/>
              <w:bidi w:val="0"/>
              <w:adjustRightInd/>
              <w:snapToGrid w:val="0"/>
              <w:spacing w:line="24" w:lineRule="atLeas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【优】得该项因素分的90%～100%（含90%）；</w:t>
            </w:r>
          </w:p>
          <w:p w14:paraId="005BEF12">
            <w:pPr>
              <w:pStyle w:val="110"/>
              <w:keepNext w:val="0"/>
              <w:keepLines w:val="0"/>
              <w:pageBreakBefore w:val="0"/>
              <w:widowControl w:val="0"/>
              <w:kinsoku/>
              <w:wordWrap w:val="0"/>
              <w:overflowPunct/>
              <w:topLinePunct w:val="0"/>
              <w:autoSpaceDE/>
              <w:autoSpaceDN/>
              <w:bidi w:val="0"/>
              <w:adjustRightInd/>
              <w:snapToGrid w:val="0"/>
              <w:spacing w:line="24" w:lineRule="atLeas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【良】得该项因素分的80%～90%（含80%）；</w:t>
            </w:r>
          </w:p>
          <w:p w14:paraId="713BA410">
            <w:pPr>
              <w:pStyle w:val="110"/>
              <w:keepNext w:val="0"/>
              <w:keepLines w:val="0"/>
              <w:pageBreakBefore w:val="0"/>
              <w:widowControl w:val="0"/>
              <w:kinsoku/>
              <w:wordWrap w:val="0"/>
              <w:overflowPunct/>
              <w:topLinePunct w:val="0"/>
              <w:autoSpaceDE/>
              <w:autoSpaceDN/>
              <w:bidi w:val="0"/>
              <w:adjustRightInd/>
              <w:snapToGrid w:val="0"/>
              <w:spacing w:line="24" w:lineRule="atLeas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【中】得该项因素分的70%～80%（含70%）；</w:t>
            </w:r>
          </w:p>
          <w:p w14:paraId="3B9E4652">
            <w:pPr>
              <w:pStyle w:val="110"/>
              <w:keepNext w:val="0"/>
              <w:keepLines w:val="0"/>
              <w:pageBreakBefore w:val="0"/>
              <w:widowControl w:val="0"/>
              <w:kinsoku/>
              <w:wordWrap w:val="0"/>
              <w:overflowPunct/>
              <w:topLinePunct w:val="0"/>
              <w:autoSpaceDE/>
              <w:autoSpaceDN/>
              <w:bidi w:val="0"/>
              <w:adjustRightInd/>
              <w:snapToGrid w:val="0"/>
              <w:spacing w:line="24" w:lineRule="atLeas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【差】得该项因素分的60%～70%（含60%）。</w:t>
            </w:r>
          </w:p>
        </w:tc>
        <w:tc>
          <w:tcPr>
            <w:tcW w:w="4018" w:type="dxa"/>
            <w:vMerge w:val="continue"/>
            <w:tcBorders>
              <w:left w:val="single" w:color="000000" w:sz="4" w:space="0"/>
              <w:bottom w:val="single" w:color="000000" w:sz="4" w:space="0"/>
              <w:right w:val="single" w:color="auto" w:sz="4" w:space="0"/>
            </w:tcBorders>
            <w:noWrap w:val="0"/>
            <w:vAlign w:val="center"/>
          </w:tcPr>
          <w:p w14:paraId="5D6CC703">
            <w:pPr>
              <w:pStyle w:val="110"/>
              <w:keepNext w:val="0"/>
              <w:keepLines w:val="0"/>
              <w:pageBreakBefore w:val="0"/>
              <w:widowControl w:val="0"/>
              <w:kinsoku/>
              <w:wordWrap w:val="0"/>
              <w:overflowPunct/>
              <w:topLinePunct w:val="0"/>
              <w:autoSpaceDE/>
              <w:autoSpaceDN/>
              <w:bidi w:val="0"/>
              <w:adjustRightInd/>
              <w:snapToGrid w:val="0"/>
              <w:spacing w:line="24" w:lineRule="atLeast"/>
              <w:textAlignment w:val="auto"/>
              <w:rPr>
                <w:rFonts w:hint="eastAsia" w:ascii="宋体" w:hAnsi="宋体" w:eastAsia="宋体" w:cs="宋体"/>
                <w:color w:val="auto"/>
                <w:kern w:val="0"/>
                <w:sz w:val="24"/>
                <w:szCs w:val="24"/>
                <w:highlight w:val="none"/>
              </w:rPr>
            </w:pPr>
          </w:p>
        </w:tc>
      </w:tr>
      <w:tr w14:paraId="362CDE2F">
        <w:tblPrEx>
          <w:tblCellMar>
            <w:top w:w="0" w:type="dxa"/>
            <w:left w:w="108" w:type="dxa"/>
            <w:bottom w:w="0" w:type="dxa"/>
            <w:right w:w="108" w:type="dxa"/>
          </w:tblCellMar>
        </w:tblPrEx>
        <w:trPr>
          <w:trHeight w:val="457" w:hRule="atLeast"/>
          <w:jc w:val="center"/>
        </w:trPr>
        <w:tc>
          <w:tcPr>
            <w:tcW w:w="1370" w:type="dxa"/>
            <w:tcBorders>
              <w:top w:val="single" w:color="000000" w:sz="4" w:space="0"/>
              <w:left w:val="single" w:color="000000" w:sz="4" w:space="0"/>
              <w:bottom w:val="single" w:color="000000" w:sz="4" w:space="0"/>
              <w:right w:val="single" w:color="000000" w:sz="4" w:space="0"/>
            </w:tcBorders>
            <w:noWrap w:val="0"/>
            <w:vAlign w:val="center"/>
          </w:tcPr>
          <w:p w14:paraId="0E467A7C">
            <w:pPr>
              <w:pStyle w:val="98"/>
              <w:keepNext w:val="0"/>
              <w:keepLines w:val="0"/>
              <w:pageBreakBefore w:val="0"/>
              <w:widowControl w:val="0"/>
              <w:kinsoku/>
              <w:wordWrap w:val="0"/>
              <w:overflowPunct/>
              <w:topLinePunct w:val="0"/>
              <w:autoSpaceDE/>
              <w:autoSpaceDN/>
              <w:bidi w:val="0"/>
              <w:adjustRightInd/>
              <w:snapToGrid w:val="0"/>
              <w:spacing w:line="24" w:lineRule="atLeas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合同、信息</w:t>
            </w:r>
          </w:p>
          <w:p w14:paraId="31FCD10E">
            <w:pPr>
              <w:pStyle w:val="98"/>
              <w:keepNext w:val="0"/>
              <w:keepLines w:val="0"/>
              <w:pageBreakBefore w:val="0"/>
              <w:widowControl w:val="0"/>
              <w:kinsoku/>
              <w:wordWrap w:val="0"/>
              <w:overflowPunct/>
              <w:topLinePunct w:val="0"/>
              <w:autoSpaceDE/>
              <w:autoSpaceDN/>
              <w:bidi w:val="0"/>
              <w:adjustRightInd/>
              <w:snapToGrid w:val="0"/>
              <w:spacing w:line="24" w:lineRule="atLeas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管理方案</w:t>
            </w:r>
          </w:p>
          <w:p w14:paraId="42F50B67">
            <w:pPr>
              <w:pStyle w:val="126"/>
              <w:keepNext w:val="0"/>
              <w:keepLines w:val="0"/>
              <w:pageBreakBefore w:val="0"/>
              <w:widowControl w:val="0"/>
              <w:kinsoku/>
              <w:wordWrap w:val="0"/>
              <w:overflowPunct/>
              <w:topLinePunct w:val="0"/>
              <w:autoSpaceDE/>
              <w:autoSpaceDN/>
              <w:bidi w:val="0"/>
              <w:adjustRightInd/>
              <w:snapToGrid w:val="0"/>
              <w:spacing w:line="24" w:lineRule="atLeas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lang w:val="en-US" w:eastAsia="zh-CN"/>
              </w:rPr>
              <w:t>2</w:t>
            </w:r>
            <w:r>
              <w:rPr>
                <w:rFonts w:hint="eastAsia" w:ascii="宋体" w:hAnsi="宋体" w:eastAsia="宋体" w:cs="宋体"/>
                <w:color w:val="auto"/>
                <w:kern w:val="0"/>
                <w:sz w:val="24"/>
                <w:szCs w:val="24"/>
                <w:highlight w:val="none"/>
              </w:rPr>
              <w:t>分）</w:t>
            </w:r>
          </w:p>
        </w:tc>
        <w:tc>
          <w:tcPr>
            <w:tcW w:w="4176" w:type="dxa"/>
            <w:tcBorders>
              <w:top w:val="single" w:color="000000" w:sz="4" w:space="0"/>
              <w:left w:val="single" w:color="000000" w:sz="4" w:space="0"/>
              <w:bottom w:val="single" w:color="000000" w:sz="4" w:space="0"/>
              <w:right w:val="single" w:color="000000" w:sz="4" w:space="0"/>
            </w:tcBorders>
            <w:noWrap w:val="0"/>
            <w:vAlign w:val="center"/>
          </w:tcPr>
          <w:p w14:paraId="2785D636">
            <w:pPr>
              <w:pStyle w:val="110"/>
              <w:keepNext w:val="0"/>
              <w:keepLines w:val="0"/>
              <w:pageBreakBefore w:val="0"/>
              <w:widowControl w:val="0"/>
              <w:kinsoku/>
              <w:wordWrap w:val="0"/>
              <w:overflowPunct/>
              <w:topLinePunct w:val="0"/>
              <w:autoSpaceDE/>
              <w:autoSpaceDN/>
              <w:bidi w:val="0"/>
              <w:adjustRightInd/>
              <w:snapToGrid w:val="0"/>
              <w:spacing w:line="24" w:lineRule="atLeas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【优】得该项因素分的90%～100%（含90%）；</w:t>
            </w:r>
          </w:p>
          <w:p w14:paraId="172C9E0C">
            <w:pPr>
              <w:pStyle w:val="110"/>
              <w:keepNext w:val="0"/>
              <w:keepLines w:val="0"/>
              <w:pageBreakBefore w:val="0"/>
              <w:widowControl w:val="0"/>
              <w:kinsoku/>
              <w:wordWrap w:val="0"/>
              <w:overflowPunct/>
              <w:topLinePunct w:val="0"/>
              <w:autoSpaceDE/>
              <w:autoSpaceDN/>
              <w:bidi w:val="0"/>
              <w:adjustRightInd/>
              <w:snapToGrid w:val="0"/>
              <w:spacing w:line="24" w:lineRule="atLeas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【良】得该项因素分的80%～90%（含80%）；</w:t>
            </w:r>
          </w:p>
          <w:p w14:paraId="2FB241DA">
            <w:pPr>
              <w:pStyle w:val="110"/>
              <w:keepNext w:val="0"/>
              <w:keepLines w:val="0"/>
              <w:pageBreakBefore w:val="0"/>
              <w:widowControl w:val="0"/>
              <w:kinsoku/>
              <w:wordWrap w:val="0"/>
              <w:overflowPunct/>
              <w:topLinePunct w:val="0"/>
              <w:autoSpaceDE/>
              <w:autoSpaceDN/>
              <w:bidi w:val="0"/>
              <w:adjustRightInd/>
              <w:snapToGrid w:val="0"/>
              <w:spacing w:line="24" w:lineRule="atLeas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【中】得该项因素分的70%～80%（含70%）；</w:t>
            </w:r>
          </w:p>
          <w:p w14:paraId="658683FF">
            <w:pPr>
              <w:pStyle w:val="110"/>
              <w:keepNext w:val="0"/>
              <w:keepLines w:val="0"/>
              <w:pageBreakBefore w:val="0"/>
              <w:widowControl w:val="0"/>
              <w:kinsoku/>
              <w:wordWrap w:val="0"/>
              <w:overflowPunct/>
              <w:topLinePunct w:val="0"/>
              <w:autoSpaceDE/>
              <w:autoSpaceDN/>
              <w:bidi w:val="0"/>
              <w:adjustRightInd/>
              <w:snapToGrid w:val="0"/>
              <w:spacing w:line="24" w:lineRule="atLeas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【差】得该项因素分的60%～70%（含60%）。</w:t>
            </w:r>
          </w:p>
        </w:tc>
        <w:tc>
          <w:tcPr>
            <w:tcW w:w="4018" w:type="dxa"/>
            <w:tcBorders>
              <w:top w:val="single" w:color="000000" w:sz="4" w:space="0"/>
              <w:left w:val="single" w:color="000000" w:sz="4" w:space="0"/>
              <w:bottom w:val="single" w:color="000000" w:sz="4" w:space="0"/>
              <w:right w:val="single" w:color="000000" w:sz="4" w:space="0"/>
            </w:tcBorders>
            <w:noWrap w:val="0"/>
            <w:vAlign w:val="center"/>
          </w:tcPr>
          <w:p w14:paraId="15BE8CDA">
            <w:pPr>
              <w:pStyle w:val="110"/>
              <w:keepNext w:val="0"/>
              <w:keepLines w:val="0"/>
              <w:pageBreakBefore w:val="0"/>
              <w:widowControl w:val="0"/>
              <w:kinsoku/>
              <w:wordWrap w:val="0"/>
              <w:overflowPunct/>
              <w:topLinePunct w:val="0"/>
              <w:autoSpaceDE/>
              <w:autoSpaceDN/>
              <w:bidi w:val="0"/>
              <w:adjustRightInd/>
              <w:snapToGrid w:val="0"/>
              <w:spacing w:line="24" w:lineRule="atLeas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要求各项制度规范清晰，方法科学合理，措施及时有效，针对性强。能够切实防范和处理合同纠纷，提升监理工作效能。</w:t>
            </w:r>
          </w:p>
        </w:tc>
      </w:tr>
      <w:tr w14:paraId="2172DEEB">
        <w:tblPrEx>
          <w:tblCellMar>
            <w:top w:w="0" w:type="dxa"/>
            <w:left w:w="108" w:type="dxa"/>
            <w:bottom w:w="0" w:type="dxa"/>
            <w:right w:w="108" w:type="dxa"/>
          </w:tblCellMar>
        </w:tblPrEx>
        <w:trPr>
          <w:trHeight w:val="457" w:hRule="atLeast"/>
          <w:jc w:val="center"/>
        </w:trPr>
        <w:tc>
          <w:tcPr>
            <w:tcW w:w="1370" w:type="dxa"/>
            <w:tcBorders>
              <w:top w:val="single" w:color="000000" w:sz="4" w:space="0"/>
              <w:left w:val="single" w:color="000000" w:sz="4" w:space="0"/>
              <w:bottom w:val="single" w:color="000000" w:sz="4" w:space="0"/>
              <w:right w:val="single" w:color="000000" w:sz="4" w:space="0"/>
            </w:tcBorders>
            <w:noWrap w:val="0"/>
            <w:vAlign w:val="center"/>
          </w:tcPr>
          <w:p w14:paraId="40F62563">
            <w:pPr>
              <w:pStyle w:val="98"/>
              <w:keepNext w:val="0"/>
              <w:keepLines w:val="0"/>
              <w:pageBreakBefore w:val="0"/>
              <w:widowControl w:val="0"/>
              <w:kinsoku/>
              <w:wordWrap w:val="0"/>
              <w:overflowPunct/>
              <w:topLinePunct w:val="0"/>
              <w:autoSpaceDE/>
              <w:autoSpaceDN/>
              <w:bidi w:val="0"/>
              <w:adjustRightInd/>
              <w:snapToGrid w:val="0"/>
              <w:spacing w:line="288"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组织协调</w:t>
            </w:r>
          </w:p>
          <w:p w14:paraId="5C2DD6FE">
            <w:pPr>
              <w:pStyle w:val="98"/>
              <w:keepNext w:val="0"/>
              <w:keepLines w:val="0"/>
              <w:pageBreakBefore w:val="0"/>
              <w:widowControl w:val="0"/>
              <w:kinsoku/>
              <w:wordWrap w:val="0"/>
              <w:overflowPunct/>
              <w:topLinePunct w:val="0"/>
              <w:autoSpaceDE/>
              <w:autoSpaceDN/>
              <w:bidi w:val="0"/>
              <w:adjustRightInd/>
              <w:snapToGrid w:val="0"/>
              <w:spacing w:line="288"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内容及措施</w:t>
            </w:r>
          </w:p>
          <w:p w14:paraId="2522124E">
            <w:pPr>
              <w:pStyle w:val="126"/>
              <w:keepNext w:val="0"/>
              <w:keepLines w:val="0"/>
              <w:pageBreakBefore w:val="0"/>
              <w:widowControl w:val="0"/>
              <w:kinsoku/>
              <w:wordWrap w:val="0"/>
              <w:overflowPunct/>
              <w:topLinePunct w:val="0"/>
              <w:autoSpaceDE/>
              <w:autoSpaceDN/>
              <w:bidi w:val="0"/>
              <w:adjustRightInd/>
              <w:snapToGrid w:val="0"/>
              <w:spacing w:line="288"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lang w:eastAsia="zh-CN"/>
              </w:rPr>
              <w:t>2</w:t>
            </w:r>
            <w:r>
              <w:rPr>
                <w:rFonts w:hint="eastAsia" w:ascii="宋体" w:hAnsi="宋体" w:eastAsia="宋体" w:cs="宋体"/>
                <w:color w:val="auto"/>
                <w:kern w:val="0"/>
                <w:sz w:val="24"/>
                <w:szCs w:val="24"/>
                <w:highlight w:val="none"/>
              </w:rPr>
              <w:t>分）</w:t>
            </w:r>
          </w:p>
        </w:tc>
        <w:tc>
          <w:tcPr>
            <w:tcW w:w="4176" w:type="dxa"/>
            <w:tcBorders>
              <w:top w:val="single" w:color="000000" w:sz="4" w:space="0"/>
              <w:left w:val="single" w:color="000000" w:sz="4" w:space="0"/>
              <w:bottom w:val="single" w:color="000000" w:sz="4" w:space="0"/>
              <w:right w:val="single" w:color="000000" w:sz="4" w:space="0"/>
            </w:tcBorders>
            <w:noWrap w:val="0"/>
            <w:vAlign w:val="center"/>
          </w:tcPr>
          <w:p w14:paraId="5D7FDC50">
            <w:pPr>
              <w:pStyle w:val="110"/>
              <w:keepNext w:val="0"/>
              <w:keepLines w:val="0"/>
              <w:pageBreakBefore w:val="0"/>
              <w:widowControl w:val="0"/>
              <w:kinsoku/>
              <w:wordWrap w:val="0"/>
              <w:overflowPunct/>
              <w:topLinePunct w:val="0"/>
              <w:autoSpaceDE/>
              <w:autoSpaceDN/>
              <w:bidi w:val="0"/>
              <w:adjustRightInd/>
              <w:snapToGrid w:val="0"/>
              <w:spacing w:line="288"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【优】得该项因素分的90%～100%（含90%）；</w:t>
            </w:r>
          </w:p>
          <w:p w14:paraId="4D5BF1AE">
            <w:pPr>
              <w:pStyle w:val="110"/>
              <w:keepNext w:val="0"/>
              <w:keepLines w:val="0"/>
              <w:pageBreakBefore w:val="0"/>
              <w:widowControl w:val="0"/>
              <w:kinsoku/>
              <w:wordWrap w:val="0"/>
              <w:overflowPunct/>
              <w:topLinePunct w:val="0"/>
              <w:autoSpaceDE/>
              <w:autoSpaceDN/>
              <w:bidi w:val="0"/>
              <w:adjustRightInd/>
              <w:snapToGrid w:val="0"/>
              <w:spacing w:line="288"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【良】得该项因素分的80%～90%（含80%）；</w:t>
            </w:r>
          </w:p>
          <w:p w14:paraId="6865E762">
            <w:pPr>
              <w:pStyle w:val="110"/>
              <w:keepNext w:val="0"/>
              <w:keepLines w:val="0"/>
              <w:pageBreakBefore w:val="0"/>
              <w:widowControl w:val="0"/>
              <w:kinsoku/>
              <w:wordWrap w:val="0"/>
              <w:overflowPunct/>
              <w:topLinePunct w:val="0"/>
              <w:autoSpaceDE/>
              <w:autoSpaceDN/>
              <w:bidi w:val="0"/>
              <w:adjustRightInd/>
              <w:snapToGrid w:val="0"/>
              <w:spacing w:line="288"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【中】得该项因素分的70%～80%（含70%）；</w:t>
            </w:r>
          </w:p>
          <w:p w14:paraId="33D41A28">
            <w:pPr>
              <w:pStyle w:val="110"/>
              <w:keepNext w:val="0"/>
              <w:keepLines w:val="0"/>
              <w:pageBreakBefore w:val="0"/>
              <w:widowControl w:val="0"/>
              <w:kinsoku/>
              <w:wordWrap w:val="0"/>
              <w:overflowPunct/>
              <w:topLinePunct w:val="0"/>
              <w:autoSpaceDE/>
              <w:autoSpaceDN/>
              <w:bidi w:val="0"/>
              <w:adjustRightInd/>
              <w:snapToGrid w:val="0"/>
              <w:spacing w:line="288"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【差】得该项因素分的60%～70%（含60%）。</w:t>
            </w:r>
          </w:p>
        </w:tc>
        <w:tc>
          <w:tcPr>
            <w:tcW w:w="4018" w:type="dxa"/>
            <w:tcBorders>
              <w:top w:val="single" w:color="000000" w:sz="4" w:space="0"/>
              <w:left w:val="single" w:color="000000" w:sz="4" w:space="0"/>
              <w:bottom w:val="single" w:color="000000" w:sz="4" w:space="0"/>
              <w:right w:val="single" w:color="000000" w:sz="4" w:space="0"/>
            </w:tcBorders>
            <w:noWrap w:val="0"/>
            <w:vAlign w:val="center"/>
          </w:tcPr>
          <w:p w14:paraId="13F64F0E">
            <w:pPr>
              <w:pStyle w:val="110"/>
              <w:keepNext w:val="0"/>
              <w:keepLines w:val="0"/>
              <w:pageBreakBefore w:val="0"/>
              <w:widowControl w:val="0"/>
              <w:kinsoku/>
              <w:wordWrap w:val="0"/>
              <w:overflowPunct/>
              <w:topLinePunct w:val="0"/>
              <w:autoSpaceDE/>
              <w:autoSpaceDN/>
              <w:bidi w:val="0"/>
              <w:adjustRightInd/>
              <w:snapToGrid w:val="0"/>
              <w:spacing w:line="288"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要求各项制度规范清晰，方法科学合理，措施及时有效，针对性强。能够高效收集、协调、处理、反馈各方各类问题。</w:t>
            </w:r>
          </w:p>
        </w:tc>
      </w:tr>
      <w:tr w14:paraId="288BA03D">
        <w:tblPrEx>
          <w:tblCellMar>
            <w:top w:w="0" w:type="dxa"/>
            <w:left w:w="108" w:type="dxa"/>
            <w:bottom w:w="0" w:type="dxa"/>
            <w:right w:w="108" w:type="dxa"/>
          </w:tblCellMar>
        </w:tblPrEx>
        <w:trPr>
          <w:trHeight w:val="457" w:hRule="atLeast"/>
          <w:jc w:val="center"/>
        </w:trPr>
        <w:tc>
          <w:tcPr>
            <w:tcW w:w="1370" w:type="dxa"/>
            <w:tcBorders>
              <w:top w:val="single" w:color="000000" w:sz="4" w:space="0"/>
              <w:left w:val="single" w:color="000000" w:sz="4" w:space="0"/>
              <w:bottom w:val="single" w:color="000000" w:sz="4" w:space="0"/>
              <w:right w:val="single" w:color="000000" w:sz="4" w:space="0"/>
            </w:tcBorders>
            <w:noWrap w:val="0"/>
            <w:vAlign w:val="center"/>
          </w:tcPr>
          <w:p w14:paraId="087613F4">
            <w:pPr>
              <w:pStyle w:val="98"/>
              <w:keepNext w:val="0"/>
              <w:keepLines w:val="0"/>
              <w:pageBreakBefore w:val="0"/>
              <w:widowControl w:val="0"/>
              <w:kinsoku/>
              <w:wordWrap w:val="0"/>
              <w:overflowPunct/>
              <w:topLinePunct w:val="0"/>
              <w:autoSpaceDE/>
              <w:autoSpaceDN/>
              <w:bidi w:val="0"/>
              <w:adjustRightInd/>
              <w:snapToGrid w:val="0"/>
              <w:spacing w:line="288"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监理工作重点、难点分析</w:t>
            </w:r>
          </w:p>
          <w:p w14:paraId="38D0E3C3">
            <w:pPr>
              <w:pStyle w:val="126"/>
              <w:keepNext w:val="0"/>
              <w:keepLines w:val="0"/>
              <w:pageBreakBefore w:val="0"/>
              <w:widowControl w:val="0"/>
              <w:kinsoku/>
              <w:wordWrap w:val="0"/>
              <w:overflowPunct/>
              <w:topLinePunct w:val="0"/>
              <w:autoSpaceDE/>
              <w:autoSpaceDN/>
              <w:bidi w:val="0"/>
              <w:adjustRightInd/>
              <w:snapToGrid w:val="0"/>
              <w:spacing w:line="288"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lang w:eastAsia="zh-CN"/>
              </w:rPr>
              <w:t>2</w:t>
            </w:r>
            <w:r>
              <w:rPr>
                <w:rFonts w:hint="eastAsia" w:ascii="宋体" w:hAnsi="宋体" w:eastAsia="宋体" w:cs="宋体"/>
                <w:color w:val="auto"/>
                <w:kern w:val="0"/>
                <w:sz w:val="24"/>
                <w:szCs w:val="24"/>
                <w:highlight w:val="none"/>
              </w:rPr>
              <w:t>分）</w:t>
            </w:r>
          </w:p>
        </w:tc>
        <w:tc>
          <w:tcPr>
            <w:tcW w:w="4176" w:type="dxa"/>
            <w:tcBorders>
              <w:top w:val="single" w:color="000000" w:sz="4" w:space="0"/>
              <w:left w:val="single" w:color="000000" w:sz="4" w:space="0"/>
              <w:bottom w:val="single" w:color="000000" w:sz="4" w:space="0"/>
              <w:right w:val="single" w:color="000000" w:sz="4" w:space="0"/>
            </w:tcBorders>
            <w:noWrap w:val="0"/>
            <w:vAlign w:val="center"/>
          </w:tcPr>
          <w:p w14:paraId="65D969D3">
            <w:pPr>
              <w:pStyle w:val="110"/>
              <w:keepNext w:val="0"/>
              <w:keepLines w:val="0"/>
              <w:pageBreakBefore w:val="0"/>
              <w:widowControl w:val="0"/>
              <w:kinsoku/>
              <w:wordWrap w:val="0"/>
              <w:overflowPunct/>
              <w:topLinePunct w:val="0"/>
              <w:autoSpaceDE/>
              <w:autoSpaceDN/>
              <w:bidi w:val="0"/>
              <w:adjustRightInd/>
              <w:snapToGrid w:val="0"/>
              <w:spacing w:line="288"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【优】得该项因素分的90%～100%（含90%）；</w:t>
            </w:r>
          </w:p>
          <w:p w14:paraId="7618814F">
            <w:pPr>
              <w:pStyle w:val="110"/>
              <w:keepNext w:val="0"/>
              <w:keepLines w:val="0"/>
              <w:pageBreakBefore w:val="0"/>
              <w:widowControl w:val="0"/>
              <w:kinsoku/>
              <w:wordWrap w:val="0"/>
              <w:overflowPunct/>
              <w:topLinePunct w:val="0"/>
              <w:autoSpaceDE/>
              <w:autoSpaceDN/>
              <w:bidi w:val="0"/>
              <w:adjustRightInd/>
              <w:snapToGrid w:val="0"/>
              <w:spacing w:line="288"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【良】得该项因素分的80%～90%（含80%）；</w:t>
            </w:r>
          </w:p>
          <w:p w14:paraId="6E022843">
            <w:pPr>
              <w:pStyle w:val="110"/>
              <w:keepNext w:val="0"/>
              <w:keepLines w:val="0"/>
              <w:pageBreakBefore w:val="0"/>
              <w:widowControl w:val="0"/>
              <w:kinsoku/>
              <w:wordWrap w:val="0"/>
              <w:overflowPunct/>
              <w:topLinePunct w:val="0"/>
              <w:autoSpaceDE/>
              <w:autoSpaceDN/>
              <w:bidi w:val="0"/>
              <w:adjustRightInd/>
              <w:snapToGrid w:val="0"/>
              <w:spacing w:line="288"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【中】得该项因素分的70%～80%（含70%）；</w:t>
            </w:r>
          </w:p>
          <w:p w14:paraId="07DEE290">
            <w:pPr>
              <w:pStyle w:val="110"/>
              <w:keepNext w:val="0"/>
              <w:keepLines w:val="0"/>
              <w:pageBreakBefore w:val="0"/>
              <w:widowControl w:val="0"/>
              <w:kinsoku/>
              <w:wordWrap w:val="0"/>
              <w:overflowPunct/>
              <w:topLinePunct w:val="0"/>
              <w:autoSpaceDE/>
              <w:autoSpaceDN/>
              <w:bidi w:val="0"/>
              <w:adjustRightInd/>
              <w:snapToGrid w:val="0"/>
              <w:spacing w:line="288"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【差】得该项因素分的60%～70%（含60%）。</w:t>
            </w:r>
          </w:p>
        </w:tc>
        <w:tc>
          <w:tcPr>
            <w:tcW w:w="4018" w:type="dxa"/>
            <w:tcBorders>
              <w:top w:val="single" w:color="000000" w:sz="4" w:space="0"/>
              <w:left w:val="single" w:color="000000" w:sz="4" w:space="0"/>
              <w:bottom w:val="single" w:color="000000" w:sz="4" w:space="0"/>
              <w:right w:val="single" w:color="000000" w:sz="4" w:space="0"/>
            </w:tcBorders>
            <w:noWrap w:val="0"/>
            <w:vAlign w:val="center"/>
          </w:tcPr>
          <w:p w14:paraId="6497F5BF">
            <w:pPr>
              <w:pStyle w:val="110"/>
              <w:keepNext w:val="0"/>
              <w:keepLines w:val="0"/>
              <w:pageBreakBefore w:val="0"/>
              <w:widowControl w:val="0"/>
              <w:kinsoku/>
              <w:wordWrap w:val="0"/>
              <w:overflowPunct/>
              <w:topLinePunct w:val="0"/>
              <w:autoSpaceDE/>
              <w:autoSpaceDN/>
              <w:bidi w:val="0"/>
              <w:adjustRightInd/>
              <w:snapToGrid w:val="0"/>
              <w:spacing w:line="288"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要求方法可行、措施具体、针对性强。</w:t>
            </w:r>
          </w:p>
        </w:tc>
      </w:tr>
      <w:tr w14:paraId="2B2ACF7B">
        <w:tblPrEx>
          <w:tblCellMar>
            <w:top w:w="0" w:type="dxa"/>
            <w:left w:w="108" w:type="dxa"/>
            <w:bottom w:w="0" w:type="dxa"/>
            <w:right w:w="108" w:type="dxa"/>
          </w:tblCellMar>
        </w:tblPrEx>
        <w:trPr>
          <w:trHeight w:val="457" w:hRule="atLeast"/>
          <w:jc w:val="center"/>
        </w:trPr>
        <w:tc>
          <w:tcPr>
            <w:tcW w:w="1370" w:type="dxa"/>
            <w:tcBorders>
              <w:top w:val="single" w:color="000000" w:sz="4" w:space="0"/>
              <w:left w:val="single" w:color="000000" w:sz="4" w:space="0"/>
              <w:bottom w:val="single" w:color="000000" w:sz="4" w:space="0"/>
              <w:right w:val="single" w:color="000000" w:sz="4" w:space="0"/>
            </w:tcBorders>
            <w:noWrap w:val="0"/>
            <w:vAlign w:val="center"/>
          </w:tcPr>
          <w:p w14:paraId="0E528CA0">
            <w:pPr>
              <w:pStyle w:val="98"/>
              <w:keepNext w:val="0"/>
              <w:keepLines w:val="0"/>
              <w:pageBreakBefore w:val="0"/>
              <w:widowControl w:val="0"/>
              <w:kinsoku/>
              <w:wordWrap w:val="0"/>
              <w:overflowPunct/>
              <w:topLinePunct w:val="0"/>
              <w:autoSpaceDE/>
              <w:autoSpaceDN/>
              <w:bidi w:val="0"/>
              <w:adjustRightInd/>
              <w:snapToGrid w:val="0"/>
              <w:spacing w:line="288"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合理化建议</w:t>
            </w:r>
          </w:p>
          <w:p w14:paraId="6CEE714D">
            <w:pPr>
              <w:pStyle w:val="126"/>
              <w:keepNext w:val="0"/>
              <w:keepLines w:val="0"/>
              <w:pageBreakBefore w:val="0"/>
              <w:widowControl w:val="0"/>
              <w:kinsoku/>
              <w:wordWrap w:val="0"/>
              <w:overflowPunct/>
              <w:topLinePunct w:val="0"/>
              <w:autoSpaceDE/>
              <w:autoSpaceDN/>
              <w:bidi w:val="0"/>
              <w:adjustRightInd/>
              <w:snapToGrid w:val="0"/>
              <w:spacing w:line="288"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lang w:val="en-US" w:eastAsia="zh-CN"/>
              </w:rPr>
              <w:t>2</w:t>
            </w:r>
            <w:r>
              <w:rPr>
                <w:rFonts w:hint="eastAsia" w:ascii="宋体" w:hAnsi="宋体" w:eastAsia="宋体" w:cs="宋体"/>
                <w:color w:val="auto"/>
                <w:kern w:val="0"/>
                <w:sz w:val="24"/>
                <w:szCs w:val="24"/>
                <w:highlight w:val="none"/>
              </w:rPr>
              <w:t>分）</w:t>
            </w:r>
          </w:p>
        </w:tc>
        <w:tc>
          <w:tcPr>
            <w:tcW w:w="4176" w:type="dxa"/>
            <w:tcBorders>
              <w:top w:val="single" w:color="000000" w:sz="4" w:space="0"/>
              <w:left w:val="single" w:color="000000" w:sz="4" w:space="0"/>
              <w:bottom w:val="single" w:color="000000" w:sz="4" w:space="0"/>
              <w:right w:val="single" w:color="000000" w:sz="4" w:space="0"/>
            </w:tcBorders>
            <w:noWrap w:val="0"/>
            <w:vAlign w:val="center"/>
          </w:tcPr>
          <w:p w14:paraId="4BD6133C">
            <w:pPr>
              <w:pStyle w:val="110"/>
              <w:keepNext w:val="0"/>
              <w:keepLines w:val="0"/>
              <w:pageBreakBefore w:val="0"/>
              <w:widowControl w:val="0"/>
              <w:kinsoku/>
              <w:wordWrap w:val="0"/>
              <w:overflowPunct/>
              <w:topLinePunct w:val="0"/>
              <w:autoSpaceDE/>
              <w:autoSpaceDN/>
              <w:bidi w:val="0"/>
              <w:adjustRightInd/>
              <w:snapToGrid w:val="0"/>
              <w:spacing w:line="288"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【优】得该项因素分的90%～100%（含90%）；</w:t>
            </w:r>
          </w:p>
          <w:p w14:paraId="2BDFDE4E">
            <w:pPr>
              <w:pStyle w:val="110"/>
              <w:keepNext w:val="0"/>
              <w:keepLines w:val="0"/>
              <w:pageBreakBefore w:val="0"/>
              <w:widowControl w:val="0"/>
              <w:kinsoku/>
              <w:wordWrap w:val="0"/>
              <w:overflowPunct/>
              <w:topLinePunct w:val="0"/>
              <w:autoSpaceDE/>
              <w:autoSpaceDN/>
              <w:bidi w:val="0"/>
              <w:adjustRightInd/>
              <w:snapToGrid w:val="0"/>
              <w:spacing w:line="288"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【良】得该项因素分的80%～90%（含80%）；</w:t>
            </w:r>
          </w:p>
          <w:p w14:paraId="213E26B1">
            <w:pPr>
              <w:pStyle w:val="110"/>
              <w:keepNext w:val="0"/>
              <w:keepLines w:val="0"/>
              <w:pageBreakBefore w:val="0"/>
              <w:widowControl w:val="0"/>
              <w:kinsoku/>
              <w:wordWrap w:val="0"/>
              <w:overflowPunct/>
              <w:topLinePunct w:val="0"/>
              <w:autoSpaceDE/>
              <w:autoSpaceDN/>
              <w:bidi w:val="0"/>
              <w:adjustRightInd/>
              <w:snapToGrid w:val="0"/>
              <w:spacing w:line="288"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【中】得该项因素分的70%～80%（含70%）；</w:t>
            </w:r>
          </w:p>
          <w:p w14:paraId="4CAF5DA9">
            <w:pPr>
              <w:pStyle w:val="110"/>
              <w:keepNext w:val="0"/>
              <w:keepLines w:val="0"/>
              <w:pageBreakBefore w:val="0"/>
              <w:widowControl w:val="0"/>
              <w:kinsoku/>
              <w:wordWrap w:val="0"/>
              <w:overflowPunct/>
              <w:topLinePunct w:val="0"/>
              <w:autoSpaceDE/>
              <w:autoSpaceDN/>
              <w:bidi w:val="0"/>
              <w:adjustRightInd/>
              <w:snapToGrid w:val="0"/>
              <w:spacing w:line="288"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【差】得该项因素分的60%～70%（含60%）。</w:t>
            </w:r>
          </w:p>
        </w:tc>
        <w:tc>
          <w:tcPr>
            <w:tcW w:w="4018" w:type="dxa"/>
            <w:tcBorders>
              <w:top w:val="single" w:color="000000" w:sz="4" w:space="0"/>
              <w:left w:val="single" w:color="000000" w:sz="4" w:space="0"/>
              <w:bottom w:val="single" w:color="000000" w:sz="4" w:space="0"/>
              <w:right w:val="single" w:color="000000" w:sz="4" w:space="0"/>
            </w:tcBorders>
            <w:noWrap w:val="0"/>
            <w:vAlign w:val="center"/>
          </w:tcPr>
          <w:p w14:paraId="43EB7A57">
            <w:pPr>
              <w:pStyle w:val="110"/>
              <w:keepNext w:val="0"/>
              <w:keepLines w:val="0"/>
              <w:pageBreakBefore w:val="0"/>
              <w:widowControl w:val="0"/>
              <w:kinsoku/>
              <w:wordWrap w:val="0"/>
              <w:overflowPunct/>
              <w:topLinePunct w:val="0"/>
              <w:autoSpaceDE/>
              <w:autoSpaceDN/>
              <w:bidi w:val="0"/>
              <w:adjustRightInd/>
              <w:snapToGrid w:val="0"/>
              <w:spacing w:line="288"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要求方法可行、措施具体、针对性强。</w:t>
            </w:r>
          </w:p>
        </w:tc>
      </w:tr>
      <w:tr w14:paraId="3172C220">
        <w:tblPrEx>
          <w:tblCellMar>
            <w:top w:w="0" w:type="dxa"/>
            <w:left w:w="108" w:type="dxa"/>
            <w:bottom w:w="0" w:type="dxa"/>
            <w:right w:w="108" w:type="dxa"/>
          </w:tblCellMar>
        </w:tblPrEx>
        <w:trPr>
          <w:trHeight w:val="553" w:hRule="exact"/>
          <w:jc w:val="center"/>
        </w:trPr>
        <w:tc>
          <w:tcPr>
            <w:tcW w:w="9564" w:type="dxa"/>
            <w:gridSpan w:val="3"/>
            <w:tcBorders>
              <w:top w:val="single" w:color="000000" w:sz="4" w:space="0"/>
              <w:left w:val="single" w:color="000000" w:sz="4" w:space="0"/>
              <w:bottom w:val="single" w:color="000000" w:sz="4" w:space="0"/>
              <w:right w:val="single" w:color="000000" w:sz="4" w:space="0"/>
            </w:tcBorders>
            <w:shd w:val="clear" w:color="auto" w:fill="D9D9D9"/>
            <w:noWrap w:val="0"/>
            <w:vAlign w:val="center"/>
          </w:tcPr>
          <w:p w14:paraId="265D30DF">
            <w:pPr>
              <w:pStyle w:val="110"/>
              <w:keepNext w:val="0"/>
              <w:keepLines w:val="0"/>
              <w:pageBreakBefore w:val="0"/>
              <w:widowControl w:val="0"/>
              <w:kinsoku/>
              <w:wordWrap w:val="0"/>
              <w:overflowPunct/>
              <w:topLinePunct w:val="0"/>
              <w:autoSpaceDE/>
              <w:autoSpaceDN/>
              <w:bidi w:val="0"/>
              <w:snapToGrid w:val="0"/>
              <w:spacing w:line="5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投标报价部分，满分：</w:t>
            </w:r>
            <w:r>
              <w:rPr>
                <w:rFonts w:hint="eastAsia" w:ascii="宋体" w:hAnsi="宋体" w:eastAsia="宋体" w:cs="宋体"/>
                <w:b/>
                <w:bCs/>
                <w:color w:val="auto"/>
                <w:kern w:val="0"/>
                <w:sz w:val="24"/>
                <w:szCs w:val="24"/>
                <w:highlight w:val="none"/>
                <w:u w:val="single"/>
              </w:rPr>
              <w:t>30</w:t>
            </w:r>
            <w:r>
              <w:rPr>
                <w:rFonts w:hint="eastAsia" w:ascii="宋体" w:hAnsi="宋体" w:eastAsia="宋体" w:cs="宋体"/>
                <w:b/>
                <w:bCs/>
                <w:color w:val="auto"/>
                <w:kern w:val="0"/>
                <w:sz w:val="24"/>
                <w:szCs w:val="24"/>
                <w:highlight w:val="none"/>
              </w:rPr>
              <w:t>分。</w:t>
            </w:r>
          </w:p>
        </w:tc>
      </w:tr>
      <w:tr w14:paraId="6CEA7160">
        <w:tblPrEx>
          <w:tblCellMar>
            <w:top w:w="0" w:type="dxa"/>
            <w:left w:w="108" w:type="dxa"/>
            <w:bottom w:w="0" w:type="dxa"/>
            <w:right w:w="108" w:type="dxa"/>
          </w:tblCellMar>
        </w:tblPrEx>
        <w:trPr>
          <w:trHeight w:val="491" w:hRule="exact"/>
          <w:jc w:val="center"/>
        </w:trPr>
        <w:tc>
          <w:tcPr>
            <w:tcW w:w="1370" w:type="dxa"/>
            <w:tcBorders>
              <w:top w:val="single" w:color="000000" w:sz="4" w:space="0"/>
              <w:left w:val="single" w:color="000000" w:sz="4" w:space="0"/>
              <w:bottom w:val="single" w:color="000000" w:sz="4" w:space="0"/>
              <w:right w:val="single" w:color="000000" w:sz="4" w:space="0"/>
            </w:tcBorders>
            <w:noWrap w:val="0"/>
            <w:vAlign w:val="center"/>
          </w:tcPr>
          <w:p w14:paraId="3816EF2B">
            <w:pPr>
              <w:pStyle w:val="155"/>
              <w:keepNext w:val="0"/>
              <w:keepLines w:val="0"/>
              <w:pageBreakBefore w:val="0"/>
              <w:widowControl w:val="0"/>
              <w:kinsoku/>
              <w:wordWrap w:val="0"/>
              <w:overflowPunct/>
              <w:topLinePunct w:val="0"/>
              <w:autoSpaceDE/>
              <w:autoSpaceDN/>
              <w:bidi w:val="0"/>
              <w:snapToGrid w:val="0"/>
              <w:spacing w:after="0" w:line="50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评分事项</w:t>
            </w:r>
          </w:p>
        </w:tc>
        <w:tc>
          <w:tcPr>
            <w:tcW w:w="8194" w:type="dxa"/>
            <w:gridSpan w:val="2"/>
            <w:tcBorders>
              <w:top w:val="single" w:color="000000" w:sz="4" w:space="0"/>
              <w:left w:val="single" w:color="000000" w:sz="4" w:space="0"/>
              <w:bottom w:val="single" w:color="000000" w:sz="4" w:space="0"/>
              <w:right w:val="single" w:color="000000" w:sz="4" w:space="0"/>
            </w:tcBorders>
            <w:noWrap w:val="0"/>
            <w:vAlign w:val="center"/>
          </w:tcPr>
          <w:p w14:paraId="0E376BA1">
            <w:pPr>
              <w:pStyle w:val="155"/>
              <w:keepNext w:val="0"/>
              <w:keepLines w:val="0"/>
              <w:pageBreakBefore w:val="0"/>
              <w:widowControl w:val="0"/>
              <w:kinsoku/>
              <w:wordWrap w:val="0"/>
              <w:overflowPunct/>
              <w:topLinePunct w:val="0"/>
              <w:autoSpaceDE/>
              <w:autoSpaceDN/>
              <w:bidi w:val="0"/>
              <w:snapToGrid w:val="0"/>
              <w:spacing w:after="0" w:line="50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评分方法</w:t>
            </w:r>
          </w:p>
        </w:tc>
      </w:tr>
      <w:tr w14:paraId="192C693E">
        <w:tblPrEx>
          <w:tblCellMar>
            <w:top w:w="0" w:type="dxa"/>
            <w:left w:w="108" w:type="dxa"/>
            <w:bottom w:w="0" w:type="dxa"/>
            <w:right w:w="108" w:type="dxa"/>
          </w:tblCellMar>
        </w:tblPrEx>
        <w:trPr>
          <w:trHeight w:val="5778" w:hRule="atLeast"/>
          <w:jc w:val="center"/>
        </w:trPr>
        <w:tc>
          <w:tcPr>
            <w:tcW w:w="1370" w:type="dxa"/>
            <w:tcBorders>
              <w:top w:val="single" w:color="000000" w:sz="4" w:space="0"/>
              <w:left w:val="single" w:color="000000" w:sz="4" w:space="0"/>
              <w:bottom w:val="single" w:color="000000" w:sz="4" w:space="0"/>
              <w:right w:val="single" w:color="000000" w:sz="4" w:space="0"/>
            </w:tcBorders>
            <w:noWrap w:val="0"/>
            <w:vAlign w:val="center"/>
          </w:tcPr>
          <w:p w14:paraId="5CE3B71C">
            <w:pPr>
              <w:pStyle w:val="126"/>
              <w:keepNext w:val="0"/>
              <w:keepLines w:val="0"/>
              <w:pageBreakBefore w:val="0"/>
              <w:widowControl w:val="0"/>
              <w:kinsoku/>
              <w:overflowPunct/>
              <w:topLinePunct w:val="0"/>
              <w:autoSpaceDE/>
              <w:autoSpaceDN/>
              <w:bidi w:val="0"/>
              <w:adjustRightInd w:val="0"/>
              <w:snapToGrid w:val="0"/>
              <w:spacing w:line="288"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投标报价</w:t>
            </w:r>
          </w:p>
          <w:p w14:paraId="4E6D0910">
            <w:pPr>
              <w:pStyle w:val="126"/>
              <w:keepNext w:val="0"/>
              <w:keepLines w:val="0"/>
              <w:pageBreakBefore w:val="0"/>
              <w:widowControl w:val="0"/>
              <w:kinsoku/>
              <w:overflowPunct/>
              <w:topLinePunct w:val="0"/>
              <w:autoSpaceDE/>
              <w:autoSpaceDN/>
              <w:bidi w:val="0"/>
              <w:adjustRightInd w:val="0"/>
              <w:snapToGrid w:val="0"/>
              <w:spacing w:line="288" w:lineRule="auto"/>
              <w:jc w:val="center"/>
              <w:textAlignment w:val="auto"/>
              <w:rPr>
                <w:rFonts w:hint="eastAsia" w:ascii="宋体" w:hAnsi="宋体" w:eastAsia="宋体" w:cs="宋体"/>
                <w:color w:val="auto"/>
                <w:kern w:val="0"/>
                <w:sz w:val="24"/>
                <w:szCs w:val="24"/>
                <w:highlight w:val="none"/>
              </w:rPr>
            </w:pPr>
          </w:p>
        </w:tc>
        <w:tc>
          <w:tcPr>
            <w:tcW w:w="8194" w:type="dxa"/>
            <w:gridSpan w:val="2"/>
            <w:tcBorders>
              <w:top w:val="single" w:color="000000" w:sz="4" w:space="0"/>
              <w:left w:val="single" w:color="000000" w:sz="4" w:space="0"/>
              <w:bottom w:val="single" w:color="000000" w:sz="4" w:space="0"/>
              <w:right w:val="single" w:color="000000" w:sz="4" w:space="0"/>
            </w:tcBorders>
            <w:noWrap w:val="0"/>
            <w:vAlign w:val="center"/>
          </w:tcPr>
          <w:p w14:paraId="72E9D522">
            <w:pPr>
              <w:keepNext w:val="0"/>
              <w:keepLines w:val="0"/>
              <w:pageBreakBefore w:val="0"/>
              <w:widowControl w:val="0"/>
              <w:kinsoku/>
              <w:wordWrap w:val="0"/>
              <w:overflowPunct/>
              <w:topLinePunct w:val="0"/>
              <w:autoSpaceDE/>
              <w:autoSpaceDN/>
              <w:bidi w:val="0"/>
              <w:adjustRightInd w:val="0"/>
              <w:snapToGrid w:val="0"/>
              <w:spacing w:line="288"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（1）确定最高投标限价下浮系数n：用1～21号球分别代表一个下浮系数，由评委代表从这21个号码中随机抽取</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次，每次抽取1个号码，抽出的号球不参与下次抽取。所抽取的3个号码对应下浮系数的算术平均值作为最高投标限价下浮系数n。具体号码对应的下浮系数可参考下表。</w:t>
            </w:r>
          </w:p>
          <w:tbl>
            <w:tblPr>
              <w:tblStyle w:val="31"/>
              <w:tblW w:w="7753" w:type="dxa"/>
              <w:tblInd w:w="113" w:type="dxa"/>
              <w:tblLayout w:type="fixed"/>
              <w:tblCellMar>
                <w:top w:w="0" w:type="dxa"/>
                <w:left w:w="108" w:type="dxa"/>
                <w:bottom w:w="0" w:type="dxa"/>
                <w:right w:w="108" w:type="dxa"/>
              </w:tblCellMar>
            </w:tblPr>
            <w:tblGrid>
              <w:gridCol w:w="1719"/>
              <w:gridCol w:w="862"/>
              <w:gridCol w:w="862"/>
              <w:gridCol w:w="862"/>
              <w:gridCol w:w="862"/>
              <w:gridCol w:w="862"/>
              <w:gridCol w:w="862"/>
              <w:gridCol w:w="862"/>
            </w:tblGrid>
            <w:tr w14:paraId="0D789BB8">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noWrap w:val="0"/>
                  <w:vAlign w:val="center"/>
                </w:tcPr>
                <w:p w14:paraId="0E233F94">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号球</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0BFDBED0">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1</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1F19ED50">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2</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101442E1">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3</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03F57EB0">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77C0451B">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5</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7684A0F7">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6</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60D1C897">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7</w:t>
                  </w:r>
                </w:p>
              </w:tc>
            </w:tr>
            <w:tr w14:paraId="1F4102CB">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noWrap w:val="0"/>
                  <w:vAlign w:val="center"/>
                </w:tcPr>
                <w:p w14:paraId="7E0BC0C5">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23311D74">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04F3C10B">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6B123503">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21751171">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0C82A9CA">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28FC42AB">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0EF20129">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r>
            <w:tr w14:paraId="0B5E4B3F">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noWrap w:val="0"/>
                  <w:vAlign w:val="center"/>
                </w:tcPr>
                <w:p w14:paraId="4DBFE8E2">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号球</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50958E9E">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8</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0C57D59C">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9</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3791273B">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10</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3DF4BE20">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11</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1E2ADE2F">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12</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1174127D">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13</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7B4EF1FE">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14</w:t>
                  </w:r>
                </w:p>
              </w:tc>
            </w:tr>
            <w:tr w14:paraId="7A7A6347">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noWrap w:val="0"/>
                  <w:vAlign w:val="center"/>
                </w:tcPr>
                <w:p w14:paraId="660795C1">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0904C8E6">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22387598">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620570C8">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377223B6">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7A586EA2">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2474C4E3">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52312999">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r>
            <w:tr w14:paraId="0F1F446D">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noWrap w:val="0"/>
                  <w:vAlign w:val="center"/>
                </w:tcPr>
                <w:p w14:paraId="022FB4EB">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号球</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1181CA35">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15</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1B763312">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16</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00357F1B">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17</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64AAE184">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18</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71AA304F">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19</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1D3297A3">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20</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4C35A491">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21</w:t>
                  </w:r>
                </w:p>
              </w:tc>
            </w:tr>
            <w:tr w14:paraId="4C4A0516">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noWrap w:val="0"/>
                  <w:vAlign w:val="center"/>
                </w:tcPr>
                <w:p w14:paraId="57F52C4E">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22D181FA">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3AA24CD8">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670A7D00">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34E1EB0F">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704A733B">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2.8</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61176805">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2.9</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33969A3B">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3.0</w:t>
                  </w:r>
                </w:p>
              </w:tc>
            </w:tr>
          </w:tbl>
          <w:p w14:paraId="522898BA">
            <w:pPr>
              <w:keepNext w:val="0"/>
              <w:keepLines w:val="0"/>
              <w:pageBreakBefore w:val="0"/>
              <w:widowControl w:val="0"/>
              <w:kinsoku/>
              <w:wordWrap w:val="0"/>
              <w:overflowPunct/>
              <w:topLinePunct w:val="0"/>
              <w:autoSpaceDE/>
              <w:autoSpaceDN/>
              <w:bidi w:val="0"/>
              <w:adjustRightInd w:val="0"/>
              <w:snapToGrid w:val="0"/>
              <w:spacing w:line="288"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（2）评标基准价D＝最高投标限价×（1－n）</w:t>
            </w:r>
          </w:p>
          <w:p w14:paraId="419FA6DB">
            <w:pPr>
              <w:keepNext w:val="0"/>
              <w:keepLines w:val="0"/>
              <w:pageBreakBefore w:val="0"/>
              <w:widowControl w:val="0"/>
              <w:kinsoku/>
              <w:wordWrap w:val="0"/>
              <w:overflowPunct/>
              <w:topLinePunct w:val="0"/>
              <w:autoSpaceDE/>
              <w:autoSpaceDN/>
              <w:bidi w:val="0"/>
              <w:adjustRightInd w:val="0"/>
              <w:snapToGrid w:val="0"/>
              <w:spacing w:line="288"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采用内插法计算某投标人的投标报价得分M</w:t>
            </w:r>
            <w:r>
              <w:rPr>
                <w:rFonts w:hint="eastAsia" w:ascii="宋体" w:hAnsi="宋体" w:eastAsia="宋体" w:cs="宋体"/>
                <w:snapToGrid w:val="0"/>
                <w:color w:val="auto"/>
                <w:kern w:val="0"/>
                <w:sz w:val="24"/>
                <w:szCs w:val="24"/>
                <w:highlight w:val="none"/>
                <w:vertAlign w:val="subscript"/>
              </w:rPr>
              <w:t>3</w:t>
            </w:r>
            <w:r>
              <w:rPr>
                <w:rFonts w:hint="eastAsia" w:ascii="宋体" w:hAnsi="宋体" w:eastAsia="宋体" w:cs="宋体"/>
                <w:snapToGrid w:val="0"/>
                <w:color w:val="auto"/>
                <w:kern w:val="0"/>
                <w:sz w:val="24"/>
                <w:szCs w:val="24"/>
                <w:highlight w:val="none"/>
              </w:rPr>
              <w:t>，即当投标人的投标总价等于评标基准价时得30分，每高于评标基准价一个百分点扣</w:t>
            </w:r>
            <w:r>
              <w:rPr>
                <w:rFonts w:hint="eastAsia" w:hAnsi="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 每低于评标基准价一个百分点扣</w:t>
            </w:r>
            <w:r>
              <w:rPr>
                <w:rFonts w:hint="eastAsia" w:hAnsi="宋体" w:cs="宋体"/>
                <w:snapToGrid w:val="0"/>
                <w:color w:val="auto"/>
                <w:kern w:val="0"/>
                <w:sz w:val="24"/>
                <w:szCs w:val="24"/>
                <w:highlight w:val="none"/>
                <w:lang w:val="en-US" w:eastAsia="zh-CN"/>
              </w:rPr>
              <w:t>0.3</w:t>
            </w:r>
            <w:r>
              <w:rPr>
                <w:rFonts w:hint="eastAsia" w:ascii="宋体" w:hAnsi="宋体" w:eastAsia="宋体" w:cs="宋体"/>
                <w:snapToGrid w:val="0"/>
                <w:color w:val="auto"/>
                <w:kern w:val="0"/>
                <w:sz w:val="24"/>
                <w:szCs w:val="24"/>
                <w:highlight w:val="none"/>
              </w:rPr>
              <w:t>分，扣完为止。公式如下：</w:t>
            </w:r>
          </w:p>
          <w:p w14:paraId="71925D7D">
            <w:pPr>
              <w:keepNext w:val="0"/>
              <w:keepLines w:val="0"/>
              <w:pageBreakBefore w:val="0"/>
              <w:widowControl w:val="0"/>
              <w:kinsoku/>
              <w:wordWrap w:val="0"/>
              <w:overflowPunct/>
              <w:topLinePunct w:val="0"/>
              <w:autoSpaceDE/>
              <w:autoSpaceDN/>
              <w:bidi w:val="0"/>
              <w:adjustRightInd w:val="0"/>
              <w:snapToGrid w:val="0"/>
              <w:spacing w:line="288"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M</w:t>
            </w:r>
            <w:r>
              <w:rPr>
                <w:rFonts w:hint="eastAsia" w:ascii="宋体" w:hAnsi="宋体" w:eastAsia="宋体" w:cs="宋体"/>
                <w:snapToGrid w:val="0"/>
                <w:color w:val="auto"/>
                <w:kern w:val="0"/>
                <w:sz w:val="24"/>
                <w:szCs w:val="24"/>
                <w:highlight w:val="none"/>
                <w:vertAlign w:val="subscript"/>
              </w:rPr>
              <w:t>3</w:t>
            </w:r>
            <w:r>
              <w:rPr>
                <w:rFonts w:hint="eastAsia" w:ascii="宋体" w:hAnsi="宋体" w:eastAsia="宋体" w:cs="宋体"/>
                <w:snapToGrid w:val="0"/>
                <w:color w:val="auto"/>
                <w:kern w:val="0"/>
                <w:sz w:val="24"/>
                <w:szCs w:val="24"/>
                <w:highlight w:val="none"/>
              </w:rPr>
              <w:t>＝30－（| Di－D | ÷D）×100×E</w:t>
            </w:r>
          </w:p>
          <w:p w14:paraId="36487F77">
            <w:pPr>
              <w:keepNext w:val="0"/>
              <w:keepLines w:val="0"/>
              <w:pageBreakBefore w:val="0"/>
              <w:widowControl w:val="0"/>
              <w:kinsoku/>
              <w:wordWrap w:val="0"/>
              <w:overflowPunct/>
              <w:topLinePunct w:val="0"/>
              <w:autoSpaceDE/>
              <w:autoSpaceDN/>
              <w:bidi w:val="0"/>
              <w:adjustRightInd w:val="0"/>
              <w:snapToGrid w:val="0"/>
              <w:spacing w:line="288"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hAnsi="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；当Di＜D时，E＝</w:t>
            </w:r>
            <w:r>
              <w:rPr>
                <w:rFonts w:hint="eastAsia" w:hAnsi="宋体" w:cs="宋体"/>
                <w:snapToGrid w:val="0"/>
                <w:color w:val="auto"/>
                <w:kern w:val="0"/>
                <w:sz w:val="24"/>
                <w:szCs w:val="24"/>
                <w:highlight w:val="none"/>
                <w:lang w:val="en-US" w:eastAsia="zh-CN"/>
              </w:rPr>
              <w:t>0.3</w:t>
            </w:r>
            <w:r>
              <w:rPr>
                <w:rFonts w:hint="eastAsia" w:ascii="宋体" w:hAnsi="宋体" w:eastAsia="宋体" w:cs="宋体"/>
                <w:snapToGrid w:val="0"/>
                <w:color w:val="auto"/>
                <w:kern w:val="0"/>
                <w:sz w:val="24"/>
                <w:szCs w:val="24"/>
                <w:highlight w:val="none"/>
              </w:rPr>
              <w:t>。</w:t>
            </w:r>
          </w:p>
          <w:p w14:paraId="7CB978CB">
            <w:pPr>
              <w:keepNext w:val="0"/>
              <w:keepLines w:val="0"/>
              <w:pageBreakBefore w:val="0"/>
              <w:widowControl w:val="0"/>
              <w:kinsoku/>
              <w:wordWrap w:val="0"/>
              <w:overflowPunct/>
              <w:topLinePunct w:val="0"/>
              <w:autoSpaceDE/>
              <w:autoSpaceDN/>
              <w:bidi w:val="0"/>
              <w:adjustRightInd w:val="0"/>
              <w:snapToGrid w:val="0"/>
              <w:spacing w:line="288"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式中：</w:t>
            </w:r>
            <w:r>
              <w:rPr>
                <w:rFonts w:hint="eastAsia" w:ascii="宋体" w:hAnsi="宋体" w:eastAsia="宋体" w:cs="宋体"/>
                <w:snapToGrid w:val="0"/>
                <w:color w:val="auto"/>
                <w:kern w:val="0"/>
                <w:sz w:val="24"/>
                <w:szCs w:val="24"/>
                <w:highlight w:val="none"/>
              </w:rPr>
              <w:t>M</w:t>
            </w:r>
            <w:r>
              <w:rPr>
                <w:rFonts w:hint="eastAsia" w:ascii="宋体" w:hAnsi="宋体" w:eastAsia="宋体" w:cs="宋体"/>
                <w:snapToGrid w:val="0"/>
                <w:color w:val="auto"/>
                <w:kern w:val="0"/>
                <w:sz w:val="24"/>
                <w:szCs w:val="24"/>
                <w:highlight w:val="none"/>
                <w:vertAlign w:val="subscript"/>
              </w:rPr>
              <w:t>3</w:t>
            </w:r>
            <w:r>
              <w:rPr>
                <w:rFonts w:hint="eastAsia" w:ascii="宋体" w:hAnsi="宋体" w:eastAsia="宋体" w:cs="宋体"/>
                <w:color w:val="auto"/>
                <w:sz w:val="24"/>
                <w:szCs w:val="24"/>
                <w:highlight w:val="none"/>
              </w:rPr>
              <w:t xml:space="preserve">=经济部分得分，保留小数点后两位。 </w:t>
            </w:r>
          </w:p>
        </w:tc>
      </w:tr>
    </w:tbl>
    <w:p w14:paraId="5A884232">
      <w:pPr>
        <w:wordWrap w:val="0"/>
        <w:adjustRightInd w:val="0"/>
        <w:snapToGrid w:val="0"/>
        <w:spacing w:line="440" w:lineRule="exact"/>
        <w:ind w:firstLine="480" w:firstLineChars="20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注：评分如出现小数点，则保留小数点后两位，第三位四舍五入。</w:t>
      </w:r>
    </w:p>
    <w:p w14:paraId="4D5E792C">
      <w:pPr>
        <w:rPr>
          <w:rFonts w:hint="eastAsia" w:hAnsi="宋体" w:cs="宋体"/>
          <w:b/>
          <w:bCs/>
          <w:snapToGrid w:val="0"/>
          <w:color w:val="auto"/>
          <w:kern w:val="0"/>
          <w:sz w:val="28"/>
          <w:szCs w:val="28"/>
          <w:highlight w:val="none"/>
        </w:rPr>
      </w:pPr>
      <w:r>
        <w:rPr>
          <w:rFonts w:hint="eastAsia" w:hAnsi="宋体" w:cs="宋体"/>
          <w:b/>
          <w:bCs/>
          <w:snapToGrid w:val="0"/>
          <w:color w:val="auto"/>
          <w:kern w:val="0"/>
          <w:sz w:val="28"/>
          <w:szCs w:val="28"/>
          <w:highlight w:val="none"/>
        </w:rPr>
        <w:br w:type="page"/>
      </w:r>
    </w:p>
    <w:p w14:paraId="42B2D1BE">
      <w:pPr>
        <w:wordWrap w:val="0"/>
        <w:adjustRightInd w:val="0"/>
        <w:snapToGrid w:val="0"/>
        <w:spacing w:after="240" w:afterLines="100" w:line="440" w:lineRule="exact"/>
        <w:jc w:val="center"/>
        <w:rPr>
          <w:rFonts w:hAnsi="宋体" w:cs="宋体"/>
          <w:b/>
          <w:bCs/>
          <w:snapToGrid w:val="0"/>
          <w:color w:val="auto"/>
          <w:kern w:val="0"/>
          <w:sz w:val="28"/>
          <w:szCs w:val="28"/>
          <w:highlight w:val="none"/>
        </w:rPr>
      </w:pPr>
      <w:r>
        <w:rPr>
          <w:rFonts w:hint="eastAsia" w:hAnsi="宋体" w:cs="宋体"/>
          <w:b/>
          <w:bCs/>
          <w:snapToGrid w:val="0"/>
          <w:color w:val="auto"/>
          <w:kern w:val="0"/>
          <w:sz w:val="28"/>
          <w:szCs w:val="28"/>
          <w:highlight w:val="none"/>
        </w:rPr>
        <w:t>表2 项目监理机构其他人员需求表</w:t>
      </w:r>
    </w:p>
    <w:tbl>
      <w:tblPr>
        <w:tblStyle w:val="31"/>
        <w:tblW w:w="9315" w:type="dxa"/>
        <w:tblInd w:w="32" w:type="dxa"/>
        <w:tblLayout w:type="autofit"/>
        <w:tblCellMar>
          <w:top w:w="0" w:type="dxa"/>
          <w:left w:w="108" w:type="dxa"/>
          <w:bottom w:w="0" w:type="dxa"/>
          <w:right w:w="108" w:type="dxa"/>
        </w:tblCellMar>
      </w:tblPr>
      <w:tblGrid>
        <w:gridCol w:w="1132"/>
        <w:gridCol w:w="1937"/>
        <w:gridCol w:w="1012"/>
        <w:gridCol w:w="5234"/>
      </w:tblGrid>
      <w:tr w14:paraId="207A5B3E">
        <w:tblPrEx>
          <w:tblCellMar>
            <w:top w:w="0" w:type="dxa"/>
            <w:left w:w="108" w:type="dxa"/>
            <w:bottom w:w="0" w:type="dxa"/>
            <w:right w:w="108" w:type="dxa"/>
          </w:tblCellMar>
        </w:tblPrEx>
        <w:trPr>
          <w:trHeight w:val="645" w:hRule="atLeast"/>
        </w:trPr>
        <w:tc>
          <w:tcPr>
            <w:tcW w:w="9315" w:type="dxa"/>
            <w:gridSpan w:val="4"/>
            <w:tcBorders>
              <w:top w:val="single" w:color="auto" w:sz="8" w:space="0"/>
              <w:left w:val="single" w:color="auto" w:sz="8" w:space="0"/>
              <w:bottom w:val="nil"/>
              <w:right w:val="single" w:color="000000" w:sz="8" w:space="0"/>
            </w:tcBorders>
            <w:vAlign w:val="center"/>
          </w:tcPr>
          <w:p w14:paraId="2AC7F590">
            <w:pPr>
              <w:widowControl/>
              <w:spacing w:line="240" w:lineRule="auto"/>
              <w:jc w:val="left"/>
              <w:rPr>
                <w:rFonts w:hAnsi="宋体" w:cs="宋体"/>
                <w:b/>
                <w:bCs/>
                <w:color w:val="auto"/>
                <w:kern w:val="0"/>
                <w:szCs w:val="24"/>
                <w:highlight w:val="none"/>
              </w:rPr>
            </w:pPr>
            <w:r>
              <w:rPr>
                <w:rFonts w:hint="eastAsia" w:hAnsi="宋体" w:cs="宋体"/>
                <w:b/>
                <w:bCs/>
                <w:color w:val="auto"/>
                <w:kern w:val="0"/>
                <w:szCs w:val="24"/>
                <w:highlight w:val="none"/>
              </w:rPr>
              <w:t>监理人员（除总监理工程师外）：共</w:t>
            </w:r>
            <w:r>
              <w:rPr>
                <w:rFonts w:hint="eastAsia" w:hAnsi="宋体" w:cs="宋体"/>
                <w:b/>
                <w:bCs/>
                <w:color w:val="auto"/>
                <w:kern w:val="0"/>
                <w:szCs w:val="24"/>
                <w:highlight w:val="none"/>
                <w:u w:val="single"/>
                <w:lang w:val="en-US" w:eastAsia="zh-CN"/>
              </w:rPr>
              <w:t>3</w:t>
            </w:r>
            <w:r>
              <w:rPr>
                <w:rFonts w:hint="eastAsia" w:hAnsi="宋体" w:cs="宋体"/>
                <w:b/>
                <w:bCs/>
                <w:color w:val="auto"/>
                <w:kern w:val="0"/>
                <w:szCs w:val="24"/>
                <w:highlight w:val="none"/>
              </w:rPr>
              <w:t>人</w:t>
            </w:r>
          </w:p>
        </w:tc>
      </w:tr>
      <w:tr w14:paraId="6DE02C40">
        <w:tblPrEx>
          <w:tblCellMar>
            <w:top w:w="0" w:type="dxa"/>
            <w:left w:w="108" w:type="dxa"/>
            <w:bottom w:w="0" w:type="dxa"/>
            <w:right w:w="108" w:type="dxa"/>
          </w:tblCellMar>
        </w:tblPrEx>
        <w:trPr>
          <w:trHeight w:val="681" w:hRule="atLeast"/>
        </w:trPr>
        <w:tc>
          <w:tcPr>
            <w:tcW w:w="1132" w:type="dxa"/>
            <w:tcBorders>
              <w:top w:val="single" w:color="auto" w:sz="4" w:space="0"/>
              <w:left w:val="single" w:color="auto" w:sz="4" w:space="0"/>
              <w:bottom w:val="single" w:color="auto" w:sz="4" w:space="0"/>
              <w:right w:val="single" w:color="auto" w:sz="4" w:space="0"/>
            </w:tcBorders>
            <w:vAlign w:val="center"/>
          </w:tcPr>
          <w:p w14:paraId="0E5F078E">
            <w:pPr>
              <w:jc w:val="center"/>
              <w:rPr>
                <w:color w:val="auto"/>
                <w:highlight w:val="none"/>
              </w:rPr>
            </w:pPr>
            <w:r>
              <w:rPr>
                <w:rFonts w:hint="eastAsia"/>
                <w:color w:val="auto"/>
                <w:highlight w:val="none"/>
              </w:rPr>
              <w:t>职务</w:t>
            </w:r>
          </w:p>
        </w:tc>
        <w:tc>
          <w:tcPr>
            <w:tcW w:w="1937" w:type="dxa"/>
            <w:tcBorders>
              <w:top w:val="single" w:color="auto" w:sz="4" w:space="0"/>
              <w:left w:val="single" w:color="auto" w:sz="4" w:space="0"/>
              <w:bottom w:val="single" w:color="auto" w:sz="4" w:space="0"/>
              <w:right w:val="single" w:color="auto" w:sz="4" w:space="0"/>
            </w:tcBorders>
            <w:vAlign w:val="center"/>
          </w:tcPr>
          <w:p w14:paraId="54C12C69">
            <w:pPr>
              <w:jc w:val="center"/>
              <w:rPr>
                <w:color w:val="auto"/>
                <w:highlight w:val="none"/>
              </w:rPr>
            </w:pPr>
            <w:r>
              <w:rPr>
                <w:rFonts w:hint="eastAsia"/>
                <w:color w:val="auto"/>
                <w:highlight w:val="none"/>
              </w:rPr>
              <w:t>专业要求</w:t>
            </w:r>
          </w:p>
        </w:tc>
        <w:tc>
          <w:tcPr>
            <w:tcW w:w="1012" w:type="dxa"/>
            <w:tcBorders>
              <w:top w:val="single" w:color="auto" w:sz="4" w:space="0"/>
              <w:left w:val="nil"/>
              <w:bottom w:val="single" w:color="auto" w:sz="4" w:space="0"/>
              <w:right w:val="single" w:color="auto" w:sz="4" w:space="0"/>
            </w:tcBorders>
            <w:vAlign w:val="center"/>
          </w:tcPr>
          <w:p w14:paraId="29E69088">
            <w:pPr>
              <w:jc w:val="center"/>
              <w:rPr>
                <w:color w:val="auto"/>
                <w:highlight w:val="none"/>
              </w:rPr>
            </w:pPr>
            <w:r>
              <w:rPr>
                <w:rFonts w:hint="eastAsia"/>
                <w:color w:val="auto"/>
                <w:highlight w:val="none"/>
              </w:rPr>
              <w:t>数量</w:t>
            </w:r>
          </w:p>
          <w:p w14:paraId="00DA76EC">
            <w:pPr>
              <w:jc w:val="center"/>
              <w:rPr>
                <w:color w:val="auto"/>
                <w:highlight w:val="none"/>
              </w:rPr>
            </w:pPr>
            <w:r>
              <w:rPr>
                <w:rFonts w:hint="eastAsia"/>
                <w:color w:val="auto"/>
                <w:highlight w:val="none"/>
              </w:rPr>
              <w:t>要求</w:t>
            </w:r>
          </w:p>
        </w:tc>
        <w:tc>
          <w:tcPr>
            <w:tcW w:w="5234" w:type="dxa"/>
            <w:tcBorders>
              <w:top w:val="single" w:color="auto" w:sz="4" w:space="0"/>
              <w:left w:val="single" w:color="auto" w:sz="4" w:space="0"/>
              <w:bottom w:val="single" w:color="auto" w:sz="4" w:space="0"/>
              <w:right w:val="single" w:color="auto" w:sz="4" w:space="0"/>
            </w:tcBorders>
            <w:vAlign w:val="center"/>
          </w:tcPr>
          <w:p w14:paraId="3AE81202">
            <w:pPr>
              <w:jc w:val="center"/>
              <w:rPr>
                <w:color w:val="auto"/>
                <w:highlight w:val="none"/>
              </w:rPr>
            </w:pPr>
            <w:r>
              <w:rPr>
                <w:rFonts w:hint="eastAsia"/>
                <w:color w:val="auto"/>
                <w:highlight w:val="none"/>
              </w:rPr>
              <w:t>持证要求</w:t>
            </w:r>
          </w:p>
        </w:tc>
      </w:tr>
      <w:tr w14:paraId="5FF3AD35">
        <w:tblPrEx>
          <w:tblCellMar>
            <w:top w:w="0" w:type="dxa"/>
            <w:left w:w="108" w:type="dxa"/>
            <w:bottom w:w="0" w:type="dxa"/>
            <w:right w:w="108" w:type="dxa"/>
          </w:tblCellMar>
        </w:tblPrEx>
        <w:trPr>
          <w:trHeight w:val="4272" w:hRule="atLeast"/>
        </w:trPr>
        <w:tc>
          <w:tcPr>
            <w:tcW w:w="1132" w:type="dxa"/>
            <w:tcBorders>
              <w:top w:val="single" w:color="auto" w:sz="4" w:space="0"/>
              <w:left w:val="single" w:color="auto" w:sz="4" w:space="0"/>
              <w:right w:val="single" w:color="auto" w:sz="4" w:space="0"/>
            </w:tcBorders>
            <w:vAlign w:val="center"/>
          </w:tcPr>
          <w:p w14:paraId="576B524F">
            <w:pPr>
              <w:widowControl/>
              <w:spacing w:line="440" w:lineRule="exact"/>
              <w:jc w:val="center"/>
              <w:rPr>
                <w:color w:val="auto"/>
                <w:highlight w:val="none"/>
              </w:rPr>
            </w:pPr>
            <w:r>
              <w:rPr>
                <w:rFonts w:hint="eastAsia"/>
                <w:color w:val="auto"/>
                <w:highlight w:val="none"/>
              </w:rPr>
              <w:t>专业监理工程师</w:t>
            </w:r>
          </w:p>
        </w:tc>
        <w:tc>
          <w:tcPr>
            <w:tcW w:w="1937" w:type="dxa"/>
            <w:tcBorders>
              <w:top w:val="single" w:color="auto" w:sz="4" w:space="0"/>
              <w:left w:val="single" w:color="auto" w:sz="4" w:space="0"/>
              <w:right w:val="single" w:color="auto" w:sz="4" w:space="0"/>
            </w:tcBorders>
            <w:vAlign w:val="center"/>
          </w:tcPr>
          <w:p w14:paraId="0C129668">
            <w:pPr>
              <w:widowControl/>
              <w:spacing w:line="360" w:lineRule="auto"/>
              <w:jc w:val="center"/>
              <w:rPr>
                <w:rFonts w:hint="eastAsia" w:eastAsia="宋体"/>
                <w:color w:val="auto"/>
                <w:highlight w:val="none"/>
                <w:lang w:val="en-US" w:eastAsia="zh-CN"/>
              </w:rPr>
            </w:pPr>
            <w:r>
              <w:rPr>
                <w:rFonts w:hint="eastAsia"/>
                <w:color w:val="auto"/>
                <w:highlight w:val="none"/>
              </w:rPr>
              <w:t>市政公用工程专业</w:t>
            </w:r>
          </w:p>
        </w:tc>
        <w:tc>
          <w:tcPr>
            <w:tcW w:w="1012" w:type="dxa"/>
            <w:tcBorders>
              <w:top w:val="single" w:color="auto" w:sz="4" w:space="0"/>
              <w:left w:val="nil"/>
              <w:bottom w:val="single" w:color="auto" w:sz="4" w:space="0"/>
              <w:right w:val="single" w:color="auto" w:sz="4" w:space="0"/>
            </w:tcBorders>
            <w:vAlign w:val="center"/>
          </w:tcPr>
          <w:p w14:paraId="2E19DC76">
            <w:pPr>
              <w:widowControl/>
              <w:spacing w:line="240" w:lineRule="auto"/>
              <w:jc w:val="center"/>
              <w:rPr>
                <w:color w:val="auto"/>
                <w:highlight w:val="none"/>
              </w:rPr>
            </w:pPr>
            <w:r>
              <w:rPr>
                <w:rFonts w:hint="eastAsia"/>
                <w:color w:val="auto"/>
                <w:highlight w:val="none"/>
                <w:lang w:val="en-US" w:eastAsia="zh-CN"/>
              </w:rPr>
              <w:t>2</w:t>
            </w:r>
          </w:p>
        </w:tc>
        <w:tc>
          <w:tcPr>
            <w:tcW w:w="5234" w:type="dxa"/>
            <w:tcBorders>
              <w:top w:val="single" w:color="auto" w:sz="4" w:space="0"/>
              <w:left w:val="single" w:color="auto" w:sz="4" w:space="0"/>
              <w:right w:val="single" w:color="auto" w:sz="4" w:space="0"/>
            </w:tcBorders>
            <w:vAlign w:val="center"/>
          </w:tcPr>
          <w:p w14:paraId="243F9D7B">
            <w:pPr>
              <w:keepNext w:val="0"/>
              <w:keepLines w:val="0"/>
              <w:pageBreakBefore w:val="0"/>
              <w:widowControl/>
              <w:kinsoku/>
              <w:wordWrap/>
              <w:overflowPunct/>
              <w:topLinePunct w:val="0"/>
              <w:autoSpaceDE/>
              <w:autoSpaceDN/>
              <w:bidi w:val="0"/>
              <w:adjustRightInd/>
              <w:snapToGrid/>
              <w:spacing w:line="460" w:lineRule="exact"/>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专业监理工程师符合以下3种情形之一均可：</w:t>
            </w:r>
          </w:p>
          <w:p w14:paraId="23CF2EF2">
            <w:pPr>
              <w:keepNext w:val="0"/>
              <w:keepLines w:val="0"/>
              <w:pageBreakBefore w:val="0"/>
              <w:widowControl/>
              <w:kinsoku/>
              <w:wordWrap/>
              <w:overflowPunct/>
              <w:topLinePunct w:val="0"/>
              <w:autoSpaceDE/>
              <w:autoSpaceDN/>
              <w:bidi w:val="0"/>
              <w:adjustRightInd/>
              <w:snapToGrid/>
              <w:spacing w:line="460" w:lineRule="exact"/>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1．具备所需专业注册监理工程师执业资格，持有效的注册证书；</w:t>
            </w:r>
          </w:p>
          <w:p w14:paraId="11E3936D">
            <w:pPr>
              <w:keepNext w:val="0"/>
              <w:keepLines w:val="0"/>
              <w:pageBreakBefore w:val="0"/>
              <w:widowControl/>
              <w:kinsoku/>
              <w:wordWrap/>
              <w:overflowPunct/>
              <w:topLinePunct w:val="0"/>
              <w:autoSpaceDE/>
              <w:autoSpaceDN/>
              <w:bidi w:val="0"/>
              <w:adjustRightInd/>
              <w:snapToGrid/>
              <w:spacing w:line="460" w:lineRule="exact"/>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2．具备工程类注册执业资格，并经监理业务培训。持有效的注册证书、省级建设行政主管部门或其授权的组织（机构）颁发的岗位证书；</w:t>
            </w:r>
          </w:p>
          <w:p w14:paraId="4A9A46A2">
            <w:pPr>
              <w:keepNext w:val="0"/>
              <w:keepLines w:val="0"/>
              <w:pageBreakBefore w:val="0"/>
              <w:widowControl/>
              <w:kinsoku/>
              <w:wordWrap/>
              <w:overflowPunct/>
              <w:topLinePunct w:val="0"/>
              <w:autoSpaceDE/>
              <w:autoSpaceDN/>
              <w:bidi w:val="0"/>
              <w:adjustRightInd/>
              <w:snapToGrid/>
              <w:spacing w:line="460" w:lineRule="exact"/>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3．具备中级及以上专业技术职称，并经监理业务培训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持有效的职称证书、省级建设行政主管部门或其授权的组织（机构）颁发的岗位证书。</w:t>
            </w:r>
          </w:p>
          <w:p w14:paraId="0B67FE8D">
            <w:pPr>
              <w:widowControl/>
              <w:spacing w:line="440" w:lineRule="exact"/>
              <w:ind w:firstLine="480" w:firstLineChars="200"/>
              <w:rPr>
                <w:rFonts w:hAnsi="宋体" w:cs="宋体"/>
                <w:color w:val="auto"/>
                <w:kern w:val="0"/>
                <w:szCs w:val="24"/>
                <w:highlight w:val="none"/>
              </w:rPr>
            </w:pPr>
            <w:r>
              <w:rPr>
                <w:rFonts w:hint="eastAsia" w:ascii="宋体" w:hAnsi="宋体" w:eastAsia="宋体" w:cs="宋体"/>
                <w:color w:val="auto"/>
                <w:kern w:val="0"/>
                <w:sz w:val="24"/>
                <w:szCs w:val="24"/>
                <w:highlight w:val="none"/>
              </w:rPr>
              <w:t>注：专业类别以注册证书或专业监理工程师证书或职称证书或毕业证所列明的专业为准。</w:t>
            </w:r>
          </w:p>
        </w:tc>
      </w:tr>
      <w:tr w14:paraId="52FED773">
        <w:tblPrEx>
          <w:tblCellMar>
            <w:top w:w="0" w:type="dxa"/>
            <w:left w:w="108" w:type="dxa"/>
            <w:bottom w:w="0" w:type="dxa"/>
            <w:right w:w="108" w:type="dxa"/>
          </w:tblCellMar>
        </w:tblPrEx>
        <w:trPr>
          <w:trHeight w:val="1110" w:hRule="atLeast"/>
        </w:trPr>
        <w:tc>
          <w:tcPr>
            <w:tcW w:w="1132" w:type="dxa"/>
            <w:tcBorders>
              <w:top w:val="single" w:color="auto" w:sz="4" w:space="0"/>
              <w:left w:val="single" w:color="auto" w:sz="4" w:space="0"/>
              <w:bottom w:val="single" w:color="auto" w:sz="4" w:space="0"/>
              <w:right w:val="single" w:color="auto" w:sz="4" w:space="0"/>
            </w:tcBorders>
            <w:vAlign w:val="center"/>
          </w:tcPr>
          <w:p w14:paraId="33AA7C8C">
            <w:pPr>
              <w:pStyle w:val="88"/>
              <w:wordWrap w:val="0"/>
              <w:adjustRightInd w:val="0"/>
              <w:snapToGrid w:val="0"/>
              <w:spacing w:line="360" w:lineRule="exact"/>
              <w:jc w:val="center"/>
              <w:rPr>
                <w:rFonts w:hint="eastAsia"/>
                <w:color w:val="auto"/>
                <w:highlight w:val="none"/>
              </w:rPr>
            </w:pPr>
            <w:r>
              <w:rPr>
                <w:rFonts w:hint="eastAsia" w:ascii="宋体" w:hAnsi="宋体" w:cs="宋体"/>
                <w:snapToGrid w:val="0"/>
                <w:color w:val="auto"/>
                <w:kern w:val="0"/>
                <w:sz w:val="24"/>
                <w:highlight w:val="none"/>
              </w:rPr>
              <w:t>监理员</w:t>
            </w:r>
          </w:p>
        </w:tc>
        <w:tc>
          <w:tcPr>
            <w:tcW w:w="1937" w:type="dxa"/>
            <w:tcBorders>
              <w:top w:val="single" w:color="auto" w:sz="4" w:space="0"/>
              <w:left w:val="single" w:color="auto" w:sz="4" w:space="0"/>
              <w:bottom w:val="single" w:color="auto" w:sz="4" w:space="0"/>
              <w:right w:val="single" w:color="auto" w:sz="4" w:space="0"/>
            </w:tcBorders>
            <w:vAlign w:val="center"/>
          </w:tcPr>
          <w:p w14:paraId="2F7F8E07">
            <w:pPr>
              <w:pStyle w:val="88"/>
              <w:wordWrap w:val="0"/>
              <w:adjustRightInd w:val="0"/>
              <w:snapToGrid w:val="0"/>
              <w:spacing w:line="360" w:lineRule="exact"/>
              <w:jc w:val="center"/>
              <w:rPr>
                <w:rFonts w:hint="eastAsia"/>
                <w:color w:val="auto"/>
                <w:highlight w:val="none"/>
              </w:rPr>
            </w:pPr>
            <w:r>
              <w:rPr>
                <w:rFonts w:hint="eastAsia" w:ascii="宋体" w:hAnsi="宋体" w:cs="宋体"/>
                <w:snapToGrid w:val="0"/>
                <w:color w:val="auto"/>
                <w:kern w:val="0"/>
                <w:sz w:val="24"/>
                <w:highlight w:val="none"/>
              </w:rPr>
              <w:t>监理员岗位证书</w:t>
            </w:r>
          </w:p>
        </w:tc>
        <w:tc>
          <w:tcPr>
            <w:tcW w:w="1012" w:type="dxa"/>
            <w:tcBorders>
              <w:top w:val="single" w:color="auto" w:sz="4" w:space="0"/>
              <w:left w:val="single" w:color="auto" w:sz="4" w:space="0"/>
              <w:bottom w:val="single" w:color="auto" w:sz="4" w:space="0"/>
              <w:right w:val="single" w:color="auto" w:sz="4" w:space="0"/>
            </w:tcBorders>
            <w:vAlign w:val="center"/>
          </w:tcPr>
          <w:p w14:paraId="1672290A">
            <w:pPr>
              <w:pStyle w:val="88"/>
              <w:wordWrap w:val="0"/>
              <w:adjustRightInd w:val="0"/>
              <w:snapToGrid w:val="0"/>
              <w:spacing w:line="360" w:lineRule="exact"/>
              <w:jc w:val="center"/>
              <w:rPr>
                <w:rFonts w:hint="eastAsia"/>
                <w:color w:val="auto"/>
                <w:highlight w:val="none"/>
                <w:lang w:val="en-US" w:eastAsia="zh-CN"/>
              </w:rPr>
            </w:pPr>
            <w:r>
              <w:rPr>
                <w:rFonts w:hint="eastAsia" w:ascii="宋体" w:hAnsi="宋体" w:cs="宋体"/>
                <w:snapToGrid w:val="0"/>
                <w:color w:val="auto"/>
                <w:kern w:val="0"/>
                <w:sz w:val="24"/>
                <w:highlight w:val="none"/>
                <w:lang w:val="en-US" w:eastAsia="zh-CN"/>
              </w:rPr>
              <w:t>1</w:t>
            </w:r>
          </w:p>
        </w:tc>
        <w:tc>
          <w:tcPr>
            <w:tcW w:w="5234" w:type="dxa"/>
            <w:tcBorders>
              <w:top w:val="single" w:color="auto" w:sz="4" w:space="0"/>
              <w:left w:val="single" w:color="auto" w:sz="4" w:space="0"/>
              <w:bottom w:val="single" w:color="auto" w:sz="4" w:space="0"/>
              <w:right w:val="single" w:color="auto" w:sz="4" w:space="0"/>
            </w:tcBorders>
            <w:vAlign w:val="center"/>
          </w:tcPr>
          <w:p w14:paraId="7DFD8B43">
            <w:pPr>
              <w:pStyle w:val="88"/>
              <w:wordWrap w:val="0"/>
              <w:adjustRightInd w:val="0"/>
              <w:snapToGrid w:val="0"/>
              <w:spacing w:line="360" w:lineRule="exact"/>
              <w:jc w:val="center"/>
              <w:rPr>
                <w:rFonts w:hint="eastAsia" w:hAnsi="宋体" w:cs="宋体"/>
                <w:color w:val="auto"/>
                <w:kern w:val="0"/>
                <w:szCs w:val="24"/>
                <w:highlight w:val="none"/>
              </w:rPr>
            </w:pPr>
            <w:r>
              <w:rPr>
                <w:rFonts w:hint="eastAsia" w:ascii="宋体" w:hAnsi="宋体" w:cs="宋体"/>
                <w:snapToGrid w:val="0"/>
                <w:color w:val="auto"/>
                <w:kern w:val="0"/>
                <w:sz w:val="24"/>
                <w:highlight w:val="none"/>
              </w:rPr>
              <w:t>经监理业务培训，持有效的省级建设行政主管部门或其授权的组织（机构）颁发的岗位证书。</w:t>
            </w:r>
          </w:p>
        </w:tc>
      </w:tr>
    </w:tbl>
    <w:p w14:paraId="3E67B8DA">
      <w:pPr>
        <w:wordWrap w:val="0"/>
        <w:adjustRightInd w:val="0"/>
        <w:snapToGrid w:val="0"/>
        <w:spacing w:line="440" w:lineRule="exact"/>
        <w:ind w:firstLine="480" w:firstLineChars="200"/>
        <w:rPr>
          <w:rFonts w:ascii="Times New Roman"/>
          <w:snapToGrid w:val="0"/>
          <w:color w:val="auto"/>
          <w:kern w:val="0"/>
          <w:highlight w:val="none"/>
        </w:rPr>
      </w:pPr>
      <w:r>
        <w:rPr>
          <w:rFonts w:hint="eastAsia" w:hAnsi="宋体" w:cs="宋体"/>
          <w:color w:val="auto"/>
          <w:kern w:val="0"/>
          <w:szCs w:val="24"/>
          <w:highlight w:val="none"/>
        </w:rPr>
        <w:t>注：</w:t>
      </w:r>
      <w:r>
        <w:rPr>
          <w:rFonts w:hint="eastAsia" w:ascii="宋体" w:hAnsi="宋体" w:eastAsia="宋体" w:cs="宋体"/>
          <w:color w:val="auto"/>
          <w:kern w:val="0"/>
          <w:sz w:val="24"/>
          <w:szCs w:val="24"/>
          <w:highlight w:val="none"/>
          <w:lang w:val="en-US" w:eastAsia="zh-CN" w:bidi="ar"/>
        </w:rPr>
        <w:t>以上人员一人一岗，不得重复。除总监理工程师外，本需求表拟委派的项目监理机构其他人员只作为综合评分的评审依据，不属于资格评审、形式评审、响应性评审的审查内容，不得作为否决投标条件。</w:t>
      </w:r>
    </w:p>
    <w:p w14:paraId="1021FFCB">
      <w:pPr>
        <w:rPr>
          <w:color w:val="auto"/>
          <w:highlight w:val="none"/>
        </w:rPr>
      </w:pPr>
    </w:p>
    <w:p w14:paraId="07D9C16A">
      <w:pPr>
        <w:adjustRightInd w:val="0"/>
        <w:snapToGrid w:val="0"/>
        <w:spacing w:line="440" w:lineRule="exact"/>
        <w:ind w:firstLine="480" w:firstLineChars="200"/>
        <w:rPr>
          <w:rFonts w:hAnsi="宋体" w:cs="宋体"/>
          <w:snapToGrid w:val="0"/>
          <w:color w:val="auto"/>
          <w:kern w:val="0"/>
          <w:highlight w:val="none"/>
        </w:rPr>
      </w:pPr>
      <w:r>
        <w:rPr>
          <w:rFonts w:hint="eastAsia" w:hAnsi="宋体" w:cs="宋体"/>
          <w:snapToGrid w:val="0"/>
          <w:color w:val="auto"/>
          <w:kern w:val="0"/>
          <w:highlight w:val="none"/>
        </w:rPr>
        <w:br w:type="page"/>
      </w:r>
    </w:p>
    <w:p w14:paraId="499742D9">
      <w:pPr>
        <w:wordWrap w:val="0"/>
        <w:adjustRightInd w:val="0"/>
        <w:snapToGrid w:val="0"/>
        <w:spacing w:line="440" w:lineRule="exact"/>
        <w:ind w:firstLine="482" w:firstLineChars="200"/>
        <w:rPr>
          <w:rFonts w:hAnsi="宋体" w:cs="宋体"/>
          <w:b/>
          <w:bCs/>
          <w:snapToGrid w:val="0"/>
          <w:color w:val="auto"/>
          <w:kern w:val="0"/>
          <w:szCs w:val="24"/>
          <w:highlight w:val="none"/>
        </w:rPr>
        <w:sectPr>
          <w:endnotePr>
            <w:numFmt w:val="decimal"/>
          </w:endnotePr>
          <w:pgSz w:w="11906" w:h="16838"/>
          <w:pgMar w:top="1417" w:right="1417" w:bottom="1417" w:left="1417" w:header="850" w:footer="992" w:gutter="0"/>
          <w:cols w:space="0" w:num="1"/>
          <w:docGrid w:linePitch="327" w:charSpace="0"/>
        </w:sectPr>
      </w:pPr>
    </w:p>
    <w:p w14:paraId="15F6EFDA">
      <w:pPr>
        <w:wordWrap w:val="0"/>
        <w:adjustRightInd w:val="0"/>
        <w:snapToGrid w:val="0"/>
        <w:spacing w:line="360" w:lineRule="auto"/>
        <w:ind w:firstLine="482" w:firstLineChars="200"/>
        <w:rPr>
          <w:rFonts w:hAnsi="宋体" w:cs="宋体"/>
          <w:snapToGrid w:val="0"/>
          <w:color w:val="auto"/>
          <w:kern w:val="0"/>
          <w:szCs w:val="24"/>
          <w:highlight w:val="none"/>
        </w:rPr>
      </w:pPr>
      <w:r>
        <w:rPr>
          <w:rFonts w:hint="eastAsia" w:hAnsi="宋体" w:cs="宋体"/>
          <w:b/>
          <w:bCs/>
          <w:snapToGrid w:val="0"/>
          <w:color w:val="auto"/>
          <w:kern w:val="0"/>
          <w:szCs w:val="24"/>
          <w:highlight w:val="none"/>
        </w:rPr>
        <w:t xml:space="preserve">15.5.2 </w:t>
      </w:r>
      <w:r>
        <w:rPr>
          <w:rFonts w:hint="eastAsia" w:hAnsi="宋体" w:cs="宋体"/>
          <w:snapToGrid w:val="0"/>
          <w:color w:val="auto"/>
          <w:kern w:val="0"/>
          <w:szCs w:val="24"/>
          <w:highlight w:val="none"/>
        </w:rPr>
        <w:t>否决投标说明</w:t>
      </w:r>
    </w:p>
    <w:p w14:paraId="4CADBCAA">
      <w:pPr>
        <w:wordWrap w:val="0"/>
        <w:adjustRightInd w:val="0"/>
        <w:snapToGrid w:val="0"/>
        <w:spacing w:line="360" w:lineRule="auto"/>
        <w:ind w:firstLine="562"/>
        <w:rPr>
          <w:rFonts w:hAnsi="宋体" w:cs="宋体"/>
          <w:snapToGrid w:val="0"/>
          <w:color w:val="auto"/>
          <w:kern w:val="0"/>
          <w:szCs w:val="24"/>
          <w:highlight w:val="none"/>
        </w:rPr>
      </w:pPr>
      <w:r>
        <w:rPr>
          <w:rFonts w:hint="eastAsia" w:hAnsi="宋体" w:cs="宋体"/>
          <w:snapToGrid w:val="0"/>
          <w:color w:val="auto"/>
          <w:kern w:val="0"/>
          <w:szCs w:val="24"/>
          <w:highlight w:val="none"/>
        </w:rPr>
        <w:t>详细评审阶段否决投标的全部条件，在本章第四节“否决投标条件”第</w:t>
      </w:r>
      <w:r>
        <w:rPr>
          <w:rFonts w:hint="eastAsia" w:hAnsi="宋体" w:cs="宋体"/>
          <w:b/>
          <w:bCs/>
          <w:snapToGrid w:val="0"/>
          <w:color w:val="auto"/>
          <w:kern w:val="0"/>
          <w:szCs w:val="24"/>
          <w:highlight w:val="none"/>
        </w:rPr>
        <w:t>4</w:t>
      </w:r>
      <w:r>
        <w:rPr>
          <w:rFonts w:hint="eastAsia" w:hAnsi="宋体" w:cs="宋体"/>
          <w:snapToGrid w:val="0"/>
          <w:color w:val="auto"/>
          <w:kern w:val="0"/>
          <w:szCs w:val="24"/>
          <w:highlight w:val="none"/>
        </w:rPr>
        <w:t>条中集中列示。投标人有其中所列任何一种情形的，由评标委员会否决其投标。经详细评审后，若所有投标均被否决，招标人应当依法重新招标。</w:t>
      </w:r>
    </w:p>
    <w:p w14:paraId="200CF558">
      <w:pPr>
        <w:wordWrap w:val="0"/>
        <w:adjustRightInd w:val="0"/>
        <w:snapToGrid w:val="0"/>
        <w:spacing w:line="360" w:lineRule="auto"/>
        <w:ind w:firstLine="482" w:firstLineChars="200"/>
        <w:rPr>
          <w:rFonts w:hAnsi="宋体" w:cs="宋体"/>
          <w:b/>
          <w:snapToGrid w:val="0"/>
          <w:color w:val="auto"/>
          <w:kern w:val="0"/>
          <w:szCs w:val="24"/>
          <w:highlight w:val="none"/>
        </w:rPr>
      </w:pPr>
      <w:r>
        <w:rPr>
          <w:rFonts w:hint="eastAsia" w:hAnsi="宋体" w:cs="宋体"/>
          <w:b/>
          <w:bCs/>
          <w:snapToGrid w:val="0"/>
          <w:color w:val="auto"/>
          <w:kern w:val="0"/>
          <w:szCs w:val="24"/>
          <w:highlight w:val="none"/>
        </w:rPr>
        <w:t>注：投标人在详细评审阶段根据评分方法提供的佐证材料，其合法性、有效性和准确性不符合要求的，有关评分因素的评分按相应评分标准处理，但不否决投标。</w:t>
      </w:r>
    </w:p>
    <w:p w14:paraId="189E4120">
      <w:pPr>
        <w:wordWrap w:val="0"/>
        <w:adjustRightInd w:val="0"/>
        <w:snapToGrid w:val="0"/>
        <w:spacing w:line="360" w:lineRule="auto"/>
        <w:ind w:firstLine="482" w:firstLineChars="200"/>
        <w:outlineLvl w:val="2"/>
        <w:rPr>
          <w:rFonts w:hAnsi="宋体" w:cs="宋体"/>
          <w:b/>
          <w:snapToGrid w:val="0"/>
          <w:color w:val="auto"/>
          <w:kern w:val="0"/>
          <w:szCs w:val="24"/>
          <w:highlight w:val="none"/>
        </w:rPr>
      </w:pPr>
      <w:bookmarkStart w:id="59" w:name="_Toc9172"/>
      <w:r>
        <w:rPr>
          <w:rFonts w:hint="eastAsia" w:hAnsi="宋体" w:cs="宋体"/>
          <w:b/>
          <w:snapToGrid w:val="0"/>
          <w:color w:val="auto"/>
          <w:kern w:val="0"/>
          <w:szCs w:val="24"/>
          <w:highlight w:val="none"/>
        </w:rPr>
        <w:t>16．推荐</w:t>
      </w:r>
      <w:r>
        <w:rPr>
          <w:rFonts w:hint="eastAsia" w:hAnsi="宋体" w:cs="宋体"/>
          <w:b/>
          <w:snapToGrid w:val="0"/>
          <w:color w:val="auto"/>
          <w:kern w:val="0"/>
          <w:szCs w:val="24"/>
          <w:highlight w:val="none"/>
          <w:lang w:val="en-US" w:eastAsia="zh-CN"/>
        </w:rPr>
        <w:t>定标</w:t>
      </w:r>
      <w:r>
        <w:rPr>
          <w:rFonts w:hint="eastAsia" w:hAnsi="宋体" w:cs="宋体"/>
          <w:b/>
          <w:snapToGrid w:val="0"/>
          <w:color w:val="auto"/>
          <w:kern w:val="0"/>
          <w:szCs w:val="24"/>
          <w:highlight w:val="none"/>
        </w:rPr>
        <w:t>候选人</w:t>
      </w:r>
      <w:bookmarkEnd w:id="59"/>
    </w:p>
    <w:p w14:paraId="523718F4">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16.1</w:t>
      </w:r>
      <w:r>
        <w:rPr>
          <w:rFonts w:hint="eastAsia" w:hAnsi="宋体" w:cs="宋体"/>
          <w:snapToGrid w:val="0"/>
          <w:color w:val="auto"/>
          <w:kern w:val="0"/>
          <w:szCs w:val="24"/>
          <w:highlight w:val="none"/>
        </w:rPr>
        <w:t>评标委员会根据招标文件规定的评分细则，对招标文件中的各评审因素进行评审、比较、打分，将得分前5名不排序</w:t>
      </w:r>
      <w:r>
        <w:rPr>
          <w:rFonts w:hint="eastAsia" w:ascii="宋体" w:hAnsi="宋体" w:eastAsia="宋体" w:cs="宋体"/>
          <w:color w:val="auto"/>
          <w:sz w:val="24"/>
          <w:szCs w:val="24"/>
          <w:highlight w:val="none"/>
        </w:rPr>
        <w:t>（按企业统一社会信用代码后4位大小排位</w:t>
      </w:r>
      <w:r>
        <w:rPr>
          <w:rFonts w:hint="eastAsia" w:ascii="宋体" w:hAnsi="宋体" w:cs="宋体"/>
          <w:snapToGrid w:val="0"/>
          <w:color w:val="auto"/>
          <w:kern w:val="0"/>
          <w:sz w:val="24"/>
          <w:szCs w:val="24"/>
          <w:highlight w:val="none"/>
          <w:lang w:eastAsia="zh-CN"/>
        </w:rPr>
        <w:t>，</w:t>
      </w:r>
      <w:r>
        <w:rPr>
          <w:rFonts w:hint="eastAsia" w:ascii="宋体" w:hAnsi="宋体" w:cs="宋体"/>
          <w:snapToGrid w:val="0"/>
          <w:color w:val="auto"/>
          <w:kern w:val="0"/>
          <w:sz w:val="24"/>
          <w:szCs w:val="24"/>
          <w:highlight w:val="none"/>
          <w:lang w:val="en-US" w:eastAsia="zh-CN"/>
        </w:rPr>
        <w:t>其中：</w:t>
      </w:r>
      <w:r>
        <w:rPr>
          <w:rFonts w:hint="eastAsia" w:hAnsi="宋体"/>
          <w:color w:val="auto"/>
          <w:sz w:val="24"/>
          <w:szCs w:val="24"/>
          <w:highlight w:val="none"/>
          <w:lang w:eastAsia="zh-CN"/>
        </w:rPr>
        <w:t>数字＜字母、字母按A→Z顺序</w:t>
      </w:r>
      <w:r>
        <w:rPr>
          <w:rFonts w:hint="eastAsia" w:ascii="宋体" w:hAnsi="宋体" w:eastAsia="宋体" w:cs="宋体"/>
          <w:color w:val="auto"/>
          <w:sz w:val="24"/>
          <w:szCs w:val="24"/>
          <w:highlight w:val="none"/>
        </w:rPr>
        <w:t>）</w:t>
      </w:r>
      <w:r>
        <w:rPr>
          <w:rFonts w:hint="eastAsia" w:hAnsi="宋体" w:cs="宋体"/>
          <w:snapToGrid w:val="0"/>
          <w:color w:val="auto"/>
          <w:kern w:val="0"/>
          <w:szCs w:val="24"/>
          <w:highlight w:val="none"/>
        </w:rPr>
        <w:t>的的投标人作为定标候选人推荐给招标人，并对每个定标候选人的优势、风险等评审情况进行说明。当投标人综合总得分相同时，以报价低为前；当投标人综合总得分相同且报价相同时，由评标委员会投票确定排前。</w:t>
      </w:r>
    </w:p>
    <w:p w14:paraId="714FCB8F">
      <w:pPr>
        <w:wordWrap w:val="0"/>
        <w:adjustRightInd w:val="0"/>
        <w:snapToGrid w:val="0"/>
        <w:spacing w:line="360" w:lineRule="auto"/>
        <w:ind w:firstLine="482" w:firstLineChars="200"/>
        <w:rPr>
          <w:rFonts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16.2</w:t>
      </w:r>
      <w:r>
        <w:rPr>
          <w:rFonts w:hint="eastAsia" w:hAnsi="宋体" w:cs="宋体"/>
          <w:snapToGrid w:val="0"/>
          <w:color w:val="auto"/>
          <w:kern w:val="0"/>
          <w:szCs w:val="24"/>
          <w:highlight w:val="none"/>
        </w:rPr>
        <w:t>定标候选人得分只作为评标委员会的推荐依据，不作为定标委员会对中标候选人排序的依据。当有效投标人数量不足5名但满足法定要求时，所有通过评审的有效投标人均应作为定标候选人。</w:t>
      </w:r>
    </w:p>
    <w:p w14:paraId="741B7D3F">
      <w:pPr>
        <w:wordWrap w:val="0"/>
        <w:adjustRightInd w:val="0"/>
        <w:snapToGrid w:val="0"/>
        <w:spacing w:line="360" w:lineRule="auto"/>
        <w:ind w:firstLine="482" w:firstLineChars="200"/>
        <w:outlineLvl w:val="2"/>
        <w:rPr>
          <w:rFonts w:hAnsi="宋体" w:cs="宋体"/>
          <w:b/>
          <w:snapToGrid w:val="0"/>
          <w:color w:val="auto"/>
          <w:kern w:val="0"/>
          <w:szCs w:val="24"/>
          <w:highlight w:val="none"/>
        </w:rPr>
      </w:pPr>
      <w:bookmarkStart w:id="60" w:name="_Toc30223"/>
      <w:r>
        <w:rPr>
          <w:rFonts w:hint="eastAsia" w:hAnsi="宋体" w:cs="宋体"/>
          <w:b/>
          <w:snapToGrid w:val="0"/>
          <w:color w:val="auto"/>
          <w:kern w:val="0"/>
          <w:szCs w:val="24"/>
          <w:highlight w:val="none"/>
        </w:rPr>
        <w:t>17．评标结果公示</w:t>
      </w:r>
      <w:bookmarkEnd w:id="60"/>
    </w:p>
    <w:p w14:paraId="57F98F1D">
      <w:pPr>
        <w:wordWrap w:val="0"/>
        <w:adjustRightInd w:val="0"/>
        <w:snapToGrid w:val="0"/>
        <w:spacing w:line="360" w:lineRule="auto"/>
        <w:ind w:firstLine="482" w:firstLineChars="200"/>
        <w:rPr>
          <w:rFonts w:hint="eastAsia" w:hAnsi="宋体" w:cs="宋体"/>
          <w:b w:val="0"/>
          <w:bCs w:val="0"/>
          <w:snapToGrid w:val="0"/>
          <w:color w:val="auto"/>
          <w:kern w:val="0"/>
          <w:szCs w:val="24"/>
          <w:highlight w:val="none"/>
        </w:rPr>
      </w:pPr>
      <w:r>
        <w:rPr>
          <w:rFonts w:hint="eastAsia" w:hAnsi="宋体" w:cs="宋体"/>
          <w:b/>
          <w:bCs/>
          <w:snapToGrid w:val="0"/>
          <w:color w:val="auto"/>
          <w:kern w:val="0"/>
          <w:szCs w:val="24"/>
          <w:highlight w:val="none"/>
          <w:lang w:val="en-US" w:eastAsia="zh-CN"/>
        </w:rPr>
        <w:t>17.1</w:t>
      </w:r>
      <w:r>
        <w:rPr>
          <w:rFonts w:hint="eastAsia" w:hAnsi="宋体" w:cs="宋体"/>
          <w:b w:val="0"/>
          <w:bCs w:val="0"/>
          <w:snapToGrid w:val="0"/>
          <w:color w:val="auto"/>
          <w:kern w:val="0"/>
          <w:szCs w:val="24"/>
          <w:highlight w:val="none"/>
        </w:rPr>
        <w:t>评标委员会按照投标人评审综合总得分由高到低的原则,向招标人推荐已明确的定标候选人数量（不标明排序）。评标委员会推荐定标候选人后，招标人应</w:t>
      </w:r>
      <w:r>
        <w:rPr>
          <w:rFonts w:hint="eastAsia" w:hAnsi="宋体" w:cs="宋体"/>
          <w:b w:val="0"/>
          <w:bCs w:val="0"/>
          <w:snapToGrid w:val="0"/>
          <w:color w:val="auto"/>
          <w:kern w:val="0"/>
          <w:szCs w:val="24"/>
          <w:highlight w:val="none"/>
          <w:lang w:val="en-US" w:eastAsia="zh-CN"/>
        </w:rPr>
        <w:t>在收到评标报告之日起3</w:t>
      </w:r>
      <w:r>
        <w:rPr>
          <w:rFonts w:hint="eastAsia" w:hAnsi="宋体" w:cs="宋体"/>
          <w:b w:val="0"/>
          <w:bCs w:val="0"/>
          <w:snapToGrid w:val="0"/>
          <w:color w:val="auto"/>
          <w:kern w:val="0"/>
          <w:szCs w:val="24"/>
          <w:highlight w:val="none"/>
        </w:rPr>
        <w:t>日内将定标候选人和评标情况在广东省招标投标监管网和全国公共资源交易平台（广东省·韶关市）建设工程交易系统上公示，公示时间不少于3日。公示主要内容包括：（1）定标候选人名称、投标报价、业绩奖项、质量、工期、拟派驻招标项目管理机构人员信息等；（2）定标候选人按照招标文件要求承诺的项目负责人姓名及相关证书名称和编号；（3）响应招标文件要求的资格能力条件；（4）提出异议的渠道和方式；（5）评标专家代码（评标专家姓名可用代码进行标示，如专家一、专家二等）及其对应的具体评标意见（含对否决投标人相关意见等）以及评标报告；（6）投标文件；（7）招标文件确认公示的其他内容。</w:t>
      </w:r>
    </w:p>
    <w:p w14:paraId="074B2CC9">
      <w:pPr>
        <w:wordWrap w:val="0"/>
        <w:adjustRightInd w:val="0"/>
        <w:snapToGrid w:val="0"/>
        <w:spacing w:line="360" w:lineRule="auto"/>
        <w:ind w:firstLine="482" w:firstLineChars="200"/>
        <w:rPr>
          <w:rFonts w:hint="eastAsia" w:hAnsi="宋体" w:cs="宋体"/>
          <w:b w:val="0"/>
          <w:bCs w:val="0"/>
          <w:snapToGrid w:val="0"/>
          <w:color w:val="auto"/>
          <w:kern w:val="0"/>
          <w:szCs w:val="24"/>
          <w:highlight w:val="none"/>
        </w:rPr>
      </w:pPr>
      <w:r>
        <w:rPr>
          <w:rFonts w:hint="eastAsia" w:hAnsi="宋体" w:cs="宋体"/>
          <w:b/>
          <w:bCs/>
          <w:snapToGrid w:val="0"/>
          <w:color w:val="auto"/>
          <w:kern w:val="0"/>
          <w:szCs w:val="24"/>
          <w:highlight w:val="none"/>
        </w:rPr>
        <w:t>1</w:t>
      </w:r>
      <w:r>
        <w:rPr>
          <w:rFonts w:hint="eastAsia" w:hAnsi="宋体" w:cs="宋体"/>
          <w:b/>
          <w:bCs/>
          <w:snapToGrid w:val="0"/>
          <w:color w:val="auto"/>
          <w:kern w:val="0"/>
          <w:szCs w:val="24"/>
          <w:highlight w:val="none"/>
          <w:lang w:val="en-US" w:eastAsia="zh-CN"/>
        </w:rPr>
        <w:t>7</w:t>
      </w:r>
      <w:r>
        <w:rPr>
          <w:rFonts w:hint="eastAsia" w:hAnsi="宋体" w:cs="宋体"/>
          <w:b/>
          <w:bCs/>
          <w:snapToGrid w:val="0"/>
          <w:color w:val="auto"/>
          <w:kern w:val="0"/>
          <w:szCs w:val="24"/>
          <w:highlight w:val="none"/>
        </w:rPr>
        <w:t>.2</w:t>
      </w:r>
      <w:r>
        <w:rPr>
          <w:rFonts w:hint="eastAsia" w:hAnsi="宋体" w:cs="宋体"/>
          <w:b w:val="0"/>
          <w:bCs w:val="0"/>
          <w:snapToGrid w:val="0"/>
          <w:color w:val="auto"/>
          <w:kern w:val="0"/>
          <w:szCs w:val="24"/>
          <w:highlight w:val="none"/>
        </w:rPr>
        <w:t>投标人对评标结果、定标候选人投标文件、评标过程有异议的，必须在定标候选人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2020〕19 号）执行。如通过交易服务平台提出异议，投标人必须上传提交异议书扫描件（作为附件），异议书格式内容按照《韶关市工程建设项目招标投标活动异议和投诉处理办法》（韶法审〔2020〕19 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64317B3C">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61CC0BF9">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58C25B64">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64649077">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00062FE3">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794C4D8B">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3AE8DB7B">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30E260DE">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04F4EC8A">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10D275D9">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605C10A6">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41592EBC">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59B28003">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6DB62438">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6106D8C0">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413DFE92">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5B3D6517">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59C7E566">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73AB629D">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05ECD380">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476E7ABA">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04742476">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4AF7B3F7">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57646AA8">
      <w:pPr>
        <w:wordWrap w:val="0"/>
        <w:adjustRightInd w:val="0"/>
        <w:snapToGrid w:val="0"/>
        <w:spacing w:line="360" w:lineRule="auto"/>
        <w:ind w:firstLine="480" w:firstLineChars="200"/>
        <w:rPr>
          <w:rFonts w:hint="eastAsia" w:hAnsi="宋体" w:cs="宋体"/>
          <w:b w:val="0"/>
          <w:bCs w:val="0"/>
          <w:snapToGrid w:val="0"/>
          <w:color w:val="auto"/>
          <w:kern w:val="0"/>
          <w:szCs w:val="24"/>
          <w:highlight w:val="none"/>
        </w:rPr>
      </w:pPr>
    </w:p>
    <w:p w14:paraId="3E4D3842">
      <w:pPr>
        <w:wordWrap w:val="0"/>
        <w:adjustRightInd w:val="0"/>
        <w:snapToGrid w:val="0"/>
        <w:spacing w:line="360" w:lineRule="auto"/>
        <w:outlineLvl w:val="1"/>
        <w:rPr>
          <w:rFonts w:hAnsi="宋体" w:cs="宋体"/>
          <w:snapToGrid w:val="0"/>
          <w:color w:val="auto"/>
          <w:kern w:val="0"/>
          <w:highlight w:val="none"/>
        </w:rPr>
      </w:pPr>
      <w:bookmarkStart w:id="61" w:name="_Toc23707"/>
      <w:r>
        <w:rPr>
          <w:rFonts w:hint="eastAsia" w:hAnsi="宋体" w:cs="宋体"/>
          <w:b/>
          <w:bCs/>
          <w:snapToGrid w:val="0"/>
          <w:color w:val="auto"/>
          <w:kern w:val="0"/>
          <w:highlight w:val="none"/>
        </w:rPr>
        <w:t>第四节 否决投标条件</w:t>
      </w:r>
      <w:bookmarkEnd w:id="61"/>
    </w:p>
    <w:p w14:paraId="1217DA6A">
      <w:pPr>
        <w:wordWrap w:val="0"/>
        <w:adjustRightInd w:val="0"/>
        <w:snapToGrid w:val="0"/>
        <w:spacing w:line="360" w:lineRule="auto"/>
        <w:rPr>
          <w:rFonts w:hAnsi="宋体" w:cs="宋体"/>
          <w:snapToGrid w:val="0"/>
          <w:color w:val="auto"/>
          <w:kern w:val="0"/>
          <w:highlight w:val="none"/>
        </w:rPr>
      </w:pPr>
      <w:r>
        <w:rPr>
          <w:rFonts w:hint="eastAsia" w:hAnsi="宋体" w:cs="宋体"/>
          <w:snapToGrid w:val="0"/>
          <w:color w:val="auto"/>
          <w:kern w:val="0"/>
          <w:highlight w:val="none"/>
        </w:rPr>
        <w:t xml:space="preserve">    本节所集中列示的否决投标条件，是本章第三节“投标人须知正文”的组成部分，是对本章第三节所规定的否决投标条件的总结和补充。</w:t>
      </w:r>
      <w:r>
        <w:rPr>
          <w:rFonts w:hint="eastAsia" w:hAnsi="宋体" w:cs="宋体"/>
          <w:b/>
          <w:bCs/>
          <w:snapToGrid w:val="0"/>
          <w:color w:val="auto"/>
          <w:kern w:val="0"/>
          <w:highlight w:val="none"/>
        </w:rPr>
        <w:t>投标人未有列入本节情形的，评标时一律不得否决其投标。</w:t>
      </w:r>
      <w:r>
        <w:rPr>
          <w:rFonts w:hint="eastAsia" w:hAnsi="宋体" w:cs="宋体"/>
          <w:snapToGrid w:val="0"/>
          <w:color w:val="auto"/>
          <w:kern w:val="0"/>
          <w:highlight w:val="none"/>
        </w:rPr>
        <w:t>本节所称“规定”均指招标文件的规定。</w:t>
      </w:r>
    </w:p>
    <w:p w14:paraId="487AC297">
      <w:pPr>
        <w:wordWrap w:val="0"/>
        <w:adjustRightInd w:val="0"/>
        <w:snapToGrid w:val="0"/>
        <w:spacing w:line="360" w:lineRule="auto"/>
        <w:ind w:firstLine="480"/>
        <w:outlineLvl w:val="2"/>
        <w:rPr>
          <w:rFonts w:hAnsi="宋体" w:cs="宋体"/>
          <w:snapToGrid w:val="0"/>
          <w:color w:val="auto"/>
          <w:kern w:val="0"/>
          <w:highlight w:val="none"/>
        </w:rPr>
      </w:pPr>
      <w:bookmarkStart w:id="62" w:name="_Toc27116"/>
      <w:r>
        <w:rPr>
          <w:rFonts w:hint="eastAsia" w:hAnsi="宋体" w:cs="宋体"/>
          <w:b/>
          <w:bCs/>
          <w:snapToGrid w:val="0"/>
          <w:color w:val="auto"/>
          <w:kern w:val="0"/>
          <w:highlight w:val="none"/>
        </w:rPr>
        <w:t>1．资格评审环节</w:t>
      </w:r>
      <w:bookmarkEnd w:id="62"/>
    </w:p>
    <w:p w14:paraId="3AA23191">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投标人有下列情形之一的，评标委员会应否决其投标。被否决的投标，不进入形式评审环节。</w:t>
      </w:r>
    </w:p>
    <w:p w14:paraId="584038E0">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（1）有本章第三节第</w:t>
      </w:r>
      <w:r>
        <w:rPr>
          <w:rFonts w:hint="eastAsia" w:hAnsi="宋体" w:cs="宋体"/>
          <w:b/>
          <w:bCs/>
          <w:snapToGrid w:val="0"/>
          <w:color w:val="auto"/>
          <w:kern w:val="0"/>
          <w:highlight w:val="none"/>
        </w:rPr>
        <w:t>2.4</w:t>
      </w:r>
      <w:r>
        <w:rPr>
          <w:rFonts w:hint="eastAsia" w:hAnsi="宋体" w:cs="宋体"/>
          <w:snapToGrid w:val="0"/>
          <w:color w:val="auto"/>
          <w:kern w:val="0"/>
          <w:highlight w:val="none"/>
        </w:rPr>
        <w:t>条“禁止投标条款”规定的任何一种情形；</w:t>
      </w:r>
    </w:p>
    <w:p w14:paraId="6367D397">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（2）投标人资质不符合</w:t>
      </w:r>
      <w:r>
        <w:rPr>
          <w:rFonts w:hint="eastAsia" w:hAnsi="宋体" w:cs="宋体"/>
          <w:snapToGrid w:val="0"/>
          <w:color w:val="auto"/>
          <w:kern w:val="0"/>
          <w:szCs w:val="18"/>
          <w:highlight w:val="none"/>
        </w:rPr>
        <w:t>规定的；</w:t>
      </w:r>
    </w:p>
    <w:p w14:paraId="199BFDE1">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（3）投标人名称与营业执照、资质证书上的企业名称相互不一致的；其资质证书不是由住房城乡建设主管部门颁发的；营业执照、资质证书被吊销、暂扣或不在有效期内的；</w:t>
      </w:r>
    </w:p>
    <w:p w14:paraId="60FCF188">
      <w:pPr>
        <w:wordWrap w:val="0"/>
        <w:adjustRightInd w:val="0"/>
        <w:snapToGrid w:val="0"/>
        <w:spacing w:line="360" w:lineRule="auto"/>
        <w:ind w:firstLine="480"/>
        <w:rPr>
          <w:rFonts w:hAnsi="宋体" w:cs="宋体"/>
          <w:b/>
          <w:bCs/>
          <w:snapToGrid w:val="0"/>
          <w:color w:val="auto"/>
          <w:kern w:val="0"/>
          <w:highlight w:val="none"/>
        </w:rPr>
      </w:pPr>
      <w:r>
        <w:rPr>
          <w:rFonts w:hint="eastAsia" w:hAnsi="宋体" w:cs="宋体"/>
          <w:b/>
          <w:bCs/>
          <w:snapToGrid w:val="0"/>
          <w:color w:val="auto"/>
          <w:kern w:val="0"/>
          <w:highlight w:val="none"/>
        </w:rPr>
        <w:t>注：投标人已经工商变更，但其企业资质证书的企业名称未完成变更的，不得否决其投标；投标人营业执照、资质证书之间登记的信息不一致，应当允许投标人澄清，不得直接否决其投标。</w:t>
      </w:r>
    </w:p>
    <w:p w14:paraId="425792C2">
      <w:pPr>
        <w:wordWrap w:val="0"/>
        <w:adjustRightInd w:val="0"/>
        <w:snapToGrid w:val="0"/>
        <w:spacing w:line="360" w:lineRule="auto"/>
        <w:ind w:firstLine="480"/>
        <w:rPr>
          <w:rFonts w:hAnsi="宋体" w:cs="宋体"/>
          <w:b/>
          <w:bCs/>
          <w:snapToGrid w:val="0"/>
          <w:color w:val="auto"/>
          <w:kern w:val="0"/>
          <w:szCs w:val="22"/>
          <w:highlight w:val="none"/>
        </w:rPr>
      </w:pPr>
      <w:r>
        <w:rPr>
          <w:rFonts w:hint="eastAsia" w:hAnsi="宋体" w:cs="宋体"/>
          <w:b/>
          <w:bCs/>
          <w:snapToGrid w:val="0"/>
          <w:color w:val="auto"/>
          <w:kern w:val="0"/>
          <w:highlight w:val="none"/>
        </w:rPr>
        <w:t>投标人的企业相关证书、人员资质、资格有效期到期的，均按该证书的发证机构相关行业主管部门最新文件执行（如自动顺延或推迟办理延期业务的通知），投标人必须将相关文件附在该证书后面中，证明在开标日继续有效。</w:t>
      </w:r>
      <w:r>
        <w:rPr>
          <w:rFonts w:hint="eastAsia" w:hAnsi="宋体" w:cs="宋体"/>
          <w:b/>
          <w:bCs/>
          <w:snapToGrid w:val="0"/>
          <w:color w:val="auto"/>
          <w:kern w:val="0"/>
          <w:szCs w:val="22"/>
          <w:highlight w:val="none"/>
        </w:rPr>
        <w:t xml:space="preserve">  </w:t>
      </w:r>
    </w:p>
    <w:p w14:paraId="0A6B74E3">
      <w:pPr>
        <w:wordWrap w:val="0"/>
        <w:adjustRightInd w:val="0"/>
        <w:snapToGrid w:val="0"/>
        <w:spacing w:line="360" w:lineRule="auto"/>
        <w:rPr>
          <w:rFonts w:hAnsi="宋体" w:cs="宋体"/>
          <w:snapToGrid w:val="0"/>
          <w:color w:val="auto"/>
          <w:kern w:val="0"/>
          <w:highlight w:val="none"/>
        </w:rPr>
      </w:pPr>
      <w:r>
        <w:rPr>
          <w:rFonts w:hint="eastAsia" w:hAnsi="宋体" w:cs="宋体"/>
          <w:snapToGrid w:val="0"/>
          <w:color w:val="auto"/>
          <w:kern w:val="0"/>
          <w:highlight w:val="none"/>
        </w:rPr>
        <w:t xml:space="preserve">    （4）投标文件中拟派总监理工程师与《开标一览表》不一致的；拟派总监理工程师的条件不符合规定的；擅自修改、遗漏《总监理工程师任职声明》实质性内容的；拟派总监理工程师现阶段有担任其他在施建设工程项目总监理工程师职务，但《</w:t>
      </w:r>
      <w:r>
        <w:rPr>
          <w:rFonts w:hint="eastAsia" w:hAnsi="宋体" w:cs="宋体"/>
          <w:snapToGrid w:val="0"/>
          <w:color w:val="auto"/>
          <w:kern w:val="0"/>
          <w:szCs w:val="18"/>
          <w:highlight w:val="none"/>
        </w:rPr>
        <w:t>总监理工程师任职项目情况表</w:t>
      </w:r>
      <w:r>
        <w:rPr>
          <w:rFonts w:hint="eastAsia" w:hAnsi="宋体" w:cs="宋体"/>
          <w:snapToGrid w:val="0"/>
          <w:color w:val="auto"/>
          <w:kern w:val="0"/>
          <w:highlight w:val="none"/>
        </w:rPr>
        <w:t>》未经任职项目建设单位盖章同意、又未提交任职项目建设单位另行出具的书面同意意见的；</w:t>
      </w:r>
    </w:p>
    <w:p w14:paraId="10954423">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（5）拟派总监理工程师的注册证书不是住房和城乡建设主管部门颁发的，或注册单位与投标人不一致的，或不在有效期内的；</w:t>
      </w:r>
    </w:p>
    <w:p w14:paraId="24597860">
      <w:pPr>
        <w:wordWrap w:val="0"/>
        <w:adjustRightInd w:val="0"/>
        <w:snapToGrid w:val="0"/>
        <w:spacing w:line="360" w:lineRule="auto"/>
        <w:ind w:firstLine="480"/>
        <w:rPr>
          <w:rFonts w:hAnsi="宋体" w:cs="宋体"/>
          <w:b/>
          <w:bCs/>
          <w:snapToGrid w:val="0"/>
          <w:color w:val="auto"/>
          <w:kern w:val="0"/>
          <w:highlight w:val="none"/>
        </w:rPr>
      </w:pPr>
      <w:r>
        <w:rPr>
          <w:rFonts w:hint="eastAsia" w:hAnsi="宋体" w:cs="宋体"/>
          <w:b/>
          <w:bCs/>
          <w:snapToGrid w:val="0"/>
          <w:color w:val="auto"/>
          <w:kern w:val="0"/>
          <w:highlight w:val="none"/>
        </w:rPr>
        <w:t>注：投标人已经工商变更，但其员工执业资格注册证书的注册单位名称未完成变更的，不得否决其投标。</w:t>
      </w:r>
    </w:p>
    <w:p w14:paraId="7D393B08">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（6）招标文件规定不接受联合体投标，但以联合体投标的；</w:t>
      </w:r>
    </w:p>
    <w:p w14:paraId="6F29274A">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（7）投标人为外省企业，但未提供“进粤企业和人员诚信信息登记平台”企业和拟派人员信息情况打印页或网页截图的。</w:t>
      </w:r>
    </w:p>
    <w:p w14:paraId="68BFFAD2">
      <w:pPr>
        <w:wordWrap w:val="0"/>
        <w:adjustRightInd w:val="0"/>
        <w:snapToGrid w:val="0"/>
        <w:spacing w:line="360" w:lineRule="auto"/>
        <w:ind w:firstLine="480"/>
        <w:outlineLvl w:val="2"/>
        <w:rPr>
          <w:rFonts w:hAnsi="宋体" w:cs="宋体"/>
          <w:snapToGrid w:val="0"/>
          <w:color w:val="auto"/>
          <w:kern w:val="0"/>
          <w:highlight w:val="none"/>
        </w:rPr>
      </w:pPr>
      <w:bookmarkStart w:id="63" w:name="_Toc13579"/>
      <w:r>
        <w:rPr>
          <w:rFonts w:hint="eastAsia" w:hAnsi="宋体" w:cs="宋体"/>
          <w:b/>
          <w:bCs/>
          <w:snapToGrid w:val="0"/>
          <w:color w:val="auto"/>
          <w:kern w:val="0"/>
          <w:highlight w:val="none"/>
        </w:rPr>
        <w:t>2．形式评审环节</w:t>
      </w:r>
      <w:bookmarkEnd w:id="63"/>
    </w:p>
    <w:p w14:paraId="0BEB2819">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投标人有下列情形之一的，评标委员会应否决其投标。被否决的投标，不进入响应性评审环节。</w:t>
      </w:r>
    </w:p>
    <w:p w14:paraId="03B11B29">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（8）投标文件各分册未按招标文件规定加盖电子印章的；</w:t>
      </w:r>
    </w:p>
    <w:p w14:paraId="417CE6D7">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（9）本章第三节第</w:t>
      </w:r>
      <w:r>
        <w:rPr>
          <w:rFonts w:hint="eastAsia" w:hAnsi="宋体" w:cs="宋体"/>
          <w:b/>
          <w:bCs/>
          <w:snapToGrid w:val="0"/>
          <w:color w:val="auto"/>
          <w:kern w:val="0"/>
          <w:szCs w:val="18"/>
          <w:highlight w:val="none"/>
        </w:rPr>
        <w:t>10.2.2</w:t>
      </w:r>
      <w:r>
        <w:rPr>
          <w:rFonts w:hint="eastAsia" w:hAnsi="宋体" w:cs="宋体"/>
          <w:snapToGrid w:val="0"/>
          <w:color w:val="auto"/>
          <w:kern w:val="0"/>
          <w:szCs w:val="18"/>
          <w:highlight w:val="none"/>
        </w:rPr>
        <w:t>目、</w:t>
      </w:r>
      <w:r>
        <w:rPr>
          <w:rFonts w:hint="eastAsia" w:hAnsi="宋体" w:cs="宋体"/>
          <w:snapToGrid w:val="0"/>
          <w:color w:val="auto"/>
          <w:kern w:val="0"/>
          <w:highlight w:val="none"/>
        </w:rPr>
        <w:t>第</w:t>
      </w:r>
      <w:r>
        <w:rPr>
          <w:rFonts w:hint="eastAsia" w:hAnsi="宋体" w:cs="宋体"/>
          <w:b/>
          <w:bCs/>
          <w:snapToGrid w:val="0"/>
          <w:color w:val="auto"/>
          <w:kern w:val="0"/>
          <w:szCs w:val="18"/>
          <w:highlight w:val="none"/>
        </w:rPr>
        <w:t>10.3.3</w:t>
      </w:r>
      <w:r>
        <w:rPr>
          <w:rFonts w:hint="eastAsia" w:hAnsi="宋体" w:cs="宋体"/>
          <w:snapToGrid w:val="0"/>
          <w:color w:val="auto"/>
          <w:kern w:val="0"/>
          <w:szCs w:val="18"/>
          <w:highlight w:val="none"/>
        </w:rPr>
        <w:t>目</w:t>
      </w:r>
      <w:r>
        <w:rPr>
          <w:rFonts w:hint="eastAsia" w:hAnsi="宋体" w:cs="宋体"/>
          <w:snapToGrid w:val="0"/>
          <w:color w:val="auto"/>
          <w:kern w:val="0"/>
          <w:highlight w:val="none"/>
        </w:rPr>
        <w:t>中规定的“</w:t>
      </w:r>
      <w:r>
        <w:rPr>
          <w:rFonts w:hint="eastAsia" w:hAnsi="宋体" w:cs="宋体"/>
          <w:snapToGrid w:val="0"/>
          <w:color w:val="auto"/>
          <w:kern w:val="0"/>
          <w:szCs w:val="18"/>
          <w:highlight w:val="none"/>
        </w:rPr>
        <w:t>所有投标人均应提供</w:t>
      </w:r>
      <w:r>
        <w:rPr>
          <w:rFonts w:hint="eastAsia" w:hAnsi="宋体" w:cs="宋体"/>
          <w:snapToGrid w:val="0"/>
          <w:color w:val="auto"/>
          <w:kern w:val="0"/>
          <w:highlight w:val="none"/>
        </w:rPr>
        <w:t>”的组成内容（包括该组成内容的所附资料）中，任何一项有缺漏的；</w:t>
      </w:r>
    </w:p>
    <w:p w14:paraId="0E9CAD6F">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（10）关键字迹模糊、无法辨认，</w:t>
      </w:r>
      <w:r>
        <w:rPr>
          <w:rFonts w:hint="eastAsia" w:hAnsi="宋体" w:cs="宋体"/>
          <w:b/>
          <w:bCs/>
          <w:snapToGrid w:val="0"/>
          <w:color w:val="auto"/>
          <w:kern w:val="0"/>
          <w:highlight w:val="none"/>
        </w:rPr>
        <w:t>且该种过错将导致评标委员会无法作出投标文件是否响应招标文件实质性要求的</w:t>
      </w:r>
      <w:r>
        <w:rPr>
          <w:rFonts w:hint="eastAsia" w:hAnsi="宋体" w:cs="宋体"/>
          <w:snapToGrid w:val="0"/>
          <w:color w:val="auto"/>
          <w:kern w:val="0"/>
          <w:highlight w:val="none"/>
        </w:rPr>
        <w:t>；出现手工涂改、行间插字或删除，但未加盖单位章或由投标人的法定代表人或其委托代理人签字确认的；</w:t>
      </w:r>
    </w:p>
    <w:p w14:paraId="10F29CE2">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（11）投标文件未按规定签字、盖章的；</w:t>
      </w:r>
    </w:p>
    <w:p w14:paraId="06540D4A">
      <w:pPr>
        <w:wordWrap w:val="0"/>
        <w:adjustRightInd w:val="0"/>
        <w:snapToGrid w:val="0"/>
        <w:spacing w:line="360" w:lineRule="auto"/>
        <w:ind w:firstLine="480"/>
        <w:outlineLvl w:val="2"/>
        <w:rPr>
          <w:rFonts w:hAnsi="宋体" w:cs="宋体"/>
          <w:b/>
          <w:bCs/>
          <w:snapToGrid w:val="0"/>
          <w:color w:val="auto"/>
          <w:kern w:val="0"/>
          <w:highlight w:val="none"/>
        </w:rPr>
      </w:pPr>
      <w:bookmarkStart w:id="64" w:name="_Toc6314"/>
      <w:r>
        <w:rPr>
          <w:rFonts w:hint="eastAsia" w:hAnsi="宋体" w:cs="宋体"/>
          <w:b/>
          <w:bCs/>
          <w:snapToGrid w:val="0"/>
          <w:color w:val="auto"/>
          <w:kern w:val="0"/>
          <w:highlight w:val="none"/>
        </w:rPr>
        <w:t>3．响应性评审环节</w:t>
      </w:r>
      <w:bookmarkEnd w:id="64"/>
    </w:p>
    <w:p w14:paraId="1D351E78">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投标人有下列情形之一的，评标委员会应否决其投标。被否决的投标，不进入详细评审阶段。</w:t>
      </w:r>
    </w:p>
    <w:p w14:paraId="1F3A0771">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（12）投标有效期、服务期限不符合规定的；擅自修改、遗漏《投标函》《各项承诺一览表》实质性内容的；</w:t>
      </w:r>
    </w:p>
    <w:p w14:paraId="59233012">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（13）出现两个或两个以上投标总价的（同一个投标总价大、小写不一致的除外）；投标总价超出最高投标限价的；</w:t>
      </w:r>
    </w:p>
    <w:p w14:paraId="493FD87D">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（14）在监理大纲评审中，评标委员会认定监理及相关服务的范围、内容、目标不符合规定的；质量、进度、造价监理措施明显不符合国家和省市现行有关规范、规定、标准，</w:t>
      </w:r>
      <w:r>
        <w:rPr>
          <w:rFonts w:hint="eastAsia" w:hAnsi="宋体" w:cs="宋体"/>
          <w:b/>
          <w:bCs/>
          <w:snapToGrid w:val="0"/>
          <w:color w:val="auto"/>
          <w:kern w:val="0"/>
          <w:highlight w:val="none"/>
        </w:rPr>
        <w:t>且该种过错将导致“三控制”目标无法实现的</w:t>
      </w:r>
      <w:r>
        <w:rPr>
          <w:rFonts w:hint="eastAsia" w:hAnsi="宋体" w:cs="宋体"/>
          <w:snapToGrid w:val="0"/>
          <w:color w:val="auto"/>
          <w:kern w:val="0"/>
          <w:highlight w:val="none"/>
        </w:rPr>
        <w:t>。</w:t>
      </w:r>
    </w:p>
    <w:p w14:paraId="5BE2B7EB">
      <w:pPr>
        <w:wordWrap w:val="0"/>
        <w:adjustRightInd w:val="0"/>
        <w:snapToGrid w:val="0"/>
        <w:spacing w:line="360" w:lineRule="auto"/>
        <w:ind w:firstLine="480"/>
        <w:outlineLvl w:val="2"/>
        <w:rPr>
          <w:rFonts w:hAnsi="宋体" w:cs="宋体"/>
          <w:b/>
          <w:bCs/>
          <w:snapToGrid w:val="0"/>
          <w:color w:val="auto"/>
          <w:kern w:val="0"/>
          <w:highlight w:val="none"/>
        </w:rPr>
      </w:pPr>
      <w:bookmarkStart w:id="65" w:name="_Toc1100"/>
      <w:r>
        <w:rPr>
          <w:rFonts w:hint="eastAsia" w:hAnsi="宋体" w:cs="宋体"/>
          <w:b/>
          <w:bCs/>
          <w:snapToGrid w:val="0"/>
          <w:color w:val="auto"/>
          <w:kern w:val="0"/>
          <w:highlight w:val="none"/>
        </w:rPr>
        <w:t>4．其他</w:t>
      </w:r>
      <w:bookmarkEnd w:id="65"/>
    </w:p>
    <w:p w14:paraId="33D6B34F">
      <w:pPr>
        <w:wordWrap w:val="0"/>
        <w:adjustRightInd w:val="0"/>
        <w:snapToGrid w:val="0"/>
        <w:spacing w:line="360" w:lineRule="auto"/>
        <w:ind w:firstLine="480"/>
        <w:rPr>
          <w:rFonts w:hAnsi="宋体" w:cs="宋体"/>
          <w:snapToGrid w:val="0"/>
          <w:color w:val="auto"/>
          <w:kern w:val="0"/>
          <w:szCs w:val="22"/>
          <w:highlight w:val="none"/>
        </w:rPr>
      </w:pPr>
      <w:r>
        <w:rPr>
          <w:rFonts w:hint="eastAsia" w:hAnsi="宋体" w:cs="宋体"/>
          <w:snapToGrid w:val="0"/>
          <w:color w:val="auto"/>
          <w:kern w:val="0"/>
          <w:highlight w:val="none"/>
        </w:rPr>
        <w:t>在任何评标环节（或阶段），投标人有下列情形之一的，评标委员会应否决其投标。</w:t>
      </w:r>
      <w:r>
        <w:rPr>
          <w:rFonts w:hint="eastAsia" w:hAnsi="宋体" w:cs="宋体"/>
          <w:snapToGrid w:val="0"/>
          <w:color w:val="auto"/>
          <w:kern w:val="0"/>
          <w:szCs w:val="22"/>
          <w:highlight w:val="none"/>
        </w:rPr>
        <w:t>被否决的投标，不进入下一环节（或阶段）。</w:t>
      </w:r>
    </w:p>
    <w:p w14:paraId="44A9DAF4">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（15）不按评标委员会要求澄清、说明或补正的；</w:t>
      </w:r>
    </w:p>
    <w:p w14:paraId="73919888">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（16）有下列情形之一，被评标委员会认定属于串通投标的：</w:t>
      </w:r>
    </w:p>
    <w:p w14:paraId="163A4EC1">
      <w:pPr>
        <w:wordWrap w:val="0"/>
        <w:adjustRightInd w:val="0"/>
        <w:snapToGrid w:val="0"/>
        <w:spacing w:line="360" w:lineRule="auto"/>
        <w:rPr>
          <w:rFonts w:hAnsi="宋体" w:cs="宋体"/>
          <w:snapToGrid w:val="0"/>
          <w:color w:val="auto"/>
          <w:kern w:val="0"/>
          <w:highlight w:val="none"/>
        </w:rPr>
      </w:pPr>
      <w:r>
        <w:rPr>
          <w:rFonts w:hint="eastAsia" w:hAnsi="宋体" w:cs="宋体"/>
          <w:snapToGrid w:val="0"/>
          <w:color w:val="auto"/>
          <w:kern w:val="0"/>
          <w:highlight w:val="none"/>
        </w:rPr>
        <w:t xml:space="preserve">    ①不同投标人的投标文件两处以上（含两处）错、漏一致；</w:t>
      </w:r>
    </w:p>
    <w:p w14:paraId="6C9CC9B1">
      <w:pPr>
        <w:wordWrap w:val="0"/>
        <w:adjustRightInd w:val="0"/>
        <w:snapToGrid w:val="0"/>
        <w:spacing w:line="360" w:lineRule="auto"/>
        <w:rPr>
          <w:rFonts w:hAnsi="宋体" w:cs="宋体"/>
          <w:snapToGrid w:val="0"/>
          <w:color w:val="auto"/>
          <w:kern w:val="0"/>
          <w:highlight w:val="none"/>
        </w:rPr>
      </w:pPr>
      <w:r>
        <w:rPr>
          <w:rFonts w:hint="eastAsia" w:hAnsi="宋体" w:cs="宋体"/>
          <w:snapToGrid w:val="0"/>
          <w:color w:val="auto"/>
          <w:kern w:val="0"/>
          <w:highlight w:val="none"/>
        </w:rPr>
        <w:t xml:space="preserve">    ②不同投标人的投标各项报价存在异常一致或者呈规律性变化；</w:t>
      </w:r>
    </w:p>
    <w:p w14:paraId="2226122B">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③不同投标人的投标文件由同一单位或者同一个人编制；</w:t>
      </w:r>
    </w:p>
    <w:p w14:paraId="3DAC3E25">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④不同投标人的投标文件中投标资料（包括电子资料）相互混装或项目班子成员出现同一人；</w:t>
      </w:r>
    </w:p>
    <w:p w14:paraId="3E85253F">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⑤不同投标人的投标文件由同一电脑编制或同一台附属设备打印；</w:t>
      </w:r>
    </w:p>
    <w:p w14:paraId="5D55D8A7">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⑥不同投标人的投标保证由同一企业或同一账户资金缴纳；</w:t>
      </w:r>
    </w:p>
    <w:p w14:paraId="6CFCE064">
      <w:pPr>
        <w:wordWrap w:val="0"/>
        <w:adjustRightInd w:val="0"/>
        <w:snapToGrid w:val="0"/>
        <w:spacing w:line="360" w:lineRule="auto"/>
        <w:ind w:firstLine="480"/>
        <w:rPr>
          <w:rFonts w:hint="eastAsia" w:hAnsi="宋体" w:cs="宋体"/>
          <w:snapToGrid w:val="0"/>
          <w:color w:val="auto"/>
          <w:kern w:val="0"/>
          <w:highlight w:val="none"/>
        </w:rPr>
      </w:pPr>
      <w:r>
        <w:rPr>
          <w:rFonts w:hint="eastAsia" w:hAnsi="宋体" w:cs="宋体"/>
          <w:snapToGrid w:val="0"/>
          <w:color w:val="auto"/>
          <w:kern w:val="0"/>
          <w:highlight w:val="none"/>
        </w:rPr>
        <w:t>⑦不同投标人委托同一个人或注册在同一家企业的注册人员或同一家企业为其投标提供投标咨询、商务报价、技术咨询（招标项目本身要求采用专有技术的除外）等服务。</w:t>
      </w:r>
    </w:p>
    <w:p w14:paraId="39D8A852">
      <w:pPr>
        <w:wordWrap w:val="0"/>
        <w:adjustRightInd w:val="0"/>
        <w:snapToGrid w:val="0"/>
        <w:spacing w:line="360" w:lineRule="auto"/>
        <w:ind w:firstLine="480"/>
        <w:rPr>
          <w:rFonts w:hint="eastAsia" w:hAnsi="宋体" w:cs="宋体"/>
          <w:snapToGrid w:val="0"/>
          <w:color w:val="auto"/>
          <w:kern w:val="0"/>
          <w:highlight w:val="none"/>
        </w:rPr>
      </w:pPr>
    </w:p>
    <w:p w14:paraId="0DDFB2F2">
      <w:pPr>
        <w:wordWrap w:val="0"/>
        <w:adjustRightInd w:val="0"/>
        <w:snapToGrid w:val="0"/>
        <w:spacing w:line="360" w:lineRule="auto"/>
        <w:ind w:firstLine="480"/>
        <w:rPr>
          <w:rFonts w:hint="eastAsia" w:hAnsi="宋体" w:cs="宋体"/>
          <w:snapToGrid w:val="0"/>
          <w:color w:val="auto"/>
          <w:kern w:val="0"/>
          <w:highlight w:val="none"/>
        </w:rPr>
      </w:pPr>
    </w:p>
    <w:p w14:paraId="293BE23C">
      <w:pPr>
        <w:wordWrap w:val="0"/>
        <w:adjustRightInd w:val="0"/>
        <w:snapToGrid w:val="0"/>
        <w:spacing w:line="360" w:lineRule="auto"/>
        <w:ind w:firstLine="480"/>
        <w:rPr>
          <w:rFonts w:hint="eastAsia" w:hAnsi="宋体" w:cs="宋体"/>
          <w:snapToGrid w:val="0"/>
          <w:color w:val="auto"/>
          <w:kern w:val="0"/>
          <w:highlight w:val="none"/>
        </w:rPr>
      </w:pPr>
    </w:p>
    <w:p w14:paraId="2EF3D007">
      <w:pPr>
        <w:wordWrap w:val="0"/>
        <w:adjustRightInd w:val="0"/>
        <w:snapToGrid w:val="0"/>
        <w:spacing w:line="360" w:lineRule="auto"/>
        <w:ind w:firstLine="480"/>
        <w:rPr>
          <w:rFonts w:hint="eastAsia" w:hAnsi="宋体" w:cs="宋体"/>
          <w:snapToGrid w:val="0"/>
          <w:color w:val="auto"/>
          <w:kern w:val="0"/>
          <w:highlight w:val="none"/>
        </w:rPr>
      </w:pPr>
    </w:p>
    <w:p w14:paraId="56EDC0EC">
      <w:pPr>
        <w:wordWrap w:val="0"/>
        <w:adjustRightInd w:val="0"/>
        <w:snapToGrid w:val="0"/>
        <w:spacing w:line="360" w:lineRule="auto"/>
        <w:ind w:firstLine="480"/>
        <w:rPr>
          <w:rFonts w:hint="eastAsia" w:hAnsi="宋体" w:cs="宋体"/>
          <w:snapToGrid w:val="0"/>
          <w:color w:val="auto"/>
          <w:kern w:val="0"/>
          <w:highlight w:val="none"/>
        </w:rPr>
      </w:pPr>
    </w:p>
    <w:p w14:paraId="05BBFFEA">
      <w:pPr>
        <w:wordWrap w:val="0"/>
        <w:adjustRightInd w:val="0"/>
        <w:snapToGrid w:val="0"/>
        <w:spacing w:line="360" w:lineRule="auto"/>
        <w:ind w:firstLine="480"/>
        <w:rPr>
          <w:rFonts w:hint="eastAsia" w:hAnsi="宋体" w:cs="宋体"/>
          <w:snapToGrid w:val="0"/>
          <w:color w:val="auto"/>
          <w:kern w:val="0"/>
          <w:highlight w:val="none"/>
        </w:rPr>
      </w:pPr>
    </w:p>
    <w:p w14:paraId="2CE7AEB5">
      <w:pPr>
        <w:wordWrap w:val="0"/>
        <w:adjustRightInd w:val="0"/>
        <w:snapToGrid w:val="0"/>
        <w:spacing w:line="360" w:lineRule="auto"/>
        <w:ind w:firstLine="480"/>
        <w:rPr>
          <w:rFonts w:hint="eastAsia" w:hAnsi="宋体" w:cs="宋体"/>
          <w:snapToGrid w:val="0"/>
          <w:color w:val="auto"/>
          <w:kern w:val="0"/>
          <w:highlight w:val="none"/>
        </w:rPr>
      </w:pPr>
    </w:p>
    <w:p w14:paraId="67A0E873">
      <w:pPr>
        <w:wordWrap w:val="0"/>
        <w:adjustRightInd w:val="0"/>
        <w:snapToGrid w:val="0"/>
        <w:spacing w:line="360" w:lineRule="auto"/>
        <w:ind w:firstLine="480"/>
        <w:rPr>
          <w:rFonts w:hint="eastAsia" w:hAnsi="宋体" w:cs="宋体"/>
          <w:snapToGrid w:val="0"/>
          <w:color w:val="auto"/>
          <w:kern w:val="0"/>
          <w:highlight w:val="none"/>
        </w:rPr>
      </w:pPr>
    </w:p>
    <w:p w14:paraId="2AD333A2">
      <w:pPr>
        <w:wordWrap w:val="0"/>
        <w:adjustRightInd w:val="0"/>
        <w:snapToGrid w:val="0"/>
        <w:spacing w:line="360" w:lineRule="auto"/>
        <w:ind w:firstLine="480"/>
        <w:rPr>
          <w:rFonts w:hint="eastAsia" w:hAnsi="宋体" w:cs="宋体"/>
          <w:snapToGrid w:val="0"/>
          <w:color w:val="auto"/>
          <w:kern w:val="0"/>
          <w:highlight w:val="none"/>
        </w:rPr>
      </w:pPr>
    </w:p>
    <w:p w14:paraId="41A7DD5C">
      <w:pPr>
        <w:wordWrap w:val="0"/>
        <w:adjustRightInd w:val="0"/>
        <w:snapToGrid w:val="0"/>
        <w:spacing w:line="360" w:lineRule="auto"/>
        <w:ind w:firstLine="480"/>
        <w:rPr>
          <w:rFonts w:hint="eastAsia" w:hAnsi="宋体" w:cs="宋体"/>
          <w:snapToGrid w:val="0"/>
          <w:color w:val="auto"/>
          <w:kern w:val="0"/>
          <w:highlight w:val="none"/>
        </w:rPr>
      </w:pPr>
    </w:p>
    <w:p w14:paraId="1A367044">
      <w:pPr>
        <w:wordWrap w:val="0"/>
        <w:adjustRightInd w:val="0"/>
        <w:snapToGrid w:val="0"/>
        <w:spacing w:line="360" w:lineRule="auto"/>
        <w:ind w:firstLine="480"/>
        <w:rPr>
          <w:rFonts w:hint="eastAsia" w:hAnsi="宋体" w:cs="宋体"/>
          <w:snapToGrid w:val="0"/>
          <w:color w:val="auto"/>
          <w:kern w:val="0"/>
          <w:highlight w:val="none"/>
        </w:rPr>
      </w:pPr>
    </w:p>
    <w:p w14:paraId="3462458E">
      <w:pPr>
        <w:wordWrap w:val="0"/>
        <w:adjustRightInd w:val="0"/>
        <w:snapToGrid w:val="0"/>
        <w:spacing w:line="360" w:lineRule="auto"/>
        <w:ind w:firstLine="480"/>
        <w:rPr>
          <w:rFonts w:hint="eastAsia" w:hAnsi="宋体" w:cs="宋体"/>
          <w:snapToGrid w:val="0"/>
          <w:color w:val="auto"/>
          <w:kern w:val="0"/>
          <w:highlight w:val="none"/>
        </w:rPr>
      </w:pPr>
    </w:p>
    <w:p w14:paraId="27E98418">
      <w:pPr>
        <w:wordWrap w:val="0"/>
        <w:adjustRightInd w:val="0"/>
        <w:snapToGrid w:val="0"/>
        <w:spacing w:line="360" w:lineRule="auto"/>
        <w:ind w:firstLine="480"/>
        <w:rPr>
          <w:rFonts w:hint="eastAsia" w:hAnsi="宋体" w:cs="宋体"/>
          <w:snapToGrid w:val="0"/>
          <w:color w:val="auto"/>
          <w:kern w:val="0"/>
          <w:highlight w:val="none"/>
        </w:rPr>
      </w:pPr>
    </w:p>
    <w:p w14:paraId="76672527">
      <w:pPr>
        <w:wordWrap w:val="0"/>
        <w:adjustRightInd w:val="0"/>
        <w:snapToGrid w:val="0"/>
        <w:spacing w:line="360" w:lineRule="auto"/>
        <w:ind w:firstLine="480"/>
        <w:rPr>
          <w:rFonts w:hint="eastAsia" w:hAnsi="宋体" w:cs="宋体"/>
          <w:snapToGrid w:val="0"/>
          <w:color w:val="auto"/>
          <w:kern w:val="0"/>
          <w:highlight w:val="none"/>
        </w:rPr>
      </w:pPr>
    </w:p>
    <w:p w14:paraId="355A01AA">
      <w:pPr>
        <w:wordWrap w:val="0"/>
        <w:adjustRightInd w:val="0"/>
        <w:snapToGrid w:val="0"/>
        <w:spacing w:line="360" w:lineRule="auto"/>
        <w:ind w:firstLine="480"/>
        <w:rPr>
          <w:rFonts w:hint="eastAsia" w:hAnsi="宋体" w:cs="宋体"/>
          <w:snapToGrid w:val="0"/>
          <w:color w:val="auto"/>
          <w:kern w:val="0"/>
          <w:highlight w:val="none"/>
        </w:rPr>
      </w:pPr>
    </w:p>
    <w:p w14:paraId="204B3BF5">
      <w:pPr>
        <w:wordWrap w:val="0"/>
        <w:adjustRightInd w:val="0"/>
        <w:snapToGrid w:val="0"/>
        <w:spacing w:line="360" w:lineRule="auto"/>
        <w:ind w:firstLine="480"/>
        <w:rPr>
          <w:rFonts w:hint="eastAsia" w:hAnsi="宋体" w:cs="宋体"/>
          <w:snapToGrid w:val="0"/>
          <w:color w:val="auto"/>
          <w:kern w:val="0"/>
          <w:highlight w:val="none"/>
        </w:rPr>
      </w:pPr>
    </w:p>
    <w:p w14:paraId="118D95D7">
      <w:pPr>
        <w:wordWrap w:val="0"/>
        <w:adjustRightInd w:val="0"/>
        <w:snapToGrid w:val="0"/>
        <w:spacing w:line="360" w:lineRule="auto"/>
        <w:ind w:firstLine="480"/>
        <w:rPr>
          <w:rFonts w:hint="eastAsia" w:hAnsi="宋体" w:cs="宋体"/>
          <w:snapToGrid w:val="0"/>
          <w:color w:val="auto"/>
          <w:kern w:val="0"/>
          <w:highlight w:val="none"/>
        </w:rPr>
      </w:pPr>
    </w:p>
    <w:p w14:paraId="38243378">
      <w:pPr>
        <w:wordWrap w:val="0"/>
        <w:adjustRightInd w:val="0"/>
        <w:snapToGrid w:val="0"/>
        <w:spacing w:line="360" w:lineRule="auto"/>
        <w:ind w:firstLine="480"/>
        <w:rPr>
          <w:rFonts w:hint="eastAsia" w:hAnsi="宋体" w:cs="宋体"/>
          <w:snapToGrid w:val="0"/>
          <w:color w:val="auto"/>
          <w:kern w:val="0"/>
          <w:highlight w:val="none"/>
        </w:rPr>
      </w:pPr>
    </w:p>
    <w:p w14:paraId="10E3CC93">
      <w:pPr>
        <w:wordWrap w:val="0"/>
        <w:adjustRightInd w:val="0"/>
        <w:snapToGrid w:val="0"/>
        <w:spacing w:line="360" w:lineRule="auto"/>
        <w:ind w:firstLine="480"/>
        <w:rPr>
          <w:rFonts w:hint="eastAsia" w:hAnsi="宋体" w:cs="宋体"/>
          <w:snapToGrid w:val="0"/>
          <w:color w:val="auto"/>
          <w:kern w:val="0"/>
          <w:highlight w:val="none"/>
        </w:rPr>
      </w:pPr>
    </w:p>
    <w:p w14:paraId="6CD6388F">
      <w:pPr>
        <w:wordWrap w:val="0"/>
        <w:adjustRightInd w:val="0"/>
        <w:snapToGrid w:val="0"/>
        <w:spacing w:line="360" w:lineRule="auto"/>
        <w:ind w:firstLine="480"/>
        <w:rPr>
          <w:rFonts w:hint="eastAsia" w:hAnsi="宋体" w:cs="宋体"/>
          <w:snapToGrid w:val="0"/>
          <w:color w:val="auto"/>
          <w:kern w:val="0"/>
          <w:highlight w:val="none"/>
        </w:rPr>
      </w:pPr>
    </w:p>
    <w:p w14:paraId="74C72F6E">
      <w:pPr>
        <w:wordWrap w:val="0"/>
        <w:adjustRightInd w:val="0"/>
        <w:snapToGrid w:val="0"/>
        <w:spacing w:line="360" w:lineRule="auto"/>
        <w:ind w:firstLine="480"/>
        <w:rPr>
          <w:rFonts w:hint="eastAsia" w:hAnsi="宋体" w:cs="宋体"/>
          <w:snapToGrid w:val="0"/>
          <w:color w:val="auto"/>
          <w:kern w:val="0"/>
          <w:highlight w:val="none"/>
        </w:rPr>
      </w:pPr>
    </w:p>
    <w:p w14:paraId="640C7830">
      <w:pPr>
        <w:wordWrap w:val="0"/>
        <w:adjustRightInd w:val="0"/>
        <w:snapToGrid w:val="0"/>
        <w:spacing w:line="360" w:lineRule="auto"/>
        <w:ind w:firstLine="480"/>
        <w:rPr>
          <w:rFonts w:hint="eastAsia" w:hAnsi="宋体" w:cs="宋体"/>
          <w:snapToGrid w:val="0"/>
          <w:color w:val="auto"/>
          <w:kern w:val="0"/>
          <w:highlight w:val="none"/>
        </w:rPr>
      </w:pPr>
    </w:p>
    <w:p w14:paraId="5A543D8E">
      <w:pPr>
        <w:wordWrap w:val="0"/>
        <w:adjustRightInd w:val="0"/>
        <w:snapToGrid w:val="0"/>
        <w:spacing w:line="360" w:lineRule="auto"/>
        <w:ind w:firstLine="480"/>
        <w:rPr>
          <w:rFonts w:hint="eastAsia" w:hAnsi="宋体" w:cs="宋体"/>
          <w:snapToGrid w:val="0"/>
          <w:color w:val="auto"/>
          <w:kern w:val="0"/>
          <w:highlight w:val="none"/>
        </w:rPr>
      </w:pPr>
    </w:p>
    <w:p w14:paraId="7A00651A">
      <w:pPr>
        <w:wordWrap w:val="0"/>
        <w:adjustRightInd w:val="0"/>
        <w:snapToGrid w:val="0"/>
        <w:spacing w:line="360" w:lineRule="auto"/>
        <w:ind w:firstLine="480"/>
        <w:rPr>
          <w:rFonts w:hint="eastAsia" w:hAnsi="宋体" w:cs="宋体"/>
          <w:snapToGrid w:val="0"/>
          <w:color w:val="auto"/>
          <w:kern w:val="0"/>
          <w:highlight w:val="none"/>
        </w:rPr>
      </w:pPr>
    </w:p>
    <w:p w14:paraId="55B5577E">
      <w:pPr>
        <w:wordWrap w:val="0"/>
        <w:adjustRightInd w:val="0"/>
        <w:snapToGrid w:val="0"/>
        <w:spacing w:line="360" w:lineRule="auto"/>
        <w:ind w:firstLine="480"/>
        <w:rPr>
          <w:rFonts w:hint="eastAsia" w:hAnsi="宋体" w:cs="宋体"/>
          <w:snapToGrid w:val="0"/>
          <w:color w:val="auto"/>
          <w:kern w:val="0"/>
          <w:highlight w:val="none"/>
        </w:rPr>
      </w:pPr>
    </w:p>
    <w:p w14:paraId="30136CD2">
      <w:pPr>
        <w:pStyle w:val="3"/>
        <w:pageBreakBefore w:val="0"/>
        <w:kinsoku/>
        <w:overflowPunct/>
        <w:topLinePunct w:val="0"/>
        <w:bidi w:val="0"/>
        <w:spacing w:line="500" w:lineRule="exact"/>
        <w:textAlignment w:val="auto"/>
        <w:outlineLvl w:val="1"/>
        <w:rPr>
          <w:rFonts w:hint="default" w:ascii="宋体" w:hAnsi="宋体" w:eastAsia="宋体" w:cs="宋体"/>
          <w:b/>
          <w:bCs/>
          <w:color w:val="auto"/>
          <w:highlight w:val="none"/>
          <w:lang w:val="en-US" w:eastAsia="zh-CN"/>
        </w:rPr>
      </w:pPr>
      <w:bookmarkStart w:id="66" w:name="_Toc3478"/>
      <w:bookmarkStart w:id="67" w:name="_Toc4309"/>
      <w:r>
        <w:rPr>
          <w:rFonts w:hint="eastAsia" w:ascii="宋体" w:hAnsi="宋体" w:eastAsia="宋体" w:cs="宋体"/>
          <w:b/>
          <w:bCs/>
          <w:color w:val="auto"/>
          <w:highlight w:val="none"/>
          <w:lang w:val="en-US" w:eastAsia="zh-CN"/>
        </w:rPr>
        <w:t>第五节 定标规定及细则</w:t>
      </w:r>
      <w:bookmarkEnd w:id="66"/>
      <w:bookmarkEnd w:id="67"/>
    </w:p>
    <w:p w14:paraId="1206D7CF">
      <w:pPr>
        <w:pStyle w:val="4"/>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lang w:val="en-US" w:eastAsia="zh-CN"/>
        </w:rPr>
      </w:pPr>
      <w:bookmarkStart w:id="68" w:name="_Toc7706"/>
      <w:bookmarkStart w:id="69" w:name="_Toc17667"/>
      <w:r>
        <w:rPr>
          <w:rFonts w:hint="eastAsia" w:ascii="宋体" w:hAnsi="宋体" w:eastAsia="宋体" w:cs="宋体"/>
          <w:b/>
          <w:snapToGrid w:val="0"/>
          <w:color w:val="auto"/>
          <w:highlight w:val="none"/>
          <w:lang w:val="en-US" w:eastAsia="zh-CN"/>
        </w:rPr>
        <w:t>1</w:t>
      </w:r>
      <w:r>
        <w:rPr>
          <w:rFonts w:hint="eastAsia" w:ascii="宋体" w:hAnsi="宋体" w:eastAsia="宋体" w:cs="宋体"/>
          <w:b/>
          <w:snapToGrid w:val="0"/>
          <w:color w:val="auto"/>
          <w:highlight w:val="none"/>
        </w:rPr>
        <w:t>.</w:t>
      </w:r>
      <w:r>
        <w:rPr>
          <w:rFonts w:hint="eastAsia" w:ascii="宋体" w:hAnsi="宋体" w:eastAsia="宋体" w:cs="宋体"/>
          <w:b/>
          <w:snapToGrid w:val="0"/>
          <w:color w:val="auto"/>
          <w:highlight w:val="none"/>
          <w:lang w:val="en-US" w:eastAsia="zh-CN"/>
        </w:rPr>
        <w:t>定标规定</w:t>
      </w:r>
      <w:bookmarkEnd w:id="68"/>
      <w:bookmarkEnd w:id="69"/>
    </w:p>
    <w:p w14:paraId="1ACCE5A7">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lang w:val="en-US" w:eastAsia="zh-CN"/>
        </w:rPr>
        <w:t>1.1确定定标时间</w:t>
      </w:r>
    </w:p>
    <w:p w14:paraId="50782886">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招标人应自定标候选人公示期满后5个工作日内进入公共资源交易平台（与评标阶段公共资源交易平台相同）进行定标。定标会议全过程录音录像。招标人需要延期定标的，应通过公共资源交易平台公布延期原因和定标时间。</w:t>
      </w:r>
    </w:p>
    <w:p w14:paraId="3877C793">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b/>
          <w:snapToGrid w:val="0"/>
          <w:color w:val="auto"/>
          <w:highlight w:val="none"/>
          <w:lang w:val="en-US" w:eastAsia="zh-CN"/>
        </w:rPr>
      </w:pPr>
      <w:r>
        <w:rPr>
          <w:rFonts w:hint="eastAsia" w:ascii="宋体" w:hAnsi="宋体" w:eastAsia="宋体" w:cs="宋体"/>
          <w:b/>
          <w:snapToGrid w:val="0"/>
          <w:color w:val="auto"/>
          <w:highlight w:val="none"/>
          <w:lang w:val="en-US" w:eastAsia="zh-CN"/>
        </w:rPr>
        <w:t>1.2定标委员会</w:t>
      </w:r>
    </w:p>
    <w:p w14:paraId="1040D749">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hAnsi="宋体" w:eastAsia="宋体" w:cs="宋体"/>
          <w:snapToGrid w:val="0"/>
          <w:color w:val="auto"/>
          <w:kern w:val="0"/>
          <w:highlight w:val="none"/>
          <w:lang w:val="en-US" w:eastAsia="zh-CN"/>
        </w:rPr>
        <w:t>1.2.1</w:t>
      </w:r>
      <w:r>
        <w:rPr>
          <w:rFonts w:hint="eastAsia" w:ascii="宋体" w:hAnsi="宋体" w:eastAsia="宋体" w:cs="宋体"/>
          <w:snapToGrid w:val="0"/>
          <w:color w:val="auto"/>
          <w:kern w:val="0"/>
          <w:highlight w:val="none"/>
        </w:rPr>
        <w:t>招标人负责组建定标委员会，由项目业主的法定代表人或者主要负责人担任定标委员会组长。定标委员会的组成方式和人员由招标人按相关规定自行确定。招标项目对技术、商务等有特别要求的可从广东省综合评标评审专家库（韶关区域）抽取专家(外部人员）补足，成员数量为7人及以上单数，成员数量应在招标文件中明确。专家人数原则上不超过2人。定标委员会成员数量在本投标人须知前附表中约定。</w:t>
      </w:r>
    </w:p>
    <w:p w14:paraId="319E64BB">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2.2定标委员会应当根据招标文件规定的定标方法和细则，对定标候选人进行系统地评审和比较。招标文件中没有规定的定标方法和细则不得作为定标的依据。定标委员会成员应依照招标文件规定的定标方法和细则，独立完成对定标候选人的评审，并对定标结果签字确认。定标委员会应依照招标文件规定的定标方法和细则，对各定标委员会成员的定标结果进行汇总。</w:t>
      </w:r>
    </w:p>
    <w:p w14:paraId="2DDE6FCB">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hAnsi="宋体" w:eastAsia="宋体" w:cs="宋体"/>
          <w:snapToGrid w:val="0"/>
          <w:color w:val="auto"/>
          <w:kern w:val="0"/>
          <w:highlight w:val="none"/>
          <w:lang w:val="en-US" w:eastAsia="zh-CN"/>
        </w:rPr>
        <w:t>1.2.3</w:t>
      </w:r>
      <w:r>
        <w:rPr>
          <w:rFonts w:hint="eastAsia" w:ascii="宋体" w:hAnsi="宋体" w:eastAsia="宋体" w:cs="宋体"/>
          <w:snapToGrid w:val="0"/>
          <w:color w:val="auto"/>
          <w:kern w:val="0"/>
          <w:highlight w:val="none"/>
        </w:rPr>
        <w:t>定标委员会成员应客观、公正履职，在未公示中标结果前，对定标过程和结果严格保密，对所提出的定标意见承担个人责任。定标委员会成员与定标候选人有利害关系的，应回避。定标委员会成员不得征询招标人确定中标人意向；不得私下与任何定标候选人或者其他利害关系人接触。</w:t>
      </w:r>
    </w:p>
    <w:p w14:paraId="58C95F93">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lang w:val="en-US" w:eastAsia="zh-CN"/>
        </w:rPr>
        <w:t>1.3定标办法（本项目采用票决数量法定标）</w:t>
      </w:r>
    </w:p>
    <w:p w14:paraId="615F07F1">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本项目定标办法由招标人按本投标人须知前附表的规定确定（只能选定其中一种定标办法）。</w:t>
      </w:r>
    </w:p>
    <w:p w14:paraId="1F501197">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lang w:val="en-US" w:eastAsia="zh-CN"/>
        </w:rPr>
        <w:t>1.4组建招标监督小组</w:t>
      </w:r>
    </w:p>
    <w:p w14:paraId="4CF123EB">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招标人应组建招标监督小组，对招标投标活动全过程进行监督，及时指出、制止违反程序及纪律的行为，但不得就评标、定标涉及的实质内容发表意见或者参与定标委员会的讨论。相关人员存在违反程序及纪律的行为被指出后仍拒绝纠正的、发现招标投标活动存在其他违反相关规定行为的，招标监督小组应如实记录并及时报告招标人单位主要负责人、行政监督部门。</w:t>
      </w:r>
    </w:p>
    <w:p w14:paraId="3B888DE8">
      <w:pPr>
        <w:pStyle w:val="4"/>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lang w:val="en-US" w:eastAsia="zh-CN"/>
        </w:rPr>
      </w:pPr>
      <w:bookmarkStart w:id="70" w:name="_Toc18947"/>
      <w:bookmarkStart w:id="71" w:name="_Toc29848"/>
      <w:r>
        <w:rPr>
          <w:rFonts w:hint="eastAsia" w:ascii="宋体" w:hAnsi="宋体" w:eastAsia="宋体" w:cs="宋体"/>
          <w:b/>
          <w:snapToGrid w:val="0"/>
          <w:color w:val="auto"/>
          <w:highlight w:val="none"/>
          <w:lang w:val="en-US" w:eastAsia="zh-CN"/>
        </w:rPr>
        <w:t>2.定标细则</w:t>
      </w:r>
      <w:bookmarkEnd w:id="70"/>
      <w:bookmarkEnd w:id="71"/>
    </w:p>
    <w:p w14:paraId="769CB3FB">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票决数量法</w:t>
      </w:r>
      <w:r>
        <w:rPr>
          <w:rFonts w:hint="eastAsia"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本项目采用票决数量法定标。</w:t>
      </w:r>
    </w:p>
    <w:p w14:paraId="3587A6CC">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b/>
          <w:bCs/>
          <w:snapToGrid w:val="0"/>
          <w:color w:val="auto"/>
          <w:kern w:val="0"/>
          <w:highlight w:val="none"/>
        </w:rPr>
      </w:pPr>
      <w:r>
        <w:rPr>
          <w:rFonts w:hint="eastAsia" w:hAnsi="宋体" w:eastAsia="宋体" w:cs="宋体"/>
          <w:b/>
          <w:bCs/>
          <w:snapToGrid w:val="0"/>
          <w:color w:val="auto"/>
          <w:kern w:val="0"/>
          <w:highlight w:val="none"/>
          <w:lang w:val="en-US" w:eastAsia="zh-CN"/>
        </w:rPr>
        <w:t>2.1</w:t>
      </w:r>
      <w:r>
        <w:rPr>
          <w:rFonts w:hint="eastAsia" w:ascii="宋体" w:hAnsi="宋体" w:eastAsia="宋体" w:cs="宋体"/>
          <w:b/>
          <w:bCs/>
          <w:snapToGrid w:val="0"/>
          <w:color w:val="auto"/>
          <w:kern w:val="0"/>
          <w:highlight w:val="none"/>
        </w:rPr>
        <w:t>票决数量法程序</w:t>
      </w:r>
    </w:p>
    <w:p w14:paraId="43070B2F">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定标委员会根据定标因素对定标候选人进行评审比较后，每名定标委员会成员有且仅有投出1票的权利，1票只能投1名定标候选人，进行票决排名确定排序的中标候选人。即各定标委员会成员对定标候选人进行投票，按得票高低推荐排序的前三名中标候选人。若第一轮投票中前三名中标候选人有得票相同且影响中标候选人排序确定的，由定标委员会对总票数相同的单位进行再次票决确定排序,直至决出排序的前三名中标候选人。若定标候选人中没有符合评审要求的三名中标候选人，则宣告本次招标失败。票决采用记名方式并注明投票理由。</w:t>
      </w:r>
    </w:p>
    <w:p w14:paraId="23B939DD">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b/>
          <w:bCs/>
          <w:snapToGrid w:val="0"/>
          <w:color w:val="auto"/>
          <w:kern w:val="0"/>
          <w:highlight w:val="none"/>
        </w:rPr>
      </w:pPr>
      <w:r>
        <w:rPr>
          <w:rFonts w:hint="eastAsia" w:hAnsi="宋体" w:eastAsia="宋体" w:cs="宋体"/>
          <w:b/>
          <w:bCs/>
          <w:snapToGrid w:val="0"/>
          <w:color w:val="auto"/>
          <w:kern w:val="0"/>
          <w:highlight w:val="none"/>
          <w:lang w:val="en-US" w:eastAsia="zh-CN"/>
        </w:rPr>
        <w:t>2.1.1</w:t>
      </w:r>
      <w:r>
        <w:rPr>
          <w:rFonts w:hint="eastAsia" w:ascii="宋体" w:hAnsi="宋体" w:eastAsia="宋体" w:cs="宋体"/>
          <w:b/>
          <w:bCs/>
          <w:snapToGrid w:val="0"/>
          <w:color w:val="auto"/>
          <w:kern w:val="0"/>
          <w:highlight w:val="none"/>
        </w:rPr>
        <w:t>项目情况介绍</w:t>
      </w:r>
    </w:p>
    <w:p w14:paraId="7322B89B">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招标人代表介绍项目的概况及招标要求，以及定标方法与定标工作规则，不得发表具有倾向性的言论。</w:t>
      </w:r>
    </w:p>
    <w:p w14:paraId="5B206EB2">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b/>
          <w:bCs/>
          <w:snapToGrid w:val="0"/>
          <w:color w:val="auto"/>
          <w:kern w:val="0"/>
          <w:highlight w:val="none"/>
        </w:rPr>
      </w:pPr>
      <w:r>
        <w:rPr>
          <w:rFonts w:hint="eastAsia" w:hAnsi="宋体" w:eastAsia="宋体" w:cs="宋体"/>
          <w:b/>
          <w:bCs/>
          <w:snapToGrid w:val="0"/>
          <w:color w:val="auto"/>
          <w:kern w:val="0"/>
          <w:highlight w:val="none"/>
          <w:lang w:val="en-US" w:eastAsia="zh-CN"/>
        </w:rPr>
        <w:t>2.1.2</w:t>
      </w:r>
      <w:r>
        <w:rPr>
          <w:rFonts w:hint="eastAsia" w:ascii="宋体" w:hAnsi="宋体" w:eastAsia="宋体" w:cs="宋体"/>
          <w:b/>
          <w:bCs/>
          <w:snapToGrid w:val="0"/>
          <w:color w:val="auto"/>
          <w:kern w:val="0"/>
          <w:highlight w:val="none"/>
        </w:rPr>
        <w:t>审阅定标资料</w:t>
      </w:r>
    </w:p>
    <w:p w14:paraId="11669E03">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定标委员会成员对各定标候选人的投标文件进行审阅，审阅内容主要是定标工作规则所规定的定标因素，聚焦于项目需求与候选人能力的匹配度。</w:t>
      </w:r>
    </w:p>
    <w:p w14:paraId="5E8FB8A7">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b/>
          <w:bCs/>
          <w:snapToGrid w:val="0"/>
          <w:color w:val="auto"/>
          <w:kern w:val="0"/>
          <w:highlight w:val="none"/>
        </w:rPr>
      </w:pPr>
      <w:r>
        <w:rPr>
          <w:rFonts w:hint="eastAsia" w:hAnsi="宋体" w:eastAsia="宋体" w:cs="宋体"/>
          <w:b/>
          <w:bCs/>
          <w:snapToGrid w:val="0"/>
          <w:color w:val="auto"/>
          <w:kern w:val="0"/>
          <w:highlight w:val="none"/>
          <w:lang w:val="en-US" w:eastAsia="zh-CN"/>
        </w:rPr>
        <w:t>2.1.3</w:t>
      </w:r>
      <w:r>
        <w:rPr>
          <w:rFonts w:hint="eastAsia" w:ascii="宋体" w:hAnsi="宋体" w:eastAsia="宋体" w:cs="宋体"/>
          <w:b/>
          <w:bCs/>
          <w:snapToGrid w:val="0"/>
          <w:color w:val="auto"/>
          <w:kern w:val="0"/>
          <w:highlight w:val="none"/>
        </w:rPr>
        <w:t>疑问澄清</w:t>
      </w:r>
    </w:p>
    <w:p w14:paraId="0C40A846">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讨论过程中，若成员对投标文件内容或项目细节存在疑问，可向招标人代表提出。招标人应现场作出答复，答复内容不得改变招标文件和投标文件的实质性内容，不得明示或暗示中标人。问答过程需形成书面记录，并由提问人与答复人签字确认。</w:t>
      </w:r>
    </w:p>
    <w:p w14:paraId="2970C57A">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b/>
          <w:bCs/>
          <w:snapToGrid w:val="0"/>
          <w:color w:val="auto"/>
          <w:kern w:val="0"/>
          <w:highlight w:val="none"/>
        </w:rPr>
      </w:pPr>
      <w:r>
        <w:rPr>
          <w:rFonts w:hint="eastAsia" w:hAnsi="宋体" w:eastAsia="宋体" w:cs="宋体"/>
          <w:b/>
          <w:bCs/>
          <w:snapToGrid w:val="0"/>
          <w:color w:val="auto"/>
          <w:kern w:val="0"/>
          <w:highlight w:val="none"/>
          <w:lang w:val="en-US" w:eastAsia="zh-CN"/>
        </w:rPr>
        <w:t>2.1.4</w:t>
      </w:r>
      <w:r>
        <w:rPr>
          <w:rFonts w:hint="eastAsia" w:ascii="宋体" w:hAnsi="宋体" w:eastAsia="宋体" w:cs="宋体"/>
          <w:b/>
          <w:bCs/>
          <w:snapToGrid w:val="0"/>
          <w:color w:val="auto"/>
          <w:kern w:val="0"/>
          <w:highlight w:val="none"/>
        </w:rPr>
        <w:t>投票、收票、点票和汇总</w:t>
      </w:r>
    </w:p>
    <w:p w14:paraId="3ABD7858">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定标委员会成员按照票决定标法程序，根据公平、公正、择优原则，独立完成票决后，统一由定标工作人员收集、清点，并对票数进行汇总排名。得票相同且影响中标候选人排序确定的，可由定标委员会对总票数相同的单位进行再次票决确定排序。</w:t>
      </w:r>
    </w:p>
    <w:p w14:paraId="3612F2D6">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b/>
          <w:bCs/>
          <w:snapToGrid w:val="0"/>
          <w:color w:val="auto"/>
          <w:kern w:val="0"/>
          <w:highlight w:val="none"/>
        </w:rPr>
      </w:pPr>
      <w:r>
        <w:rPr>
          <w:rFonts w:hint="eastAsia" w:hAnsi="宋体" w:eastAsia="宋体" w:cs="宋体"/>
          <w:b/>
          <w:bCs/>
          <w:snapToGrid w:val="0"/>
          <w:color w:val="auto"/>
          <w:kern w:val="0"/>
          <w:highlight w:val="none"/>
          <w:lang w:val="en-US" w:eastAsia="zh-CN"/>
        </w:rPr>
        <w:t>2.1.5</w:t>
      </w:r>
      <w:r>
        <w:rPr>
          <w:rFonts w:hint="eastAsia" w:ascii="宋体" w:hAnsi="宋体" w:eastAsia="宋体" w:cs="宋体"/>
          <w:b/>
          <w:bCs/>
          <w:snapToGrid w:val="0"/>
          <w:color w:val="auto"/>
          <w:kern w:val="0"/>
          <w:highlight w:val="none"/>
        </w:rPr>
        <w:t>公布结果和出具定标报告</w:t>
      </w:r>
    </w:p>
    <w:p w14:paraId="08FEA5C2">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点票工作完成后，定标委员会组长汇总定标结果，编制定标报告，确定中标候选人，全体成员签名。</w:t>
      </w:r>
    </w:p>
    <w:p w14:paraId="1C320931">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b/>
          <w:bCs/>
          <w:snapToGrid w:val="0"/>
          <w:color w:val="auto"/>
          <w:kern w:val="0"/>
          <w:highlight w:val="none"/>
        </w:rPr>
      </w:pPr>
      <w:r>
        <w:rPr>
          <w:rFonts w:hint="eastAsia" w:hAnsi="宋体" w:eastAsia="宋体" w:cs="宋体"/>
          <w:b/>
          <w:bCs/>
          <w:snapToGrid w:val="0"/>
          <w:color w:val="auto"/>
          <w:kern w:val="0"/>
          <w:highlight w:val="none"/>
          <w:lang w:val="en-US" w:eastAsia="zh-CN"/>
        </w:rPr>
        <w:t>2.1.6</w:t>
      </w:r>
      <w:r>
        <w:rPr>
          <w:rFonts w:hint="eastAsia" w:ascii="宋体" w:hAnsi="宋体" w:eastAsia="宋体" w:cs="宋体"/>
          <w:b/>
          <w:bCs/>
          <w:snapToGrid w:val="0"/>
          <w:color w:val="auto"/>
          <w:kern w:val="0"/>
          <w:highlight w:val="none"/>
        </w:rPr>
        <w:t>全程监督</w:t>
      </w:r>
    </w:p>
    <w:p w14:paraId="24A721E6">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招标监督小组对集体议定的全过程进行监督，确保程序合规、讨论充分、记录完整，结论形成过程公正、透明。</w:t>
      </w:r>
    </w:p>
    <w:p w14:paraId="10C36E9D">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b/>
          <w:bCs/>
          <w:snapToGrid w:val="0"/>
          <w:color w:val="auto"/>
          <w:kern w:val="0"/>
          <w:highlight w:val="none"/>
        </w:rPr>
      </w:pPr>
      <w:r>
        <w:rPr>
          <w:rFonts w:hint="eastAsia" w:hAnsi="宋体" w:eastAsia="宋体" w:cs="宋体"/>
          <w:b/>
          <w:bCs/>
          <w:snapToGrid w:val="0"/>
          <w:color w:val="auto"/>
          <w:kern w:val="0"/>
          <w:highlight w:val="none"/>
          <w:lang w:val="en-US" w:eastAsia="zh-CN"/>
        </w:rPr>
        <w:t>2.2</w:t>
      </w:r>
      <w:r>
        <w:rPr>
          <w:rFonts w:hint="eastAsia" w:ascii="宋体" w:hAnsi="宋体" w:eastAsia="宋体" w:cs="宋体"/>
          <w:b/>
          <w:bCs/>
          <w:snapToGrid w:val="0"/>
          <w:color w:val="auto"/>
          <w:kern w:val="0"/>
          <w:highlight w:val="none"/>
        </w:rPr>
        <w:t>定标因素</w:t>
      </w:r>
    </w:p>
    <w:p w14:paraId="20969D96">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在同等条件下，择优的定标因素和相对标准有以下几个方面：</w:t>
      </w:r>
    </w:p>
    <w:p w14:paraId="6E205CF2">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拟派团队管理能力与水平（履约能力）</w:t>
      </w:r>
    </w:p>
    <w:p w14:paraId="5ABA4214">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相对标准：拟派团队管理能力与水平（履约能力）强的定标候选人优于拟派团队管理能力与水平（履约能力）一般的定标候选人。</w:t>
      </w:r>
    </w:p>
    <w:p w14:paraId="1BD2F346">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企业信誉</w:t>
      </w:r>
    </w:p>
    <w:p w14:paraId="6ADB6936">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相对标准：企业信誉评价好的定标候选人优于企业信誉评价一般的定标候选人。</w:t>
      </w:r>
    </w:p>
    <w:p w14:paraId="4C6C427C">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w:t>
      </w:r>
      <w:r>
        <w:rPr>
          <w:rFonts w:hint="eastAsia" w:hAnsi="宋体" w:cs="宋体"/>
          <w:snapToGrid w:val="0"/>
          <w:color w:val="auto"/>
          <w:kern w:val="0"/>
          <w:highlight w:val="none"/>
          <w:lang w:val="en-US" w:eastAsia="zh-CN"/>
        </w:rPr>
        <w:t>监理大纲</w:t>
      </w:r>
    </w:p>
    <w:p w14:paraId="4CBC37D3">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相对标准：</w:t>
      </w:r>
      <w:r>
        <w:rPr>
          <w:rFonts w:hint="eastAsia" w:hAnsi="宋体" w:cs="宋体"/>
          <w:snapToGrid w:val="0"/>
          <w:color w:val="auto"/>
          <w:kern w:val="0"/>
          <w:highlight w:val="none"/>
          <w:lang w:val="en-US" w:eastAsia="zh-CN"/>
        </w:rPr>
        <w:t>监理大纲</w:t>
      </w:r>
      <w:r>
        <w:rPr>
          <w:rFonts w:hint="eastAsia" w:ascii="宋体" w:hAnsi="宋体" w:eastAsia="宋体" w:cs="宋体"/>
          <w:snapToGrid w:val="0"/>
          <w:color w:val="auto"/>
          <w:kern w:val="0"/>
          <w:highlight w:val="none"/>
        </w:rPr>
        <w:t>优良的定标候选人优于</w:t>
      </w:r>
      <w:r>
        <w:rPr>
          <w:rFonts w:hint="eastAsia" w:hAnsi="宋体" w:cs="宋体"/>
          <w:snapToGrid w:val="0"/>
          <w:color w:val="auto"/>
          <w:kern w:val="0"/>
          <w:highlight w:val="none"/>
          <w:lang w:val="en-US" w:eastAsia="zh-CN"/>
        </w:rPr>
        <w:t>监理大纲</w:t>
      </w:r>
      <w:r>
        <w:rPr>
          <w:rFonts w:hint="eastAsia" w:ascii="宋体" w:hAnsi="宋体" w:eastAsia="宋体" w:cs="宋体"/>
          <w:snapToGrid w:val="0"/>
          <w:color w:val="auto"/>
          <w:kern w:val="0"/>
          <w:highlight w:val="none"/>
        </w:rPr>
        <w:t>一般的定标候选人。</w:t>
      </w:r>
    </w:p>
    <w:p w14:paraId="4D79F69B">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评标报告</w:t>
      </w:r>
    </w:p>
    <w:p w14:paraId="54AEA607">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相对标准：评标委员会评审意见为具有优势风险低的定标候选人优于评标委员会评审意见为没有优势风险高的定标候选人（综合考虑评标委员会的评审意见，对各定标候选人的优势、风险等评审情况进行评审比较）。</w:t>
      </w:r>
    </w:p>
    <w:p w14:paraId="7FC57C14">
      <w:pPr>
        <w:pStyle w:val="4"/>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lang w:val="en-US" w:eastAsia="zh-CN"/>
        </w:rPr>
      </w:pPr>
      <w:bookmarkStart w:id="72" w:name="_Toc29036"/>
      <w:bookmarkStart w:id="73" w:name="_Toc32345"/>
      <w:r>
        <w:rPr>
          <w:rFonts w:hint="eastAsia" w:ascii="宋体" w:hAnsi="宋体" w:eastAsia="宋体" w:cs="宋体"/>
          <w:b/>
          <w:snapToGrid w:val="0"/>
          <w:color w:val="auto"/>
          <w:highlight w:val="none"/>
          <w:lang w:val="en-US" w:eastAsia="zh-CN"/>
        </w:rPr>
        <w:t>3.定标结果公示</w:t>
      </w:r>
      <w:bookmarkEnd w:id="72"/>
      <w:bookmarkEnd w:id="73"/>
      <w:r>
        <w:rPr>
          <w:rFonts w:hint="eastAsia" w:ascii="宋体" w:hAnsi="宋体" w:eastAsia="宋体" w:cs="宋体"/>
          <w:b/>
          <w:snapToGrid w:val="0"/>
          <w:color w:val="auto"/>
          <w:highlight w:val="none"/>
          <w:lang w:val="en-US" w:eastAsia="zh-CN"/>
        </w:rPr>
        <w:t xml:space="preserve">  </w:t>
      </w:r>
    </w:p>
    <w:p w14:paraId="46D74AE0">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hAnsi="宋体" w:eastAsia="宋体" w:cs="宋体"/>
          <w:b/>
          <w:bCs/>
          <w:snapToGrid w:val="0"/>
          <w:color w:val="auto"/>
          <w:kern w:val="0"/>
          <w:highlight w:val="none"/>
          <w:lang w:val="en-US" w:eastAsia="zh-CN"/>
        </w:rPr>
        <w:t>3.1</w:t>
      </w:r>
      <w:r>
        <w:rPr>
          <w:rFonts w:hint="eastAsia" w:ascii="宋体" w:hAnsi="宋体" w:eastAsia="宋体" w:cs="宋体"/>
          <w:strike w:val="0"/>
          <w:dstrike w:val="0"/>
          <w:color w:val="auto"/>
          <w:kern w:val="2"/>
          <w:sz w:val="24"/>
          <w:szCs w:val="24"/>
          <w:highlight w:val="none"/>
          <w:u w:val="none"/>
          <w:lang w:val="en-US" w:eastAsia="zh-CN" w:bidi="ar-SA"/>
        </w:rPr>
        <w:t>定标委员会完成定标后，招标人应在收到定标报告之日起3日内将中标候选人和定标情况在广东省招标投标监管网和韶关市公共资源交易中心工程交易系统上公示，公示时间不少于3日。</w:t>
      </w:r>
      <w:r>
        <w:rPr>
          <w:rFonts w:hint="eastAsia" w:ascii="宋体" w:hAnsi="宋体" w:eastAsia="宋体" w:cs="宋体"/>
          <w:snapToGrid w:val="0"/>
          <w:color w:val="auto"/>
          <w:kern w:val="0"/>
          <w:highlight w:val="none"/>
        </w:rPr>
        <w:t>公示主要内容包括：公示主要内容包括：定标报告（定标成员信息除外）、中标人名单、中标价和拟投入本项目的项目负责人、技术负责人及各专业负责人（如有）等内容。</w:t>
      </w:r>
    </w:p>
    <w:p w14:paraId="28E0961F">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lang w:val="en-US" w:eastAsia="zh-CN"/>
        </w:rPr>
        <w:t>3.2</w:t>
      </w:r>
      <w:r>
        <w:rPr>
          <w:rFonts w:hint="eastAsia" w:ascii="宋体" w:hAnsi="宋体" w:eastAsia="宋体" w:cs="宋体"/>
          <w:snapToGrid w:val="0"/>
          <w:color w:val="auto"/>
          <w:kern w:val="0"/>
          <w:highlight w:val="none"/>
        </w:rPr>
        <w:t>投标人或者其他利害关系人对招标项目的中标结果有异议的，应当在中标候选人公示期间按规定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2020〕19 号）执行。如通过交易服务平台提出异议，投标人必须上传提交异议书扫描件（作为附件），异议书格式内容按照《韶关市工程建设项目招标投标活动异议和投诉处理办法》（韶法审〔2020〕19 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7D0171C1">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hAnsi="宋体" w:eastAsia="宋体" w:cs="宋体"/>
          <w:b/>
          <w:bCs/>
          <w:snapToGrid w:val="0"/>
          <w:color w:val="auto"/>
          <w:kern w:val="0"/>
          <w:highlight w:val="none"/>
          <w:lang w:val="en-US" w:eastAsia="zh-CN"/>
        </w:rPr>
        <w:t>3.3</w:t>
      </w:r>
      <w:r>
        <w:rPr>
          <w:rFonts w:hint="eastAsia" w:ascii="宋体" w:hAnsi="宋体" w:eastAsia="宋体" w:cs="宋体"/>
          <w:snapToGrid w:val="0"/>
          <w:color w:val="auto"/>
          <w:kern w:val="0"/>
          <w:highlight w:val="none"/>
        </w:rPr>
        <w:t>投标人或其他利害关系人认为招标投标活动不符合法律、行政法规规定的，可以自知道或者应当知道之日起10日内按规定线上向有关招标管理部门投诉。投诉应当有明确的请求和必要的证明材料。招标管理部门应当自收到投诉之日起30个工作日内作出书面处理决定。</w:t>
      </w:r>
    </w:p>
    <w:p w14:paraId="5E0E8692">
      <w:pPr>
        <w:pStyle w:val="4"/>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lang w:val="en-US" w:eastAsia="zh-CN"/>
        </w:rPr>
      </w:pPr>
      <w:bookmarkStart w:id="74" w:name="_Toc24457"/>
      <w:bookmarkStart w:id="75" w:name="_Toc28855"/>
      <w:r>
        <w:rPr>
          <w:rFonts w:hint="eastAsia" w:ascii="宋体" w:hAnsi="宋体" w:eastAsia="宋体" w:cs="宋体"/>
          <w:b/>
          <w:snapToGrid w:val="0"/>
          <w:color w:val="auto"/>
          <w:highlight w:val="none"/>
          <w:lang w:val="en-US" w:eastAsia="zh-CN"/>
        </w:rPr>
        <w:t>4.中标确认</w:t>
      </w:r>
      <w:bookmarkEnd w:id="74"/>
      <w:bookmarkEnd w:id="75"/>
    </w:p>
    <w:p w14:paraId="580587AA">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中标人确定</w:t>
      </w:r>
      <w:r>
        <w:rPr>
          <w:rFonts w:hint="eastAsia"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中标结果公示期满无（投诉）后，招标人确认排名第一的中标候选人为中标人，中标人的投标报价即为中标价。</w:t>
      </w:r>
    </w:p>
    <w:p w14:paraId="54299270">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p>
    <w:p w14:paraId="3F9C0E57">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p>
    <w:p w14:paraId="47306078">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p>
    <w:p w14:paraId="240A6FD4">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p>
    <w:p w14:paraId="15C975DD">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p>
    <w:p w14:paraId="689615A1">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p>
    <w:p w14:paraId="79E5796C">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p>
    <w:p w14:paraId="008514AD">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p>
    <w:p w14:paraId="32485CAC">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p>
    <w:p w14:paraId="0C687D8D">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p>
    <w:p w14:paraId="79F88E40">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p>
    <w:p w14:paraId="7AF99ABE">
      <w:pPr>
        <w:pageBreakBefore w:val="0"/>
        <w:kinsoku/>
        <w:wordWrap w:val="0"/>
        <w:overflowPunct/>
        <w:topLinePunct w:val="0"/>
        <w:bidi w:val="0"/>
        <w:adjustRightInd w:val="0"/>
        <w:snapToGrid w:val="0"/>
        <w:spacing w:line="500" w:lineRule="exact"/>
        <w:textAlignment w:val="auto"/>
        <w:rPr>
          <w:rFonts w:hint="eastAsia" w:ascii="宋体" w:hAnsi="宋体" w:eastAsia="宋体" w:cs="宋体"/>
          <w:snapToGrid w:val="0"/>
          <w:color w:val="auto"/>
          <w:kern w:val="0"/>
          <w:highlight w:val="none"/>
        </w:rPr>
      </w:pPr>
    </w:p>
    <w:bookmarkEnd w:id="55"/>
    <w:p w14:paraId="753E11E4">
      <w:pPr>
        <w:pStyle w:val="2"/>
        <w:wordWrap w:val="0"/>
        <w:autoSpaceDE/>
        <w:autoSpaceDN/>
        <w:snapToGrid w:val="0"/>
        <w:spacing w:line="440" w:lineRule="exact"/>
        <w:jc w:val="center"/>
        <w:rPr>
          <w:rFonts w:hAnsi="宋体" w:cs="宋体"/>
          <w:b/>
          <w:snapToGrid w:val="0"/>
          <w:color w:val="auto"/>
          <w:sz w:val="32"/>
          <w:szCs w:val="22"/>
          <w:highlight w:val="none"/>
        </w:rPr>
      </w:pPr>
      <w:bookmarkStart w:id="76" w:name="_Hlt112206772"/>
      <w:bookmarkEnd w:id="76"/>
      <w:bookmarkStart w:id="77" w:name="_Hlt69669771"/>
      <w:bookmarkEnd w:id="77"/>
      <w:bookmarkStart w:id="78" w:name="_Hlt87952408"/>
      <w:bookmarkEnd w:id="78"/>
      <w:bookmarkStart w:id="79" w:name="_Hlt70150994"/>
      <w:bookmarkEnd w:id="79"/>
      <w:bookmarkStart w:id="80" w:name="_Toc28020"/>
      <w:bookmarkStart w:id="81" w:name="_Hlt69698722"/>
      <w:bookmarkStart w:id="82" w:name="_Hlt69698769"/>
      <w:bookmarkStart w:id="83" w:name="_Hlt69698741"/>
      <w:r>
        <w:rPr>
          <w:rFonts w:hint="eastAsia" w:hAnsi="宋体" w:cs="宋体"/>
          <w:b/>
          <w:snapToGrid w:val="0"/>
          <w:color w:val="auto"/>
          <w:sz w:val="32"/>
          <w:szCs w:val="22"/>
          <w:highlight w:val="none"/>
        </w:rPr>
        <w:t>第</w:t>
      </w:r>
      <w:bookmarkStart w:id="84" w:name="_Hlt69669171"/>
      <w:bookmarkEnd w:id="84"/>
      <w:r>
        <w:rPr>
          <w:rFonts w:hint="eastAsia" w:hAnsi="宋体" w:cs="宋体"/>
          <w:b/>
          <w:snapToGrid w:val="0"/>
          <w:color w:val="auto"/>
          <w:sz w:val="32"/>
          <w:szCs w:val="22"/>
          <w:highlight w:val="none"/>
        </w:rPr>
        <w:t>二章</w:t>
      </w:r>
      <w:bookmarkStart w:id="85" w:name="_Hlt87793839"/>
      <w:bookmarkEnd w:id="85"/>
      <w:r>
        <w:rPr>
          <w:rFonts w:hint="eastAsia" w:hAnsi="宋体" w:cs="宋体"/>
          <w:b/>
          <w:snapToGrid w:val="0"/>
          <w:color w:val="auto"/>
          <w:sz w:val="32"/>
          <w:szCs w:val="22"/>
          <w:highlight w:val="none"/>
        </w:rPr>
        <w:t xml:space="preserve"> 中标人须知</w:t>
      </w:r>
      <w:bookmarkEnd w:id="80"/>
    </w:p>
    <w:bookmarkEnd w:id="81"/>
    <w:bookmarkEnd w:id="82"/>
    <w:bookmarkEnd w:id="83"/>
    <w:p w14:paraId="38AEC5D6">
      <w:pPr>
        <w:bidi w:val="0"/>
        <w:rPr>
          <w:color w:val="auto"/>
          <w:highlight w:val="none"/>
        </w:rPr>
      </w:pPr>
    </w:p>
    <w:p w14:paraId="33D6C730">
      <w:pPr>
        <w:keepNext w:val="0"/>
        <w:keepLines w:val="0"/>
        <w:pageBreakBefore w:val="0"/>
        <w:widowControl w:val="0"/>
        <w:kinsoku/>
        <w:wordWrap w:val="0"/>
        <w:overflowPunct/>
        <w:topLinePunct w:val="0"/>
        <w:autoSpaceDE/>
        <w:autoSpaceDN/>
        <w:bidi w:val="0"/>
        <w:adjustRightInd w:val="0"/>
        <w:snapToGrid w:val="0"/>
        <w:spacing w:line="360" w:lineRule="auto"/>
        <w:ind w:firstLine="562"/>
        <w:textAlignment w:val="auto"/>
        <w:outlineLvl w:val="1"/>
        <w:rPr>
          <w:rFonts w:hAnsi="宋体" w:cs="宋体"/>
          <w:snapToGrid w:val="0"/>
          <w:color w:val="auto"/>
          <w:kern w:val="0"/>
          <w:szCs w:val="24"/>
          <w:highlight w:val="none"/>
        </w:rPr>
      </w:pPr>
      <w:bookmarkStart w:id="86" w:name="_Toc13203"/>
      <w:bookmarkStart w:id="87" w:name="_Toc30174"/>
      <w:bookmarkStart w:id="88" w:name="_Toc15170"/>
      <w:bookmarkStart w:id="89" w:name="_Toc8149"/>
      <w:bookmarkStart w:id="90" w:name="_Toc31521"/>
      <w:bookmarkStart w:id="91" w:name="_Toc21594"/>
      <w:bookmarkStart w:id="92" w:name="_Toc18336"/>
      <w:r>
        <w:rPr>
          <w:rFonts w:hint="eastAsia" w:hAnsi="宋体" w:cs="宋体"/>
          <w:b/>
          <w:snapToGrid w:val="0"/>
          <w:color w:val="auto"/>
          <w:kern w:val="0"/>
          <w:szCs w:val="24"/>
          <w:highlight w:val="none"/>
        </w:rPr>
        <w:t>1．中标通知书</w:t>
      </w:r>
      <w:bookmarkEnd w:id="86"/>
      <w:bookmarkEnd w:id="87"/>
      <w:bookmarkEnd w:id="88"/>
      <w:bookmarkEnd w:id="89"/>
      <w:bookmarkEnd w:id="90"/>
      <w:bookmarkEnd w:id="91"/>
      <w:bookmarkEnd w:id="92"/>
    </w:p>
    <w:p w14:paraId="11A1ADEE">
      <w:pPr>
        <w:keepNext w:val="0"/>
        <w:keepLines w:val="0"/>
        <w:pageBreakBefore w:val="0"/>
        <w:widowControl w:val="0"/>
        <w:kinsoku/>
        <w:wordWrap w:val="0"/>
        <w:overflowPunct/>
        <w:topLinePunct w:val="0"/>
        <w:autoSpaceDE/>
        <w:autoSpaceDN/>
        <w:bidi w:val="0"/>
        <w:adjustRightInd w:val="0"/>
        <w:snapToGrid w:val="0"/>
        <w:spacing w:line="360" w:lineRule="auto"/>
        <w:ind w:firstLine="562"/>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7E979E6B">
      <w:pPr>
        <w:keepNext w:val="0"/>
        <w:keepLines w:val="0"/>
        <w:pageBreakBefore w:val="0"/>
        <w:widowControl w:val="0"/>
        <w:kinsoku/>
        <w:wordWrap w:val="0"/>
        <w:overflowPunct/>
        <w:topLinePunct w:val="0"/>
        <w:autoSpaceDE/>
        <w:autoSpaceDN/>
        <w:bidi w:val="0"/>
        <w:adjustRightInd w:val="0"/>
        <w:snapToGrid w:val="0"/>
        <w:spacing w:line="360" w:lineRule="auto"/>
        <w:ind w:firstLine="562"/>
        <w:textAlignment w:val="auto"/>
        <w:outlineLvl w:val="1"/>
        <w:rPr>
          <w:rFonts w:hAnsi="宋体" w:cs="宋体"/>
          <w:snapToGrid w:val="0"/>
          <w:color w:val="auto"/>
          <w:kern w:val="0"/>
          <w:szCs w:val="24"/>
          <w:highlight w:val="none"/>
        </w:rPr>
      </w:pPr>
      <w:bookmarkStart w:id="93" w:name="_Toc10931"/>
      <w:bookmarkStart w:id="94" w:name="_Toc1519"/>
      <w:bookmarkStart w:id="95" w:name="_Toc28601"/>
      <w:bookmarkStart w:id="96" w:name="_Toc26525"/>
      <w:bookmarkStart w:id="97" w:name="_Toc23133"/>
      <w:bookmarkStart w:id="98" w:name="_Toc17251"/>
      <w:bookmarkStart w:id="99" w:name="_Toc30560"/>
      <w:r>
        <w:rPr>
          <w:rFonts w:hint="eastAsia" w:hAnsi="宋体" w:cs="宋体"/>
          <w:b/>
          <w:bCs/>
          <w:snapToGrid w:val="0"/>
          <w:color w:val="auto"/>
          <w:kern w:val="0"/>
          <w:szCs w:val="24"/>
          <w:highlight w:val="none"/>
        </w:rPr>
        <w:t>2．中标结果公示</w:t>
      </w:r>
      <w:bookmarkEnd w:id="93"/>
      <w:bookmarkEnd w:id="94"/>
      <w:bookmarkEnd w:id="95"/>
      <w:bookmarkEnd w:id="96"/>
      <w:bookmarkEnd w:id="97"/>
      <w:bookmarkEnd w:id="98"/>
      <w:bookmarkEnd w:id="99"/>
    </w:p>
    <w:p w14:paraId="52B0780F">
      <w:pPr>
        <w:keepNext w:val="0"/>
        <w:keepLines w:val="0"/>
        <w:pageBreakBefore w:val="0"/>
        <w:widowControl w:val="0"/>
        <w:kinsoku/>
        <w:wordWrap w:val="0"/>
        <w:overflowPunct/>
        <w:topLinePunct w:val="0"/>
        <w:autoSpaceDE/>
        <w:autoSpaceDN/>
        <w:bidi w:val="0"/>
        <w:adjustRightInd w:val="0"/>
        <w:snapToGrid w:val="0"/>
        <w:spacing w:line="360" w:lineRule="auto"/>
        <w:ind w:firstLine="562"/>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中标通知书发出后15日内，招标人应将中标结果在广东省招标投标监管网</w:t>
      </w:r>
      <w:r>
        <w:rPr>
          <w:rFonts w:hint="eastAsia" w:ascii="宋体" w:hAnsi="宋体" w:eastAsia="宋体" w:cs="宋体"/>
          <w:snapToGrid w:val="0"/>
          <w:color w:val="auto"/>
          <w:kern w:val="0"/>
          <w:sz w:val="24"/>
          <w:szCs w:val="24"/>
          <w:highlight w:val="none"/>
          <w:lang w:eastAsia="zh-CN"/>
        </w:rPr>
        <w:t>（https://zbtb.gd.gov.cn/#/index）</w:t>
      </w:r>
      <w:r>
        <w:rPr>
          <w:rFonts w:hint="eastAsia" w:ascii="宋体" w:hAnsi="宋体" w:eastAsia="宋体" w:cs="宋体"/>
          <w:snapToGrid w:val="0"/>
          <w:color w:val="auto"/>
          <w:kern w:val="0"/>
          <w:sz w:val="24"/>
          <w:szCs w:val="24"/>
          <w:highlight w:val="none"/>
        </w:rPr>
        <w:t>及</w:t>
      </w:r>
      <w:r>
        <w:rPr>
          <w:rFonts w:hint="eastAsia" w:ascii="宋体" w:hAnsi="宋体" w:eastAsia="宋体" w:cs="宋体"/>
          <w:snapToGrid w:val="0"/>
          <w:color w:val="auto"/>
          <w:kern w:val="0"/>
          <w:sz w:val="24"/>
          <w:szCs w:val="24"/>
          <w:highlight w:val="none"/>
          <w:lang w:val="en-US"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进行公示。</w:t>
      </w:r>
      <w:bookmarkStart w:id="100" w:name="_Toc20923"/>
      <w:bookmarkStart w:id="101" w:name="_Toc16211"/>
      <w:bookmarkStart w:id="102" w:name="_Toc23475"/>
      <w:bookmarkStart w:id="103" w:name="_Toc25367"/>
      <w:bookmarkStart w:id="104" w:name="_Toc22628"/>
    </w:p>
    <w:p w14:paraId="7573F4F2">
      <w:pPr>
        <w:keepNext w:val="0"/>
        <w:keepLines w:val="0"/>
        <w:pageBreakBefore w:val="0"/>
        <w:widowControl w:val="0"/>
        <w:kinsoku/>
        <w:wordWrap w:val="0"/>
        <w:overflowPunct/>
        <w:topLinePunct w:val="0"/>
        <w:autoSpaceDE/>
        <w:autoSpaceDN/>
        <w:bidi w:val="0"/>
        <w:adjustRightInd w:val="0"/>
        <w:snapToGrid w:val="0"/>
        <w:spacing w:line="360" w:lineRule="auto"/>
        <w:ind w:firstLine="562"/>
        <w:textAlignment w:val="auto"/>
        <w:outlineLvl w:val="1"/>
        <w:rPr>
          <w:rFonts w:hint="eastAsia" w:hAnsi="宋体" w:cs="宋体"/>
          <w:b/>
          <w:bCs/>
          <w:snapToGrid w:val="0"/>
          <w:color w:val="auto"/>
          <w:kern w:val="0"/>
          <w:szCs w:val="24"/>
          <w:highlight w:val="none"/>
        </w:rPr>
      </w:pPr>
      <w:bookmarkStart w:id="105" w:name="_Toc32445"/>
      <w:bookmarkStart w:id="106" w:name="_Toc17913"/>
      <w:r>
        <w:rPr>
          <w:rFonts w:hint="eastAsia" w:hAnsi="宋体" w:cs="宋体"/>
          <w:b/>
          <w:bCs/>
          <w:snapToGrid w:val="0"/>
          <w:color w:val="auto"/>
          <w:kern w:val="0"/>
          <w:szCs w:val="24"/>
          <w:highlight w:val="none"/>
          <w:lang w:val="en-US" w:eastAsia="zh-CN"/>
        </w:rPr>
        <w:t>3</w:t>
      </w:r>
      <w:r>
        <w:rPr>
          <w:rFonts w:hint="eastAsia" w:hAnsi="宋体" w:cs="宋体"/>
          <w:b/>
          <w:bCs/>
          <w:snapToGrid w:val="0"/>
          <w:color w:val="auto"/>
          <w:kern w:val="0"/>
          <w:szCs w:val="24"/>
          <w:highlight w:val="none"/>
        </w:rPr>
        <w:t>．履约保证</w:t>
      </w:r>
      <w:bookmarkEnd w:id="105"/>
      <w:bookmarkEnd w:id="106"/>
    </w:p>
    <w:p w14:paraId="3C0B5C83">
      <w:pPr>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ind w:firstLine="482" w:firstLineChars="200"/>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rPr>
        <w:t>3.1</w:t>
      </w:r>
      <w:r>
        <w:rPr>
          <w:rFonts w:hint="eastAsia" w:ascii="宋体" w:hAnsi="宋体" w:eastAsia="宋体" w:cs="宋体"/>
          <w:snapToGrid w:val="0"/>
          <w:color w:val="auto"/>
          <w:kern w:val="0"/>
          <w:sz w:val="24"/>
          <w:szCs w:val="24"/>
          <w:highlight w:val="none"/>
        </w:rPr>
        <w:t xml:space="preserve"> 中标人须在领取中标通知书之日起</w:t>
      </w:r>
      <w:r>
        <w:rPr>
          <w:rFonts w:hint="eastAsia" w:ascii="宋体" w:hAnsi="宋体" w:eastAsia="宋体" w:cs="宋体"/>
          <w:snapToGrid w:val="0"/>
          <w:color w:val="auto"/>
          <w:kern w:val="0"/>
          <w:sz w:val="24"/>
          <w:szCs w:val="24"/>
          <w:highlight w:val="none"/>
          <w:u w:val="single"/>
        </w:rPr>
        <w:t xml:space="preserve"> 10 </w:t>
      </w:r>
      <w:r>
        <w:rPr>
          <w:rFonts w:hint="eastAsia" w:ascii="宋体" w:hAnsi="宋体" w:eastAsia="宋体" w:cs="宋体"/>
          <w:snapToGrid w:val="0"/>
          <w:color w:val="auto"/>
          <w:kern w:val="0"/>
          <w:sz w:val="24"/>
          <w:szCs w:val="24"/>
          <w:highlight w:val="none"/>
        </w:rPr>
        <w:t>个工作日内、签订合同前向招标人提交金额为中标价</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3</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%的履约保证。</w:t>
      </w:r>
    </w:p>
    <w:p w14:paraId="29BD7206">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3.2</w:t>
      </w:r>
      <w:r>
        <w:rPr>
          <w:rFonts w:hint="eastAsia" w:ascii="宋体" w:hAnsi="宋体" w:eastAsia="宋体" w:cs="宋体"/>
          <w:snapToGrid w:val="0"/>
          <w:color w:val="auto"/>
          <w:kern w:val="0"/>
          <w:sz w:val="24"/>
          <w:szCs w:val="24"/>
          <w:highlight w:val="none"/>
        </w:rPr>
        <w:t xml:space="preserve"> 履约保证的形式包括履约保证金、履约保证担保、履约保证保险三种，中标通知书发出时，招标人发起收缴履约保证金并填写保证金金额、缴交时限和项目工期；由中标人在建设工程交易系统中自主选择一种进行缴交。项目竣工后，由招标人发起退保。</w:t>
      </w:r>
    </w:p>
    <w:p w14:paraId="0517450E">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并由招标人通报建设行政管理部门。如采用银行保函或保险合同方式缴纳履约保证金，在保函或保险合同到期前一个月，中标人须主动办理续期手续或提交新的银行保函或保险合同。</w:t>
      </w:r>
    </w:p>
    <w:p w14:paraId="191AA2C0">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在项目实施过程中，如果承包人（即招标阶段的中标人，下同）由于自身的资金、技术、质量、非不可抗力等原因给发包人（即招标阶段的招标人，下同）造成经济损失，发包人有权扣划相应金额的履约保证。</w:t>
      </w:r>
    </w:p>
    <w:p w14:paraId="71E06F02">
      <w:pPr>
        <w:bidi w:val="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3.5</w:t>
      </w:r>
      <w:r>
        <w:rPr>
          <w:rFonts w:hint="eastAsia" w:ascii="宋体" w:hAnsi="宋体" w:eastAsia="宋体" w:cs="宋体"/>
          <w:snapToGrid w:val="0"/>
          <w:color w:val="auto"/>
          <w:kern w:val="0"/>
          <w:sz w:val="24"/>
          <w:szCs w:val="24"/>
          <w:highlight w:val="none"/>
        </w:rPr>
        <w:t xml:space="preserve"> 项目通过竣工验收之日后28天内，发包人将履约保证退还给承包人。</w:t>
      </w:r>
    </w:p>
    <w:p w14:paraId="26AA120B">
      <w:pPr>
        <w:keepNext w:val="0"/>
        <w:keepLines w:val="0"/>
        <w:pageBreakBefore w:val="0"/>
        <w:widowControl w:val="0"/>
        <w:kinsoku/>
        <w:wordWrap w:val="0"/>
        <w:overflowPunct/>
        <w:topLinePunct w:val="0"/>
        <w:autoSpaceDE/>
        <w:autoSpaceDN/>
        <w:bidi w:val="0"/>
        <w:adjustRightInd w:val="0"/>
        <w:snapToGrid w:val="0"/>
        <w:spacing w:line="360" w:lineRule="auto"/>
        <w:ind w:firstLine="562"/>
        <w:textAlignment w:val="auto"/>
        <w:outlineLvl w:val="1"/>
        <w:rPr>
          <w:rFonts w:hint="eastAsia" w:hAnsi="宋体" w:cs="宋体"/>
          <w:b/>
          <w:bCs/>
          <w:snapToGrid w:val="0"/>
          <w:color w:val="auto"/>
          <w:kern w:val="0"/>
          <w:szCs w:val="24"/>
          <w:highlight w:val="none"/>
          <w:lang w:val="en-US" w:eastAsia="zh-CN"/>
        </w:rPr>
      </w:pPr>
      <w:bookmarkStart w:id="107" w:name="_Toc21100"/>
      <w:bookmarkStart w:id="108" w:name="_Toc5474"/>
      <w:r>
        <w:rPr>
          <w:rFonts w:hint="eastAsia" w:hAnsi="宋体" w:cs="宋体"/>
          <w:b/>
          <w:bCs/>
          <w:snapToGrid w:val="0"/>
          <w:color w:val="auto"/>
          <w:kern w:val="0"/>
          <w:szCs w:val="24"/>
          <w:highlight w:val="none"/>
          <w:lang w:val="en-US" w:eastAsia="zh-CN"/>
        </w:rPr>
        <w:t>4.合同订立</w:t>
      </w:r>
      <w:bookmarkEnd w:id="100"/>
      <w:bookmarkEnd w:id="101"/>
      <w:bookmarkEnd w:id="102"/>
      <w:bookmarkEnd w:id="103"/>
      <w:bookmarkEnd w:id="104"/>
      <w:bookmarkEnd w:id="107"/>
      <w:bookmarkEnd w:id="108"/>
    </w:p>
    <w:p w14:paraId="32BFD301">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4</w:t>
      </w:r>
      <w:r>
        <w:rPr>
          <w:rFonts w:hint="eastAsia" w:hAnsi="宋体" w:cs="宋体"/>
          <w:b/>
          <w:bCs/>
          <w:snapToGrid w:val="0"/>
          <w:color w:val="auto"/>
          <w:kern w:val="0"/>
          <w:szCs w:val="24"/>
          <w:highlight w:val="none"/>
        </w:rPr>
        <w:t>.1</w:t>
      </w:r>
      <w:r>
        <w:rPr>
          <w:rFonts w:hint="eastAsia" w:hAnsi="宋体" w:cs="宋体"/>
          <w:snapToGrid w:val="0"/>
          <w:color w:val="auto"/>
          <w:kern w:val="0"/>
          <w:szCs w:val="24"/>
          <w:highlight w:val="none"/>
        </w:rPr>
        <w:t xml:space="preserve"> 招标人应当自中标通知书发出之日起</w:t>
      </w:r>
      <w:r>
        <w:rPr>
          <w:rFonts w:hint="eastAsia" w:hAnsi="宋体" w:cs="宋体"/>
          <w:snapToGrid w:val="0"/>
          <w:color w:val="auto"/>
          <w:kern w:val="0"/>
          <w:szCs w:val="24"/>
          <w:highlight w:val="none"/>
          <w:u w:val="single"/>
        </w:rPr>
        <w:t xml:space="preserve"> 30 </w:t>
      </w:r>
      <w:r>
        <w:rPr>
          <w:rFonts w:hint="eastAsia" w:hAnsi="宋体" w:cs="宋体"/>
          <w:snapToGrid w:val="0"/>
          <w:color w:val="auto"/>
          <w:kern w:val="0"/>
          <w:szCs w:val="24"/>
          <w:highlight w:val="none"/>
        </w:rPr>
        <w:t>日内，按照招标文件、中标人的投标文件与中标人订立书面合同。</w:t>
      </w:r>
    </w:p>
    <w:p w14:paraId="1CED438A">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4</w:t>
      </w:r>
      <w:r>
        <w:rPr>
          <w:rFonts w:hint="eastAsia" w:hAnsi="宋体" w:cs="宋体"/>
          <w:b/>
          <w:bCs/>
          <w:snapToGrid w:val="0"/>
          <w:color w:val="auto"/>
          <w:kern w:val="0"/>
          <w:szCs w:val="24"/>
          <w:highlight w:val="none"/>
        </w:rPr>
        <w:t>.2</w:t>
      </w:r>
      <w:r>
        <w:rPr>
          <w:rFonts w:hint="eastAsia" w:hAnsi="宋体" w:cs="宋体"/>
          <w:snapToGrid w:val="0"/>
          <w:color w:val="auto"/>
          <w:kern w:val="0"/>
          <w:szCs w:val="24"/>
          <w:highlight w:val="none"/>
        </w:rPr>
        <w:t xml:space="preserve"> 合同的标的、质量、履行期限条款和合同的价款、风险分担等主要条款，应当与招标文件、中标人的投标文件的内容一致。中标人在签订合同时不得向招标人提出附加条件。</w:t>
      </w:r>
    </w:p>
    <w:p w14:paraId="123B3666">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4</w:t>
      </w:r>
      <w:r>
        <w:rPr>
          <w:rFonts w:hint="eastAsia" w:hAnsi="宋体" w:cs="宋体"/>
          <w:b/>
          <w:bCs/>
          <w:snapToGrid w:val="0"/>
          <w:color w:val="auto"/>
          <w:kern w:val="0"/>
          <w:szCs w:val="24"/>
          <w:highlight w:val="none"/>
        </w:rPr>
        <w:t>.3</w:t>
      </w:r>
      <w:r>
        <w:rPr>
          <w:rFonts w:hint="eastAsia" w:hAnsi="宋体" w:cs="宋体"/>
          <w:snapToGrid w:val="0"/>
          <w:color w:val="auto"/>
          <w:kern w:val="0"/>
          <w:szCs w:val="24"/>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5A965A09">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4</w:t>
      </w:r>
      <w:r>
        <w:rPr>
          <w:rFonts w:hint="eastAsia" w:hAnsi="宋体" w:cs="宋体"/>
          <w:b/>
          <w:bCs/>
          <w:snapToGrid w:val="0"/>
          <w:color w:val="auto"/>
          <w:kern w:val="0"/>
          <w:szCs w:val="24"/>
          <w:highlight w:val="none"/>
        </w:rPr>
        <w:t>.4</w:t>
      </w:r>
      <w:r>
        <w:rPr>
          <w:rFonts w:hint="eastAsia" w:hAnsi="宋体" w:cs="宋体"/>
          <w:snapToGrid w:val="0"/>
          <w:color w:val="auto"/>
          <w:kern w:val="0"/>
          <w:szCs w:val="24"/>
          <w:highlight w:val="none"/>
        </w:rPr>
        <w:t xml:space="preserve"> 在书面合同订立之日起2个工作日内，由中标人或招标代理机构将合同上传至建设工程交易系统，并发起退还投标保证的申请。韶关市公共资源交易中心在收到申请之日起3个工作日内，将投标保证金退还给中标人和其他中标候选人。</w:t>
      </w:r>
    </w:p>
    <w:p w14:paraId="39A38031">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1"/>
        <w:rPr>
          <w:rFonts w:hAnsi="宋体" w:cs="宋体"/>
          <w:snapToGrid w:val="0"/>
          <w:color w:val="auto"/>
          <w:kern w:val="0"/>
          <w:szCs w:val="24"/>
          <w:highlight w:val="none"/>
        </w:rPr>
      </w:pPr>
      <w:bookmarkStart w:id="109" w:name="_Toc13450"/>
      <w:bookmarkStart w:id="110" w:name="_Toc1819"/>
      <w:bookmarkStart w:id="111" w:name="_Toc11598"/>
      <w:bookmarkStart w:id="112" w:name="_Toc25887"/>
      <w:bookmarkStart w:id="113" w:name="_Toc6741"/>
      <w:bookmarkStart w:id="114" w:name="_Toc3858"/>
      <w:bookmarkStart w:id="115" w:name="_Toc12722"/>
      <w:r>
        <w:rPr>
          <w:rFonts w:hint="eastAsia" w:hAnsi="宋体" w:cs="宋体"/>
          <w:b/>
          <w:bCs/>
          <w:snapToGrid w:val="0"/>
          <w:color w:val="auto"/>
          <w:kern w:val="0"/>
          <w:szCs w:val="24"/>
          <w:highlight w:val="none"/>
          <w:lang w:val="en-US" w:eastAsia="zh-CN"/>
        </w:rPr>
        <w:t>5</w:t>
      </w:r>
      <w:r>
        <w:rPr>
          <w:rFonts w:hint="eastAsia" w:hAnsi="宋体" w:cs="宋体"/>
          <w:b/>
          <w:bCs/>
          <w:snapToGrid w:val="0"/>
          <w:color w:val="auto"/>
          <w:kern w:val="0"/>
          <w:szCs w:val="24"/>
          <w:highlight w:val="none"/>
        </w:rPr>
        <w:t>．放弃中标的处理</w:t>
      </w:r>
      <w:bookmarkEnd w:id="109"/>
      <w:bookmarkEnd w:id="110"/>
      <w:bookmarkEnd w:id="111"/>
      <w:bookmarkEnd w:id="112"/>
      <w:bookmarkEnd w:id="113"/>
      <w:bookmarkEnd w:id="114"/>
      <w:bookmarkEnd w:id="115"/>
    </w:p>
    <w:p w14:paraId="3D3DAE43">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5</w:t>
      </w:r>
      <w:r>
        <w:rPr>
          <w:rFonts w:hint="eastAsia" w:hAnsi="宋体" w:cs="宋体"/>
          <w:b/>
          <w:bCs/>
          <w:snapToGrid w:val="0"/>
          <w:color w:val="auto"/>
          <w:kern w:val="0"/>
          <w:szCs w:val="24"/>
          <w:highlight w:val="none"/>
        </w:rPr>
        <w:t>.1</w:t>
      </w:r>
      <w:r>
        <w:rPr>
          <w:rFonts w:hint="eastAsia" w:hAnsi="宋体" w:cs="宋体"/>
          <w:snapToGrid w:val="0"/>
          <w:color w:val="auto"/>
          <w:kern w:val="0"/>
          <w:szCs w:val="24"/>
          <w:highlight w:val="none"/>
        </w:rPr>
        <w:t xml:space="preserve"> 中标人无正当理由放弃中标的，取消其中标资格，其投标保证不予退还，给招标人造成的损失超过投标保证金额的，弃标人还应当对超过部分予以赔偿。招标人可按照评标委员会提出的中标候选人名单排序依次确定其他中标候选人为中标人，如果招标人认为其他中标候选人的条件明显不利于招标人的，也可以重新招标。因此种情况造成招标人重新招标的，招标人可不接受该弃标人再次投标。同时，招标人应将该弃标人的失信行为向行政监督部门报告。</w:t>
      </w:r>
    </w:p>
    <w:p w14:paraId="5CCD4E8F">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5</w:t>
      </w:r>
      <w:r>
        <w:rPr>
          <w:rFonts w:hint="eastAsia" w:hAnsi="宋体" w:cs="宋体"/>
          <w:b/>
          <w:bCs/>
          <w:snapToGrid w:val="0"/>
          <w:color w:val="auto"/>
          <w:kern w:val="0"/>
          <w:szCs w:val="24"/>
          <w:highlight w:val="none"/>
        </w:rPr>
        <w:t>.2</w:t>
      </w:r>
      <w:r>
        <w:rPr>
          <w:rFonts w:hint="eastAsia" w:hAnsi="宋体" w:cs="宋体"/>
          <w:snapToGrid w:val="0"/>
          <w:color w:val="auto"/>
          <w:kern w:val="0"/>
          <w:szCs w:val="24"/>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32AA1A12">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1"/>
        <w:rPr>
          <w:rFonts w:hAnsi="宋体" w:cs="宋体"/>
          <w:snapToGrid w:val="0"/>
          <w:color w:val="auto"/>
          <w:kern w:val="0"/>
          <w:szCs w:val="24"/>
          <w:highlight w:val="none"/>
        </w:rPr>
      </w:pPr>
      <w:bookmarkStart w:id="116" w:name="_Toc26352"/>
      <w:bookmarkStart w:id="117" w:name="_Toc21613"/>
      <w:bookmarkStart w:id="118" w:name="_Toc17549"/>
      <w:bookmarkStart w:id="119" w:name="_Toc8282"/>
      <w:bookmarkStart w:id="120" w:name="_Toc500"/>
      <w:bookmarkStart w:id="121" w:name="_Toc15893"/>
      <w:bookmarkStart w:id="122" w:name="_Toc1831"/>
      <w:r>
        <w:rPr>
          <w:rFonts w:hint="eastAsia" w:hAnsi="宋体" w:cs="宋体"/>
          <w:b/>
          <w:bCs/>
          <w:snapToGrid w:val="0"/>
          <w:color w:val="auto"/>
          <w:kern w:val="0"/>
          <w:szCs w:val="24"/>
          <w:highlight w:val="none"/>
          <w:lang w:val="en-US" w:eastAsia="zh-CN"/>
        </w:rPr>
        <w:t>6</w:t>
      </w:r>
      <w:r>
        <w:rPr>
          <w:rFonts w:hint="eastAsia" w:hAnsi="宋体" w:cs="宋体"/>
          <w:b/>
          <w:bCs/>
          <w:snapToGrid w:val="0"/>
          <w:color w:val="auto"/>
          <w:kern w:val="0"/>
          <w:szCs w:val="24"/>
          <w:highlight w:val="none"/>
        </w:rPr>
        <w:t>．分包</w:t>
      </w:r>
      <w:bookmarkEnd w:id="116"/>
      <w:bookmarkEnd w:id="117"/>
      <w:bookmarkEnd w:id="118"/>
      <w:bookmarkEnd w:id="119"/>
      <w:bookmarkEnd w:id="120"/>
      <w:bookmarkEnd w:id="121"/>
      <w:bookmarkEnd w:id="122"/>
    </w:p>
    <w:p w14:paraId="1F836E2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合同范围内的监理服务严禁分包，一经发现，委托人有权解除合同，由此引起的一切经济损失和法律责任由监理人自行承担。</w:t>
      </w:r>
    </w:p>
    <w:p w14:paraId="3AD9B3FF">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1"/>
        <w:rPr>
          <w:rFonts w:hAnsi="宋体" w:cs="宋体"/>
          <w:b/>
          <w:bCs/>
          <w:snapToGrid w:val="0"/>
          <w:color w:val="auto"/>
          <w:kern w:val="0"/>
          <w:szCs w:val="24"/>
          <w:highlight w:val="none"/>
        </w:rPr>
      </w:pPr>
      <w:bookmarkStart w:id="123" w:name="_Toc19761"/>
      <w:bookmarkStart w:id="124" w:name="_Toc17560"/>
      <w:bookmarkStart w:id="125" w:name="_Toc2527"/>
      <w:bookmarkStart w:id="126" w:name="_Toc18249"/>
      <w:bookmarkStart w:id="127" w:name="_Toc25358"/>
      <w:bookmarkStart w:id="128" w:name="_Toc32579"/>
      <w:bookmarkStart w:id="129" w:name="_Toc25800"/>
      <w:r>
        <w:rPr>
          <w:rFonts w:hint="eastAsia" w:hAnsi="宋体" w:cs="宋体"/>
          <w:b/>
          <w:bCs/>
          <w:snapToGrid w:val="0"/>
          <w:color w:val="auto"/>
          <w:kern w:val="0"/>
          <w:szCs w:val="24"/>
          <w:highlight w:val="none"/>
          <w:lang w:val="en-US" w:eastAsia="zh-CN"/>
        </w:rPr>
        <w:t>7</w:t>
      </w:r>
      <w:r>
        <w:rPr>
          <w:rFonts w:hint="eastAsia" w:hAnsi="宋体" w:cs="宋体"/>
          <w:b/>
          <w:bCs/>
          <w:snapToGrid w:val="0"/>
          <w:color w:val="auto"/>
          <w:kern w:val="0"/>
          <w:szCs w:val="24"/>
          <w:highlight w:val="none"/>
        </w:rPr>
        <w:t>．监理服务期限</w:t>
      </w:r>
      <w:bookmarkEnd w:id="123"/>
      <w:bookmarkEnd w:id="124"/>
      <w:bookmarkEnd w:id="125"/>
      <w:bookmarkEnd w:id="126"/>
      <w:bookmarkEnd w:id="127"/>
      <w:bookmarkEnd w:id="128"/>
      <w:bookmarkEnd w:id="129"/>
    </w:p>
    <w:p w14:paraId="33F7FA03">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7</w:t>
      </w:r>
      <w:r>
        <w:rPr>
          <w:rFonts w:hint="eastAsia" w:hAnsi="宋体" w:cs="宋体"/>
          <w:b/>
          <w:bCs/>
          <w:snapToGrid w:val="0"/>
          <w:color w:val="auto"/>
          <w:kern w:val="0"/>
          <w:szCs w:val="24"/>
          <w:highlight w:val="none"/>
        </w:rPr>
        <w:t>.1</w:t>
      </w:r>
      <w:r>
        <w:rPr>
          <w:rFonts w:hint="eastAsia" w:hAnsi="宋体" w:cs="宋体"/>
          <w:snapToGrid w:val="0"/>
          <w:color w:val="auto"/>
          <w:kern w:val="0"/>
          <w:szCs w:val="24"/>
          <w:highlight w:val="none"/>
        </w:rPr>
        <w:t xml:space="preserve"> 当满足专用合同条款约定的开始监理条件时，委托人应提前7天向监理人发出开始监理通知。监理服务期限自开始监理通知中载明的开始监理日期起计算。</w:t>
      </w:r>
    </w:p>
    <w:p w14:paraId="419D82E4">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7</w:t>
      </w:r>
      <w:r>
        <w:rPr>
          <w:rFonts w:hint="eastAsia" w:hAnsi="宋体" w:cs="宋体"/>
          <w:b/>
          <w:bCs/>
          <w:snapToGrid w:val="0"/>
          <w:color w:val="auto"/>
          <w:kern w:val="0"/>
          <w:szCs w:val="24"/>
          <w:highlight w:val="none"/>
        </w:rPr>
        <w:t>.2</w:t>
      </w:r>
      <w:r>
        <w:rPr>
          <w:rFonts w:hint="eastAsia" w:hAnsi="宋体" w:cs="宋体"/>
          <w:snapToGrid w:val="0"/>
          <w:color w:val="auto"/>
          <w:kern w:val="0"/>
          <w:szCs w:val="24"/>
          <w:highlight w:val="none"/>
        </w:rPr>
        <w:t xml:space="preserve"> 在合同履行过程中，由于下列原因造成监理服务期限延误的，委托人应当延长监理服务期限并增加监理酬金，具体方法在专用合同条款中约定。</w:t>
      </w:r>
    </w:p>
    <w:p w14:paraId="0D79786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（1）合同变更；</w:t>
      </w:r>
    </w:p>
    <w:p w14:paraId="2EAE337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（2）因委托人原因导致的监理工作暂停；</w:t>
      </w:r>
    </w:p>
    <w:p w14:paraId="5B9605FC">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（3）未按合同约定及时支付监理服务酬金；</w:t>
      </w:r>
    </w:p>
    <w:p w14:paraId="55DDA448">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（4）未及时履行合同约定的相关义务；</w:t>
      </w:r>
    </w:p>
    <w:p w14:paraId="377E21A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（5）由于承包人（指在本招标项目监理范围内，与委托人签订勘察、设计、施工承包合同的当事人，下同）延误、行政管理造成的监理服务期限延误；</w:t>
      </w:r>
    </w:p>
    <w:p w14:paraId="20EBAA7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（6）造成监理服务期限延误的其他原因。</w:t>
      </w:r>
    </w:p>
    <w:p w14:paraId="72AA3074">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1"/>
        <w:rPr>
          <w:rFonts w:hAnsi="宋体" w:cs="宋体"/>
          <w:snapToGrid w:val="0"/>
          <w:color w:val="auto"/>
          <w:kern w:val="0"/>
          <w:szCs w:val="24"/>
          <w:highlight w:val="none"/>
        </w:rPr>
      </w:pPr>
      <w:bookmarkStart w:id="130" w:name="_Toc17664"/>
      <w:bookmarkStart w:id="131" w:name="_Toc23108"/>
      <w:bookmarkStart w:id="132" w:name="_Toc13195"/>
      <w:bookmarkStart w:id="133" w:name="_Toc1946"/>
      <w:bookmarkStart w:id="134" w:name="_Toc6532"/>
      <w:bookmarkStart w:id="135" w:name="_Toc13950"/>
      <w:bookmarkStart w:id="136" w:name="_Toc25479"/>
      <w:r>
        <w:rPr>
          <w:rFonts w:hint="eastAsia" w:hAnsi="宋体" w:cs="宋体"/>
          <w:b/>
          <w:bCs/>
          <w:snapToGrid w:val="0"/>
          <w:color w:val="auto"/>
          <w:kern w:val="0"/>
          <w:szCs w:val="24"/>
          <w:highlight w:val="none"/>
          <w:lang w:val="en-US" w:eastAsia="zh-CN"/>
        </w:rPr>
        <w:t>8</w:t>
      </w:r>
      <w:r>
        <w:rPr>
          <w:rFonts w:hint="eastAsia" w:hAnsi="宋体" w:cs="宋体"/>
          <w:b/>
          <w:bCs/>
          <w:snapToGrid w:val="0"/>
          <w:color w:val="auto"/>
          <w:kern w:val="0"/>
          <w:szCs w:val="24"/>
          <w:highlight w:val="none"/>
        </w:rPr>
        <w:t>．项目监理机构</w:t>
      </w:r>
      <w:bookmarkEnd w:id="130"/>
      <w:bookmarkEnd w:id="131"/>
      <w:bookmarkEnd w:id="132"/>
      <w:bookmarkEnd w:id="133"/>
      <w:bookmarkEnd w:id="134"/>
      <w:bookmarkEnd w:id="135"/>
      <w:bookmarkEnd w:id="136"/>
    </w:p>
    <w:p w14:paraId="67997DEC">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8</w:t>
      </w:r>
      <w:r>
        <w:rPr>
          <w:rFonts w:hint="eastAsia" w:hAnsi="宋体" w:cs="宋体"/>
          <w:b/>
          <w:bCs/>
          <w:snapToGrid w:val="0"/>
          <w:color w:val="auto"/>
          <w:kern w:val="0"/>
          <w:szCs w:val="24"/>
          <w:highlight w:val="none"/>
        </w:rPr>
        <w:t>.1</w:t>
      </w:r>
      <w:r>
        <w:rPr>
          <w:rFonts w:hint="eastAsia" w:hAnsi="宋体" w:cs="宋体"/>
          <w:snapToGrid w:val="0"/>
          <w:color w:val="auto"/>
          <w:kern w:val="0"/>
          <w:szCs w:val="24"/>
          <w:highlight w:val="none"/>
        </w:rPr>
        <w:t xml:space="preserve"> 监理人派驻项目监理机构的人员必须为其投标文件确定的人员，否则委托人有权解除合同。</w:t>
      </w:r>
    </w:p>
    <w:p w14:paraId="75E21DC5">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8</w:t>
      </w:r>
      <w:r>
        <w:rPr>
          <w:rFonts w:hint="eastAsia" w:hAnsi="宋体" w:cs="宋体"/>
          <w:b/>
          <w:bCs/>
          <w:snapToGrid w:val="0"/>
          <w:color w:val="auto"/>
          <w:kern w:val="0"/>
          <w:szCs w:val="24"/>
          <w:highlight w:val="none"/>
        </w:rPr>
        <w:t>.2</w:t>
      </w:r>
      <w:r>
        <w:rPr>
          <w:rFonts w:hint="eastAsia" w:hAnsi="宋体" w:cs="宋体"/>
          <w:snapToGrid w:val="0"/>
          <w:color w:val="auto"/>
          <w:kern w:val="0"/>
          <w:szCs w:val="24"/>
          <w:highlight w:val="none"/>
        </w:rPr>
        <w:t xml:space="preserve"> 项目监理机构班子成员不得擅自变更。其中，总监理工程师若有《广东省住房和城乡建设厅关于建设工程项目招标中标后监督检查的办法》（粤建市〔2009〕8号，以下简称“《办法》”）第九条所述除外情形之一确需变更的，监理人应填写《建设工程项目管理班子变更情况报告表》（《办法》附件4）并附上相关证明资料，经委托人和建设行政主管部门审核同意方可变更，且更换后的总监理工程师应与监理人的投标文件所确定的原总监理工程师的主要条件一致；项目监理机构班子其他成员若有《办法》第九条所述除外情形之一确需变更的，监理人应填写《建设工程项目管理班子变更情况报告表》并附上相关证明资料，经委托人审核同意方可变更。</w:t>
      </w:r>
    </w:p>
    <w:p w14:paraId="1A7A45AF">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1"/>
        <w:rPr>
          <w:rFonts w:hAnsi="宋体" w:cs="宋体"/>
          <w:strike/>
          <w:snapToGrid w:val="0"/>
          <w:color w:val="auto"/>
          <w:kern w:val="0"/>
          <w:szCs w:val="24"/>
          <w:highlight w:val="none"/>
        </w:rPr>
      </w:pPr>
      <w:bookmarkStart w:id="137" w:name="_Toc23097"/>
      <w:bookmarkStart w:id="138" w:name="_Toc20861"/>
      <w:bookmarkStart w:id="139" w:name="_Toc27412"/>
      <w:bookmarkStart w:id="140" w:name="_Toc20027"/>
      <w:bookmarkStart w:id="141" w:name="_Toc20449"/>
      <w:bookmarkStart w:id="142" w:name="_Toc6056"/>
      <w:bookmarkStart w:id="143" w:name="_Toc19789"/>
      <w:r>
        <w:rPr>
          <w:rFonts w:hint="eastAsia" w:hAnsi="宋体" w:cs="宋体"/>
          <w:b/>
          <w:snapToGrid w:val="0"/>
          <w:color w:val="auto"/>
          <w:kern w:val="0"/>
          <w:szCs w:val="24"/>
          <w:highlight w:val="none"/>
          <w:lang w:val="en-US" w:eastAsia="zh-CN"/>
        </w:rPr>
        <w:t>9</w:t>
      </w:r>
      <w:r>
        <w:rPr>
          <w:rFonts w:hint="eastAsia" w:hAnsi="宋体" w:cs="宋体"/>
          <w:b/>
          <w:snapToGrid w:val="0"/>
          <w:color w:val="auto"/>
          <w:kern w:val="0"/>
          <w:szCs w:val="24"/>
          <w:highlight w:val="none"/>
        </w:rPr>
        <w:t>．安全防护</w:t>
      </w:r>
      <w:bookmarkEnd w:id="137"/>
      <w:bookmarkEnd w:id="138"/>
      <w:bookmarkEnd w:id="139"/>
      <w:bookmarkEnd w:id="140"/>
      <w:bookmarkEnd w:id="141"/>
      <w:bookmarkEnd w:id="142"/>
      <w:bookmarkEnd w:id="143"/>
    </w:p>
    <w:p w14:paraId="23FF1D8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监理人应按照安全监理有关规定，采取严格、科学的安全防护措施，确保监理人员人身安全，承担由于自身安全防护措施不力所造成的安全事故责任和发生的费用。</w:t>
      </w:r>
    </w:p>
    <w:p w14:paraId="45E28A2B">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1"/>
        <w:rPr>
          <w:rFonts w:hAnsi="宋体" w:cs="宋体"/>
          <w:strike/>
          <w:snapToGrid w:val="0"/>
          <w:color w:val="auto"/>
          <w:kern w:val="0"/>
          <w:szCs w:val="24"/>
          <w:highlight w:val="none"/>
        </w:rPr>
      </w:pPr>
      <w:bookmarkStart w:id="144" w:name="_Toc27428"/>
      <w:bookmarkStart w:id="145" w:name="_Toc11481"/>
      <w:bookmarkStart w:id="146" w:name="_Toc16174"/>
      <w:bookmarkStart w:id="147" w:name="_Toc9618"/>
      <w:bookmarkStart w:id="148" w:name="_Toc13413"/>
      <w:bookmarkStart w:id="149" w:name="_Toc1181"/>
      <w:bookmarkStart w:id="150" w:name="_Toc17881"/>
      <w:r>
        <w:rPr>
          <w:rFonts w:hint="eastAsia" w:hAnsi="宋体" w:cs="宋体"/>
          <w:b/>
          <w:snapToGrid w:val="0"/>
          <w:color w:val="auto"/>
          <w:kern w:val="0"/>
          <w:szCs w:val="24"/>
          <w:highlight w:val="none"/>
          <w:lang w:val="en-US" w:eastAsia="zh-CN"/>
        </w:rPr>
        <w:t>10</w:t>
      </w:r>
      <w:r>
        <w:rPr>
          <w:rFonts w:hint="eastAsia" w:hAnsi="宋体" w:cs="宋体"/>
          <w:b/>
          <w:snapToGrid w:val="0"/>
          <w:color w:val="auto"/>
          <w:kern w:val="0"/>
          <w:szCs w:val="24"/>
          <w:highlight w:val="none"/>
        </w:rPr>
        <w:t>．接受监督</w:t>
      </w:r>
      <w:bookmarkEnd w:id="144"/>
      <w:bookmarkEnd w:id="145"/>
      <w:bookmarkEnd w:id="146"/>
      <w:bookmarkEnd w:id="147"/>
      <w:bookmarkEnd w:id="148"/>
      <w:bookmarkEnd w:id="149"/>
      <w:bookmarkEnd w:id="150"/>
    </w:p>
    <w:p w14:paraId="0806106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bCs/>
          <w:snapToGrid w:val="0"/>
          <w:color w:val="auto"/>
          <w:kern w:val="0"/>
          <w:szCs w:val="24"/>
          <w:highlight w:val="none"/>
        </w:rPr>
      </w:pPr>
      <w:r>
        <w:rPr>
          <w:rFonts w:hint="eastAsia" w:hAnsi="宋体" w:cs="宋体"/>
          <w:snapToGrid w:val="0"/>
          <w:color w:val="auto"/>
          <w:kern w:val="0"/>
          <w:szCs w:val="24"/>
          <w:highlight w:val="none"/>
        </w:rPr>
        <w:t>监理人应严格按照法律、法规以及</w:t>
      </w:r>
      <w:r>
        <w:rPr>
          <w:rFonts w:hint="eastAsia" w:hAnsi="宋体" w:cs="宋体"/>
          <w:bCs/>
          <w:snapToGrid w:val="0"/>
          <w:color w:val="auto"/>
          <w:kern w:val="0"/>
          <w:szCs w:val="24"/>
          <w:highlight w:val="none"/>
        </w:rPr>
        <w:t>《建设工程监理规范》（GB/T 50319—2013）有关规定实施监理，同时须</w:t>
      </w:r>
      <w:r>
        <w:rPr>
          <w:rFonts w:hint="eastAsia" w:hAnsi="宋体" w:cs="宋体"/>
          <w:snapToGrid w:val="0"/>
          <w:color w:val="auto"/>
          <w:kern w:val="0"/>
          <w:szCs w:val="24"/>
          <w:highlight w:val="none"/>
        </w:rPr>
        <w:t>服从委托人以及建设行政主管部门对监理工作全方位的监督，及时将监理大纲、监理规划、监理实施细则等监理文件报委托人审查备案。</w:t>
      </w:r>
    </w:p>
    <w:p w14:paraId="4F9D73C6">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outlineLvl w:val="1"/>
        <w:rPr>
          <w:rFonts w:hAnsi="宋体" w:cs="宋体"/>
          <w:bCs/>
          <w:snapToGrid w:val="0"/>
          <w:color w:val="auto"/>
          <w:kern w:val="0"/>
          <w:szCs w:val="24"/>
          <w:highlight w:val="none"/>
        </w:rPr>
      </w:pPr>
      <w:bookmarkStart w:id="151" w:name="_Toc24102"/>
      <w:bookmarkStart w:id="152" w:name="_Toc4730"/>
      <w:bookmarkStart w:id="153" w:name="_Toc25424"/>
      <w:bookmarkStart w:id="154" w:name="_Toc18397"/>
      <w:bookmarkStart w:id="155" w:name="_Toc26662"/>
      <w:bookmarkStart w:id="156" w:name="_Toc17713"/>
      <w:bookmarkStart w:id="157" w:name="_Toc14327"/>
      <w:r>
        <w:rPr>
          <w:rFonts w:hint="eastAsia" w:hAnsi="宋体" w:cs="宋体"/>
          <w:b/>
          <w:snapToGrid w:val="0"/>
          <w:color w:val="auto"/>
          <w:kern w:val="0"/>
          <w:szCs w:val="24"/>
          <w:highlight w:val="none"/>
        </w:rPr>
        <w:t>1</w:t>
      </w:r>
      <w:r>
        <w:rPr>
          <w:rFonts w:hint="eastAsia" w:hAnsi="宋体" w:cs="宋体"/>
          <w:b/>
          <w:snapToGrid w:val="0"/>
          <w:color w:val="auto"/>
          <w:kern w:val="0"/>
          <w:szCs w:val="24"/>
          <w:highlight w:val="none"/>
          <w:lang w:val="en-US" w:eastAsia="zh-CN"/>
        </w:rPr>
        <w:t>1</w:t>
      </w:r>
      <w:r>
        <w:rPr>
          <w:rFonts w:hint="eastAsia" w:hAnsi="宋体" w:cs="宋体"/>
          <w:b/>
          <w:snapToGrid w:val="0"/>
          <w:color w:val="auto"/>
          <w:kern w:val="0"/>
          <w:szCs w:val="24"/>
          <w:highlight w:val="none"/>
        </w:rPr>
        <w:t>．监理档案移交</w:t>
      </w:r>
      <w:bookmarkEnd w:id="151"/>
      <w:bookmarkEnd w:id="152"/>
      <w:bookmarkEnd w:id="153"/>
      <w:bookmarkEnd w:id="154"/>
      <w:bookmarkEnd w:id="155"/>
      <w:bookmarkEnd w:id="156"/>
      <w:bookmarkEnd w:id="157"/>
    </w:p>
    <w:p w14:paraId="39E3E4D5">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Ansi="宋体" w:cs="宋体"/>
          <w:bCs/>
          <w:snapToGrid w:val="0"/>
          <w:color w:val="auto"/>
          <w:kern w:val="0"/>
          <w:szCs w:val="24"/>
          <w:highlight w:val="none"/>
        </w:rPr>
      </w:pPr>
      <w:r>
        <w:rPr>
          <w:rFonts w:hint="eastAsia" w:hAnsi="宋体" w:cs="宋体"/>
          <w:bCs/>
          <w:snapToGrid w:val="0"/>
          <w:color w:val="auto"/>
          <w:kern w:val="0"/>
          <w:szCs w:val="24"/>
          <w:highlight w:val="none"/>
        </w:rPr>
        <w:t>项目竣工验收后，监理人应向委托人提交一式</w:t>
      </w:r>
      <w:r>
        <w:rPr>
          <w:rFonts w:hint="eastAsia" w:hAnsi="宋体" w:cs="宋体"/>
          <w:bCs/>
          <w:snapToGrid w:val="0"/>
          <w:color w:val="auto"/>
          <w:kern w:val="0"/>
          <w:szCs w:val="24"/>
          <w:highlight w:val="none"/>
          <w:u w:val="single"/>
        </w:rPr>
        <w:t xml:space="preserve"> 五 </w:t>
      </w:r>
      <w:r>
        <w:rPr>
          <w:rFonts w:hint="eastAsia" w:hAnsi="宋体" w:cs="宋体"/>
          <w:bCs/>
          <w:snapToGrid w:val="0"/>
          <w:color w:val="auto"/>
          <w:kern w:val="0"/>
          <w:szCs w:val="24"/>
          <w:highlight w:val="none"/>
        </w:rPr>
        <w:t>份符合《建设工程监理规范》（GB/T 50319—2013）以及《韶关市城市建设档案管理办法》要求的监理档案。</w:t>
      </w:r>
    </w:p>
    <w:p w14:paraId="73BB0CCA">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outlineLvl w:val="1"/>
        <w:rPr>
          <w:rFonts w:hAnsi="宋体" w:cs="宋体"/>
          <w:strike/>
          <w:snapToGrid w:val="0"/>
          <w:color w:val="auto"/>
          <w:kern w:val="0"/>
          <w:szCs w:val="24"/>
          <w:highlight w:val="none"/>
        </w:rPr>
      </w:pPr>
      <w:bookmarkStart w:id="158" w:name="_Toc19314"/>
      <w:bookmarkStart w:id="159" w:name="_Toc16612"/>
      <w:bookmarkStart w:id="160" w:name="_Toc13197"/>
      <w:bookmarkStart w:id="161" w:name="_Toc2540"/>
      <w:bookmarkStart w:id="162" w:name="_Toc15489"/>
      <w:bookmarkStart w:id="163" w:name="_Toc6629"/>
      <w:bookmarkStart w:id="164" w:name="_Toc24329"/>
      <w:r>
        <w:rPr>
          <w:rFonts w:hint="eastAsia" w:hAnsi="宋体" w:cs="宋体"/>
          <w:b/>
          <w:bCs/>
          <w:snapToGrid w:val="0"/>
          <w:color w:val="auto"/>
          <w:kern w:val="0"/>
          <w:szCs w:val="24"/>
          <w:highlight w:val="none"/>
        </w:rPr>
        <w:t>1</w:t>
      </w:r>
      <w:r>
        <w:rPr>
          <w:rFonts w:hint="eastAsia" w:hAnsi="宋体" w:cs="宋体"/>
          <w:b/>
          <w:bCs/>
          <w:snapToGrid w:val="0"/>
          <w:color w:val="auto"/>
          <w:kern w:val="0"/>
          <w:szCs w:val="24"/>
          <w:highlight w:val="none"/>
          <w:lang w:val="en-US" w:eastAsia="zh-CN"/>
        </w:rPr>
        <w:t>2</w:t>
      </w:r>
      <w:r>
        <w:rPr>
          <w:rFonts w:hint="eastAsia" w:hAnsi="宋体" w:cs="宋体"/>
          <w:b/>
          <w:snapToGrid w:val="0"/>
          <w:color w:val="auto"/>
          <w:kern w:val="0"/>
          <w:szCs w:val="24"/>
          <w:highlight w:val="none"/>
        </w:rPr>
        <w:t>．不良行为处理</w:t>
      </w:r>
      <w:bookmarkEnd w:id="158"/>
      <w:bookmarkEnd w:id="159"/>
      <w:bookmarkEnd w:id="160"/>
      <w:bookmarkEnd w:id="161"/>
      <w:bookmarkEnd w:id="162"/>
      <w:bookmarkEnd w:id="163"/>
      <w:bookmarkEnd w:id="164"/>
    </w:p>
    <w:p w14:paraId="04C55AB1">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ascii="宋体" w:hAnsi="宋体" w:cs="宋体"/>
          <w:snapToGrid w:val="0"/>
          <w:color w:val="auto"/>
          <w:kern w:val="0"/>
          <w:szCs w:val="24"/>
          <w:highlight w:val="none"/>
        </w:rPr>
      </w:pPr>
      <w:r>
        <w:rPr>
          <w:rFonts w:hint="eastAsia" w:ascii="宋体" w:hAnsi="宋体" w:cs="宋体"/>
          <w:snapToGrid w:val="0"/>
          <w:color w:val="auto"/>
          <w:kern w:val="0"/>
          <w:szCs w:val="24"/>
          <w:highlight w:val="none"/>
        </w:rPr>
        <w:t>监理人及其有关人员有下列行为之一的，委托人应及时报请建设行政主管部门查处。</w:t>
      </w:r>
    </w:p>
    <w:p w14:paraId="004FF115">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ascii="宋体" w:hAnsi="宋体" w:cs="宋体"/>
          <w:snapToGrid w:val="0"/>
          <w:color w:val="auto"/>
          <w:kern w:val="0"/>
          <w:szCs w:val="24"/>
          <w:highlight w:val="none"/>
        </w:rPr>
      </w:pPr>
      <w:r>
        <w:rPr>
          <w:rFonts w:hint="eastAsia" w:ascii="宋体" w:hAnsi="宋体" w:cs="宋体"/>
          <w:snapToGrid w:val="0"/>
          <w:color w:val="auto"/>
          <w:kern w:val="0"/>
          <w:szCs w:val="24"/>
          <w:highlight w:val="none"/>
        </w:rPr>
        <w:t>（1）转让监理业务的；</w:t>
      </w:r>
    </w:p>
    <w:p w14:paraId="3812AF65">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ascii="宋体" w:hAnsi="宋体" w:cs="宋体"/>
          <w:snapToGrid w:val="0"/>
          <w:color w:val="auto"/>
          <w:kern w:val="0"/>
          <w:szCs w:val="24"/>
          <w:highlight w:val="none"/>
        </w:rPr>
      </w:pPr>
      <w:r>
        <w:rPr>
          <w:rFonts w:hint="eastAsia" w:ascii="宋体" w:hAnsi="宋体" w:cs="宋体"/>
          <w:snapToGrid w:val="0"/>
          <w:color w:val="auto"/>
          <w:kern w:val="0"/>
          <w:szCs w:val="24"/>
          <w:highlight w:val="none"/>
        </w:rPr>
        <w:t>（2）非原参加投标中标的总监理工程师负责组织监理或在实施过程中擅自更换总监理工程师的、项目监理机构的其他监理人员与中标文件确定的人员不相符的；</w:t>
      </w:r>
    </w:p>
    <w:p w14:paraId="4A3AB02B">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ascii="宋体" w:hAnsi="宋体" w:cs="宋体"/>
          <w:snapToGrid w:val="0"/>
          <w:color w:val="auto"/>
          <w:kern w:val="0"/>
          <w:szCs w:val="24"/>
          <w:highlight w:val="none"/>
        </w:rPr>
      </w:pPr>
      <w:r>
        <w:rPr>
          <w:rFonts w:hint="eastAsia" w:ascii="宋体" w:hAnsi="宋体" w:cs="宋体"/>
          <w:snapToGrid w:val="0"/>
          <w:color w:val="auto"/>
          <w:kern w:val="0"/>
          <w:szCs w:val="24"/>
          <w:highlight w:val="none"/>
        </w:rPr>
        <w:t>（3）与建设单位、施工单位串通，签认虚假工程量或工程造价的；</w:t>
      </w:r>
    </w:p>
    <w:p w14:paraId="232AE11F">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ascii="宋体" w:hAnsi="宋体" w:cs="宋体"/>
          <w:snapToGrid w:val="0"/>
          <w:color w:val="auto"/>
          <w:kern w:val="0"/>
          <w:szCs w:val="24"/>
          <w:highlight w:val="none"/>
        </w:rPr>
      </w:pPr>
      <w:r>
        <w:rPr>
          <w:rFonts w:hint="eastAsia" w:ascii="宋体" w:hAnsi="宋体" w:cs="宋体"/>
          <w:snapToGrid w:val="0"/>
          <w:color w:val="auto"/>
          <w:kern w:val="0"/>
          <w:szCs w:val="24"/>
          <w:highlight w:val="none"/>
        </w:rPr>
        <w:t>（4）现场监理不到位的；</w:t>
      </w:r>
    </w:p>
    <w:p w14:paraId="4D39599F">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ascii="宋体" w:hAnsi="宋体" w:cs="宋体"/>
          <w:snapToGrid w:val="0"/>
          <w:color w:val="auto"/>
          <w:kern w:val="0"/>
          <w:szCs w:val="24"/>
          <w:highlight w:val="none"/>
        </w:rPr>
      </w:pPr>
      <w:r>
        <w:rPr>
          <w:rFonts w:hint="eastAsia" w:ascii="宋体" w:hAnsi="宋体" w:cs="宋体"/>
          <w:snapToGrid w:val="0"/>
          <w:color w:val="auto"/>
          <w:kern w:val="0"/>
          <w:szCs w:val="24"/>
          <w:highlight w:val="none"/>
        </w:rPr>
        <w:t>（5）非本人资格证书注册单位从事监理工作的；</w:t>
      </w:r>
    </w:p>
    <w:p w14:paraId="6B6840EA">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ascii="宋体" w:hAnsi="宋体" w:cs="宋体"/>
          <w:snapToGrid w:val="0"/>
          <w:color w:val="auto"/>
          <w:kern w:val="0"/>
          <w:szCs w:val="24"/>
          <w:highlight w:val="none"/>
        </w:rPr>
      </w:pPr>
      <w:r>
        <w:rPr>
          <w:rFonts w:hint="eastAsia" w:ascii="宋体" w:hAnsi="宋体" w:cs="宋体"/>
          <w:snapToGrid w:val="0"/>
          <w:color w:val="auto"/>
          <w:kern w:val="0"/>
          <w:szCs w:val="24"/>
          <w:highlight w:val="none"/>
        </w:rPr>
        <w:t>（6）总监理工程师承担超过三项工程监理任务的；</w:t>
      </w:r>
    </w:p>
    <w:p w14:paraId="0F7A5E75">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ascii="宋体" w:hAnsi="宋体" w:cs="宋体"/>
          <w:snapToGrid w:val="0"/>
          <w:color w:val="auto"/>
          <w:kern w:val="0"/>
          <w:szCs w:val="24"/>
          <w:highlight w:val="none"/>
        </w:rPr>
      </w:pPr>
      <w:r>
        <w:rPr>
          <w:rFonts w:hint="eastAsia" w:ascii="宋体" w:hAnsi="宋体" w:cs="宋体"/>
          <w:snapToGrid w:val="0"/>
          <w:color w:val="auto"/>
          <w:kern w:val="0"/>
          <w:szCs w:val="24"/>
          <w:highlight w:val="none"/>
        </w:rPr>
        <w:t>（7）违反有关法律、法规、规章规定的其它行为。</w:t>
      </w:r>
    </w:p>
    <w:p w14:paraId="3D1008B4">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1"/>
        <w:rPr>
          <w:rFonts w:ascii="宋体" w:hAnsi="宋体" w:cs="宋体"/>
          <w:b/>
          <w:bCs/>
          <w:snapToGrid w:val="0"/>
          <w:color w:val="auto"/>
          <w:kern w:val="0"/>
          <w:szCs w:val="24"/>
          <w:highlight w:val="none"/>
        </w:rPr>
      </w:pPr>
      <w:bookmarkStart w:id="165" w:name="_Toc28837"/>
      <w:bookmarkStart w:id="166" w:name="_Toc15431"/>
      <w:bookmarkStart w:id="167" w:name="_Toc15923"/>
      <w:bookmarkStart w:id="168" w:name="_Toc16056"/>
      <w:bookmarkStart w:id="169" w:name="_Toc17537"/>
      <w:bookmarkStart w:id="170" w:name="_Toc2784"/>
      <w:bookmarkStart w:id="171" w:name="_Toc29467"/>
      <w:r>
        <w:rPr>
          <w:rFonts w:hint="eastAsia" w:ascii="宋体" w:hAnsi="宋体" w:cs="宋体"/>
          <w:b/>
          <w:bCs/>
          <w:snapToGrid w:val="0"/>
          <w:color w:val="auto"/>
          <w:kern w:val="0"/>
          <w:szCs w:val="24"/>
          <w:highlight w:val="none"/>
        </w:rPr>
        <w:t>1</w:t>
      </w:r>
      <w:r>
        <w:rPr>
          <w:rFonts w:hint="eastAsia" w:ascii="宋体" w:hAnsi="宋体" w:cs="宋体"/>
          <w:b/>
          <w:bCs/>
          <w:snapToGrid w:val="0"/>
          <w:color w:val="auto"/>
          <w:kern w:val="0"/>
          <w:szCs w:val="24"/>
          <w:highlight w:val="none"/>
          <w:lang w:val="en-US" w:eastAsia="zh-CN"/>
        </w:rPr>
        <w:t>3</w:t>
      </w:r>
      <w:r>
        <w:rPr>
          <w:rFonts w:hint="eastAsia" w:ascii="宋体" w:hAnsi="宋体" w:cs="宋体"/>
          <w:b/>
          <w:snapToGrid w:val="0"/>
          <w:color w:val="auto"/>
          <w:kern w:val="0"/>
          <w:szCs w:val="24"/>
          <w:highlight w:val="none"/>
        </w:rPr>
        <w:t>．</w:t>
      </w:r>
      <w:r>
        <w:rPr>
          <w:rFonts w:hint="eastAsia" w:ascii="宋体" w:hAnsi="宋体" w:cs="宋体"/>
          <w:b/>
          <w:bCs/>
          <w:snapToGrid w:val="0"/>
          <w:color w:val="auto"/>
          <w:kern w:val="0"/>
          <w:szCs w:val="24"/>
          <w:highlight w:val="none"/>
        </w:rPr>
        <w:t>信用评价条款内容</w:t>
      </w:r>
      <w:bookmarkEnd w:id="165"/>
      <w:bookmarkEnd w:id="166"/>
      <w:bookmarkEnd w:id="167"/>
      <w:bookmarkEnd w:id="168"/>
      <w:bookmarkEnd w:id="169"/>
      <w:bookmarkEnd w:id="170"/>
      <w:bookmarkEnd w:id="171"/>
    </w:p>
    <w:p w14:paraId="418B847A">
      <w:pPr>
        <w:pStyle w:val="82"/>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Ansi="宋体" w:cs="宋体"/>
          <w:snapToGrid w:val="0"/>
          <w:color w:val="auto"/>
          <w:kern w:val="0"/>
          <w:highlight w:val="none"/>
        </w:rPr>
      </w:pPr>
      <w:r>
        <w:rPr>
          <w:rFonts w:hint="eastAsia" w:hAnsi="宋体" w:cs="宋体"/>
          <w:snapToGrid w:val="0"/>
          <w:color w:val="auto"/>
          <w:kern w:val="0"/>
          <w:highlight w:val="none"/>
        </w:rPr>
        <w:t>由委托人决定是否对监理人的履约情况进行信用评价。若进行信用评价，评价条款由委托人自拟，条款内容可参考人员到位情况、服务配合程度、服务成果质量、项目后期服务以及信用评价结果的运用等。</w:t>
      </w:r>
    </w:p>
    <w:p w14:paraId="50B54F01">
      <w:pPr>
        <w:pStyle w:val="82"/>
        <w:wordWrap w:val="0"/>
        <w:adjustRightInd w:val="0"/>
        <w:snapToGrid w:val="0"/>
        <w:spacing w:line="440" w:lineRule="exact"/>
        <w:ind w:firstLine="560"/>
        <w:rPr>
          <w:rFonts w:hAnsi="宋体" w:cs="宋体"/>
          <w:b/>
          <w:bCs/>
          <w:snapToGrid w:val="0"/>
          <w:color w:val="auto"/>
          <w:kern w:val="0"/>
          <w:highlight w:val="none"/>
        </w:rPr>
      </w:pPr>
    </w:p>
    <w:p w14:paraId="6E146C71">
      <w:pPr>
        <w:pStyle w:val="82"/>
        <w:wordWrap w:val="0"/>
        <w:adjustRightInd w:val="0"/>
        <w:snapToGrid w:val="0"/>
        <w:spacing w:line="440" w:lineRule="exact"/>
        <w:ind w:firstLine="560"/>
        <w:rPr>
          <w:rFonts w:hAnsi="宋体" w:cs="宋体"/>
          <w:b/>
          <w:bCs/>
          <w:snapToGrid w:val="0"/>
          <w:color w:val="auto"/>
          <w:kern w:val="0"/>
          <w:highlight w:val="none"/>
        </w:rPr>
      </w:pPr>
    </w:p>
    <w:p w14:paraId="40581986">
      <w:pPr>
        <w:pStyle w:val="82"/>
        <w:wordWrap w:val="0"/>
        <w:adjustRightInd w:val="0"/>
        <w:snapToGrid w:val="0"/>
        <w:spacing w:line="440" w:lineRule="exact"/>
        <w:ind w:firstLine="560"/>
        <w:rPr>
          <w:rFonts w:hAnsi="宋体" w:cs="宋体"/>
          <w:b/>
          <w:bCs/>
          <w:snapToGrid w:val="0"/>
          <w:color w:val="auto"/>
          <w:kern w:val="0"/>
          <w:highlight w:val="none"/>
        </w:rPr>
        <w:sectPr>
          <w:endnotePr>
            <w:numFmt w:val="decimal"/>
          </w:endnotePr>
          <w:pgSz w:w="11906" w:h="16838"/>
          <w:pgMar w:top="1417" w:right="1417" w:bottom="1417" w:left="1417" w:header="850" w:footer="992" w:gutter="0"/>
          <w:cols w:space="0" w:num="1"/>
          <w:docGrid w:linePitch="327" w:charSpace="0"/>
        </w:sectPr>
      </w:pPr>
    </w:p>
    <w:p w14:paraId="4B26AC6B">
      <w:pPr>
        <w:pStyle w:val="2"/>
        <w:wordWrap w:val="0"/>
        <w:autoSpaceDE/>
        <w:autoSpaceDN/>
        <w:snapToGrid w:val="0"/>
        <w:spacing w:line="500" w:lineRule="exact"/>
        <w:jc w:val="center"/>
        <w:outlineLvl w:val="0"/>
        <w:rPr>
          <w:rFonts w:hAnsi="宋体" w:cs="宋体"/>
          <w:b/>
          <w:snapToGrid w:val="0"/>
          <w:color w:val="auto"/>
          <w:sz w:val="32"/>
          <w:szCs w:val="32"/>
          <w:highlight w:val="none"/>
        </w:rPr>
      </w:pPr>
      <w:bookmarkStart w:id="172" w:name="_Toc17424"/>
      <w:bookmarkStart w:id="173" w:name="_Toc29099"/>
      <w:bookmarkStart w:id="174" w:name="_Hlt69698713"/>
      <w:bookmarkStart w:id="175" w:name="_Hlt69698765"/>
      <w:bookmarkStart w:id="176" w:name="_Hlt69698776"/>
      <w:r>
        <w:rPr>
          <w:rFonts w:hint="eastAsia" w:hAnsi="宋体" w:cs="宋体"/>
          <w:b/>
          <w:snapToGrid w:val="0"/>
          <w:color w:val="auto"/>
          <w:sz w:val="32"/>
          <w:szCs w:val="32"/>
          <w:highlight w:val="none"/>
        </w:rPr>
        <w:t>第三章</w:t>
      </w:r>
      <w:bookmarkStart w:id="177" w:name="_Hlt87793831"/>
      <w:bookmarkEnd w:id="177"/>
      <w:r>
        <w:rPr>
          <w:rFonts w:hint="eastAsia" w:hAnsi="宋体" w:cs="宋体"/>
          <w:b/>
          <w:snapToGrid w:val="0"/>
          <w:color w:val="auto"/>
          <w:sz w:val="32"/>
          <w:szCs w:val="32"/>
          <w:highlight w:val="none"/>
        </w:rPr>
        <w:t xml:space="preserve"> 拟签订合同的主要条款</w:t>
      </w:r>
      <w:bookmarkEnd w:id="172"/>
      <w:bookmarkEnd w:id="173"/>
    </w:p>
    <w:bookmarkEnd w:id="174"/>
    <w:bookmarkEnd w:id="175"/>
    <w:p w14:paraId="6A4F7FF4">
      <w:pPr>
        <w:bidi w:val="0"/>
        <w:rPr>
          <w:color w:val="auto"/>
          <w:highlight w:val="none"/>
        </w:rPr>
      </w:pPr>
      <w:bookmarkStart w:id="178" w:name="_Toc326916629"/>
      <w:bookmarkStart w:id="179" w:name="_Toc322793288"/>
    </w:p>
    <w:bookmarkEnd w:id="178"/>
    <w:bookmarkEnd w:id="179"/>
    <w:p w14:paraId="33043E2D">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1"/>
        <w:rPr>
          <w:rFonts w:hAnsi="宋体" w:cs="宋体"/>
          <w:snapToGrid w:val="0"/>
          <w:color w:val="auto"/>
          <w:kern w:val="0"/>
          <w:szCs w:val="24"/>
          <w:highlight w:val="none"/>
        </w:rPr>
      </w:pPr>
      <w:bookmarkStart w:id="180" w:name="_Toc12203"/>
      <w:bookmarkStart w:id="181" w:name="_Toc1947"/>
      <w:bookmarkStart w:id="182" w:name="_Toc6392"/>
      <w:bookmarkStart w:id="183" w:name="_Toc3741"/>
      <w:bookmarkStart w:id="184" w:name="_Toc11616"/>
      <w:bookmarkStart w:id="185" w:name="_Toc4588"/>
      <w:bookmarkStart w:id="186" w:name="_Toc706"/>
      <w:r>
        <w:rPr>
          <w:rFonts w:hint="eastAsia" w:hAnsi="宋体" w:cs="宋体"/>
          <w:b/>
          <w:bCs/>
          <w:snapToGrid w:val="0"/>
          <w:color w:val="auto"/>
          <w:kern w:val="0"/>
          <w:szCs w:val="24"/>
          <w:highlight w:val="none"/>
        </w:rPr>
        <w:t>1．现场办公条件</w:t>
      </w:r>
      <w:bookmarkEnd w:id="180"/>
      <w:bookmarkEnd w:id="181"/>
      <w:bookmarkEnd w:id="182"/>
      <w:bookmarkEnd w:id="183"/>
      <w:bookmarkEnd w:id="184"/>
      <w:bookmarkEnd w:id="185"/>
      <w:bookmarkEnd w:id="186"/>
    </w:p>
    <w:p w14:paraId="11DCDCED">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1.1</w:t>
      </w:r>
      <w:r>
        <w:rPr>
          <w:rFonts w:hint="eastAsia" w:hAnsi="宋体" w:cs="宋体"/>
          <w:snapToGrid w:val="0"/>
          <w:color w:val="auto"/>
          <w:kern w:val="0"/>
          <w:szCs w:val="24"/>
          <w:highlight w:val="none"/>
        </w:rPr>
        <w:t xml:space="preserve"> 监理人的办公、休息场所不得与承包人混用。所需场所、水电网络接入由委托人征求监理人意见后，与承包人协调明确，但费用（若有）由监理人支付。监理人所需场所的数量及其面积应与项目规模、特点相匹配，并应满足监理工作正常运作的需要。</w:t>
      </w:r>
    </w:p>
    <w:p w14:paraId="045048A1">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1.2</w:t>
      </w:r>
      <w:r>
        <w:rPr>
          <w:rFonts w:hint="eastAsia" w:hAnsi="宋体" w:cs="宋体"/>
          <w:snapToGrid w:val="0"/>
          <w:color w:val="auto"/>
          <w:kern w:val="0"/>
          <w:szCs w:val="24"/>
          <w:highlight w:val="none"/>
        </w:rPr>
        <w:t xml:space="preserve"> 监理人应按照工程需要，自行配备以下的设施、设备：</w:t>
      </w:r>
    </w:p>
    <w:p w14:paraId="16F4F0B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（1）办公桌椅、文件柜、床铺被褥、供冷采暖设施等办公和生活设施；</w:t>
      </w:r>
    </w:p>
    <w:p w14:paraId="04E9EF1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（2）电脑、投影、打印机、复印机、传真机等办公设备及其耗材；</w:t>
      </w:r>
    </w:p>
    <w:p w14:paraId="0824DF7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（3）拍摄、录音、录像等取证器材；</w:t>
      </w:r>
    </w:p>
    <w:p w14:paraId="66B8580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（4）信息化管理软件或系统；</w:t>
      </w:r>
    </w:p>
    <w:p w14:paraId="27B1D88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（5）通信和交通工具；</w:t>
      </w:r>
    </w:p>
    <w:p w14:paraId="4B95581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（6）本招标项目必备的规范标准、图集等书籍手册；</w:t>
      </w:r>
    </w:p>
    <w:p w14:paraId="4329D7E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（7）安全帽、安全鞋、安全手套、安全服装、手电筒等安全防护用具；</w:t>
      </w:r>
    </w:p>
    <w:p w14:paraId="694A6388">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（8）</w:t>
      </w:r>
      <w:r>
        <w:rPr>
          <w:rFonts w:hint="eastAsia" w:hAnsi="宋体" w:cs="宋体"/>
          <w:snapToGrid w:val="0"/>
          <w:color w:val="auto"/>
          <w:kern w:val="0"/>
          <w:szCs w:val="24"/>
          <w:highlight w:val="none"/>
          <w:u w:val="single"/>
        </w:rPr>
        <w:t xml:space="preserve"> 打卡 / 指纹识别 / 人脸识别 / 虹膜识别 </w:t>
      </w:r>
      <w:r>
        <w:rPr>
          <w:rFonts w:hint="eastAsia" w:hAnsi="宋体" w:cs="宋体"/>
          <w:snapToGrid w:val="0"/>
          <w:color w:val="auto"/>
          <w:kern w:val="0"/>
          <w:szCs w:val="24"/>
          <w:highlight w:val="none"/>
        </w:rPr>
        <w:t>考勤设备；</w:t>
      </w:r>
    </w:p>
    <w:p w14:paraId="746DCCA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（9）其他与监理工作有关的设备与用品。</w:t>
      </w:r>
    </w:p>
    <w:p w14:paraId="6BD76464">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1"/>
        <w:rPr>
          <w:rFonts w:hAnsi="宋体" w:cs="宋体"/>
          <w:b/>
          <w:bCs/>
          <w:snapToGrid w:val="0"/>
          <w:color w:val="auto"/>
          <w:kern w:val="0"/>
          <w:szCs w:val="24"/>
          <w:highlight w:val="none"/>
        </w:rPr>
      </w:pPr>
      <w:bookmarkStart w:id="187" w:name="_Toc8261"/>
      <w:bookmarkStart w:id="188" w:name="_Toc6311"/>
      <w:bookmarkStart w:id="189" w:name="_Toc29914"/>
      <w:bookmarkStart w:id="190" w:name="_Toc15844"/>
      <w:bookmarkStart w:id="191" w:name="_Toc14419"/>
      <w:bookmarkStart w:id="192" w:name="_Toc6193"/>
      <w:bookmarkStart w:id="193" w:name="_Toc17006"/>
      <w:r>
        <w:rPr>
          <w:rFonts w:hint="eastAsia" w:hAnsi="宋体" w:cs="宋体"/>
          <w:b/>
          <w:bCs/>
          <w:snapToGrid w:val="0"/>
          <w:color w:val="auto"/>
          <w:kern w:val="0"/>
          <w:szCs w:val="24"/>
          <w:highlight w:val="none"/>
        </w:rPr>
        <w:t>2．</w:t>
      </w:r>
      <w:bookmarkEnd w:id="187"/>
      <w:bookmarkEnd w:id="188"/>
      <w:bookmarkEnd w:id="189"/>
      <w:bookmarkEnd w:id="190"/>
      <w:bookmarkEnd w:id="191"/>
      <w:r>
        <w:rPr>
          <w:rFonts w:hint="eastAsia" w:hAnsi="宋体" w:cs="宋体"/>
          <w:b/>
          <w:bCs/>
          <w:snapToGrid w:val="0"/>
          <w:color w:val="auto"/>
          <w:kern w:val="0"/>
          <w:szCs w:val="24"/>
          <w:highlight w:val="none"/>
        </w:rPr>
        <w:t>监理服务费</w:t>
      </w:r>
      <w:bookmarkEnd w:id="192"/>
      <w:bookmarkEnd w:id="193"/>
    </w:p>
    <w:p w14:paraId="1C133234">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2.1</w:t>
      </w:r>
      <w:r>
        <w:rPr>
          <w:rFonts w:hint="eastAsia" w:hAnsi="宋体" w:cs="宋体"/>
          <w:snapToGrid w:val="0"/>
          <w:color w:val="auto"/>
          <w:kern w:val="0"/>
          <w:szCs w:val="24"/>
          <w:highlight w:val="none"/>
        </w:rPr>
        <w:t xml:space="preserve"> “监理服务费”指监理人履行本合同义务，委托人按照本合同约定（包括按照合同约定进行的变更和调整）给付监理人的金额，“监理服务费”指监理人完成正常工作，委托人应给付监理人并在协议书中载明的签约酬金额。</w:t>
      </w:r>
    </w:p>
    <w:p w14:paraId="48F0A665">
      <w:pPr>
        <w:keepNext w:val="0"/>
        <w:keepLines w:val="0"/>
        <w:pageBreakBefore w:val="0"/>
        <w:widowControl w:val="0"/>
        <w:kinsoku/>
        <w:wordWrap w:val="0"/>
        <w:overflowPunct/>
        <w:topLinePunct w:val="0"/>
        <w:autoSpaceDE/>
        <w:autoSpaceDN/>
        <w:bidi w:val="0"/>
        <w:adjustRightInd w:val="0"/>
        <w:spacing w:line="360" w:lineRule="auto"/>
        <w:ind w:firstLine="482" w:firstLineChars="200"/>
        <w:textAlignment w:val="auto"/>
        <w:rPr>
          <w:rFonts w:hAnsi="宋体" w:cs="宋体"/>
          <w:b/>
          <w:bCs/>
          <w:snapToGrid w:val="0"/>
          <w:color w:val="auto"/>
          <w:kern w:val="0"/>
          <w:szCs w:val="24"/>
          <w:highlight w:val="none"/>
        </w:rPr>
      </w:pPr>
      <w:r>
        <w:rPr>
          <w:rFonts w:hint="eastAsia" w:hAnsi="宋体" w:cs="宋体"/>
          <w:b/>
          <w:bCs/>
          <w:snapToGrid w:val="0"/>
          <w:color w:val="auto"/>
          <w:kern w:val="0"/>
          <w:szCs w:val="24"/>
          <w:highlight w:val="none"/>
        </w:rPr>
        <w:t>2.2 监理服务费结算原则：</w:t>
      </w:r>
    </w:p>
    <w:p w14:paraId="7622FDA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Cs w:val="24"/>
          <w:highlight w:val="none"/>
        </w:rPr>
      </w:pPr>
      <w:bookmarkStart w:id="194" w:name="_Toc31653"/>
      <w:bookmarkStart w:id="195" w:name="_Toc17740"/>
      <w:bookmarkStart w:id="196" w:name="_Toc31657"/>
      <w:bookmarkStart w:id="197" w:name="_Toc6502"/>
      <w:bookmarkStart w:id="198" w:name="_Toc18979"/>
      <w:r>
        <w:rPr>
          <w:rFonts w:hint="eastAsia" w:hAnsi="宋体" w:cs="宋体"/>
          <w:snapToGrid w:val="0"/>
          <w:color w:val="auto"/>
          <w:kern w:val="0"/>
          <w:szCs w:val="24"/>
          <w:highlight w:val="none"/>
          <w:lang w:eastAsia="zh-CN"/>
        </w:rPr>
        <w:t>（</w:t>
      </w:r>
      <w:r>
        <w:rPr>
          <w:rFonts w:hint="eastAsia" w:hAnsi="宋体" w:cs="宋体"/>
          <w:snapToGrid w:val="0"/>
          <w:color w:val="auto"/>
          <w:kern w:val="0"/>
          <w:szCs w:val="24"/>
          <w:highlight w:val="none"/>
          <w:lang w:val="en-US" w:eastAsia="zh-CN"/>
        </w:rPr>
        <w:t>1</w:t>
      </w:r>
      <w:r>
        <w:rPr>
          <w:rFonts w:hint="eastAsia" w:hAnsi="宋体" w:cs="宋体"/>
          <w:snapToGrid w:val="0"/>
          <w:color w:val="auto"/>
          <w:kern w:val="0"/>
          <w:szCs w:val="24"/>
          <w:highlight w:val="none"/>
          <w:lang w:eastAsia="zh-CN"/>
        </w:rPr>
        <w:t>）</w:t>
      </w:r>
      <w:r>
        <w:rPr>
          <w:rFonts w:hint="eastAsia" w:ascii="宋体" w:hAnsi="宋体" w:eastAsia="宋体" w:cs="宋体"/>
          <w:snapToGrid w:val="0"/>
          <w:color w:val="auto"/>
          <w:kern w:val="0"/>
          <w:szCs w:val="24"/>
          <w:highlight w:val="none"/>
        </w:rPr>
        <w:t>监理服务费结算价在项目的合同价范围内按实结算，即：以施工财审结算价为基数乘以监理人中标取费费率计算，若监理服务费结算总价超过签约合同价，则按签约合同价包干结算；若监理服务费结算总价未超过签约合同价，则按以施工结算价为基数乘以监理人中标取费费率计算的结算价进行结算。</w:t>
      </w:r>
    </w:p>
    <w:p w14:paraId="4B7C731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（2）项目建设期间，即使出现缓建或停建事件导致监理工期延长，不另增加监理服务费。</w:t>
      </w:r>
    </w:p>
    <w:p w14:paraId="17FC59C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（3）因工程规模、监理范围的变化导致监理人的正常工作量减少时，按减少工作量的比例从协议书约定的正常工作酬金中扣减相同比例的酬金。</w:t>
      </w:r>
    </w:p>
    <w:p w14:paraId="3CA26190">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napToGrid w:val="0"/>
          <w:color w:val="auto"/>
          <w:kern w:val="0"/>
          <w:szCs w:val="24"/>
          <w:highlight w:val="none"/>
        </w:rPr>
      </w:pPr>
      <w:r>
        <w:rPr>
          <w:rFonts w:hint="eastAsia" w:ascii="宋体" w:hAnsi="宋体" w:eastAsia="宋体" w:cs="宋体"/>
          <w:b/>
          <w:bCs/>
          <w:snapToGrid w:val="0"/>
          <w:color w:val="auto"/>
          <w:kern w:val="0"/>
          <w:szCs w:val="24"/>
          <w:highlight w:val="none"/>
        </w:rPr>
        <w:t>2.3 监理服务费的支付：</w:t>
      </w:r>
    </w:p>
    <w:p w14:paraId="3AC46AB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（1）本项目支付监理服务费预付款，预付款支付比例为：合同价的30%；</w:t>
      </w:r>
    </w:p>
    <w:p w14:paraId="4FF87AA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（2）本项目根据施工阶段按施工进度分期支付监理服务费，具体分期支付方式如下：</w:t>
      </w:r>
    </w:p>
    <w:tbl>
      <w:tblPr>
        <w:tblStyle w:val="31"/>
        <w:tblW w:w="9204" w:type="dxa"/>
        <w:tblInd w:w="2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7779"/>
      </w:tblGrid>
      <w:tr w14:paraId="59DD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25" w:type="dxa"/>
            <w:noWrap w:val="0"/>
            <w:vAlign w:val="center"/>
          </w:tcPr>
          <w:p w14:paraId="02EF632E">
            <w:pPr>
              <w:wordWrap w:val="0"/>
              <w:adjustRightInd w:val="0"/>
              <w:snapToGrid w:val="0"/>
              <w:spacing w:line="400" w:lineRule="exact"/>
              <w:jc w:val="center"/>
              <w:rPr>
                <w:rFonts w:hint="eastAsia" w:ascii="黑体" w:hAnsi="黑体" w:eastAsia="黑体"/>
                <w:snapToGrid w:val="0"/>
                <w:color w:val="auto"/>
                <w:kern w:val="0"/>
                <w:highlight w:val="none"/>
              </w:rPr>
            </w:pPr>
            <w:r>
              <w:rPr>
                <w:rFonts w:hint="eastAsia" w:ascii="黑体" w:hAnsi="黑体" w:eastAsia="黑体"/>
                <w:snapToGrid w:val="0"/>
                <w:color w:val="auto"/>
                <w:kern w:val="0"/>
                <w:highlight w:val="none"/>
              </w:rPr>
              <w:t>支付次数</w:t>
            </w:r>
          </w:p>
        </w:tc>
        <w:tc>
          <w:tcPr>
            <w:tcW w:w="7779" w:type="dxa"/>
            <w:noWrap w:val="0"/>
            <w:vAlign w:val="center"/>
          </w:tcPr>
          <w:p w14:paraId="1A8903F7">
            <w:pPr>
              <w:wordWrap w:val="0"/>
              <w:adjustRightInd w:val="0"/>
              <w:snapToGrid w:val="0"/>
              <w:spacing w:line="400" w:lineRule="exact"/>
              <w:jc w:val="center"/>
              <w:rPr>
                <w:rFonts w:hint="eastAsia" w:ascii="黑体" w:hAnsi="黑体" w:eastAsia="黑体"/>
                <w:snapToGrid w:val="0"/>
                <w:color w:val="auto"/>
                <w:kern w:val="0"/>
                <w:highlight w:val="none"/>
                <w:lang w:val="en-US" w:eastAsia="zh-CN"/>
              </w:rPr>
            </w:pPr>
            <w:r>
              <w:rPr>
                <w:rFonts w:hint="eastAsia" w:ascii="黑体" w:hAnsi="黑体" w:eastAsia="黑体"/>
                <w:snapToGrid w:val="0"/>
                <w:color w:val="auto"/>
                <w:kern w:val="0"/>
                <w:highlight w:val="none"/>
              </w:rPr>
              <w:t>支付时间</w:t>
            </w:r>
            <w:r>
              <w:rPr>
                <w:rFonts w:hint="eastAsia" w:ascii="黑体" w:hAnsi="黑体" w:eastAsia="黑体"/>
                <w:snapToGrid w:val="0"/>
                <w:color w:val="auto"/>
                <w:kern w:val="0"/>
                <w:highlight w:val="none"/>
                <w:lang w:val="en-US" w:eastAsia="zh-CN"/>
              </w:rPr>
              <w:t>及</w:t>
            </w:r>
            <w:r>
              <w:rPr>
                <w:rFonts w:hint="eastAsia" w:ascii="黑体" w:hAnsi="黑体" w:eastAsia="黑体"/>
                <w:snapToGrid w:val="0"/>
                <w:color w:val="auto"/>
                <w:kern w:val="0"/>
                <w:highlight w:val="none"/>
              </w:rPr>
              <w:t>支付比例</w:t>
            </w:r>
          </w:p>
        </w:tc>
      </w:tr>
      <w:tr w14:paraId="1B9E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425" w:type="dxa"/>
            <w:noWrap w:val="0"/>
            <w:vAlign w:val="center"/>
          </w:tcPr>
          <w:p w14:paraId="71BAC85A">
            <w:pPr>
              <w:wordWrap w:val="0"/>
              <w:adjustRightInd w:val="0"/>
              <w:snapToGrid w:val="0"/>
              <w:spacing w:line="40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第二次付款</w:t>
            </w:r>
          </w:p>
        </w:tc>
        <w:tc>
          <w:tcPr>
            <w:tcW w:w="7779" w:type="dxa"/>
            <w:noWrap w:val="0"/>
            <w:vAlign w:val="center"/>
          </w:tcPr>
          <w:p w14:paraId="45CDE68B">
            <w:pPr>
              <w:wordWrap w:val="0"/>
              <w:adjustRightInd w:val="0"/>
              <w:snapToGrid w:val="0"/>
              <w:spacing w:line="400" w:lineRule="exact"/>
              <w:jc w:val="left"/>
              <w:rPr>
                <w:rFonts w:hint="default" w:ascii="Times New Roman" w:eastAsia="宋体"/>
                <w:snapToGrid w:val="0"/>
                <w:color w:val="auto"/>
                <w:kern w:val="0"/>
                <w:highlight w:val="none"/>
                <w:lang w:val="en-US" w:eastAsia="zh-CN"/>
              </w:rPr>
            </w:pPr>
            <w:r>
              <w:rPr>
                <w:rFonts w:hint="eastAsia" w:ascii="Times New Roman"/>
                <w:snapToGrid w:val="0"/>
                <w:color w:val="auto"/>
                <w:kern w:val="0"/>
                <w:highlight w:val="none"/>
                <w:lang w:val="en-US" w:eastAsia="zh-CN"/>
              </w:rPr>
              <w:t>工程施工进度达到80%后30日内支付至合同价款的50%(含预付款30%)。</w:t>
            </w:r>
          </w:p>
        </w:tc>
      </w:tr>
      <w:tr w14:paraId="5889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exact"/>
        </w:trPr>
        <w:tc>
          <w:tcPr>
            <w:tcW w:w="1425" w:type="dxa"/>
            <w:noWrap w:val="0"/>
            <w:vAlign w:val="center"/>
          </w:tcPr>
          <w:p w14:paraId="40BAE9EE">
            <w:pPr>
              <w:wordWrap w:val="0"/>
              <w:adjustRightInd w:val="0"/>
              <w:snapToGrid w:val="0"/>
              <w:spacing w:line="40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第</w:t>
            </w:r>
            <w:r>
              <w:rPr>
                <w:rFonts w:hint="eastAsia" w:ascii="Times New Roman"/>
                <w:snapToGrid w:val="0"/>
                <w:color w:val="auto"/>
                <w:kern w:val="0"/>
                <w:highlight w:val="none"/>
                <w:lang w:val="en-US" w:eastAsia="zh-CN"/>
              </w:rPr>
              <w:t>三</w:t>
            </w:r>
            <w:r>
              <w:rPr>
                <w:rFonts w:hint="eastAsia" w:ascii="Times New Roman"/>
                <w:snapToGrid w:val="0"/>
                <w:color w:val="auto"/>
                <w:kern w:val="0"/>
                <w:highlight w:val="none"/>
              </w:rPr>
              <w:t>次付款</w:t>
            </w:r>
          </w:p>
        </w:tc>
        <w:tc>
          <w:tcPr>
            <w:tcW w:w="7779" w:type="dxa"/>
            <w:noWrap w:val="0"/>
            <w:vAlign w:val="center"/>
          </w:tcPr>
          <w:p w14:paraId="6E8C3F2F">
            <w:pPr>
              <w:wordWrap w:val="0"/>
              <w:adjustRightInd w:val="0"/>
              <w:snapToGrid w:val="0"/>
              <w:spacing w:line="400" w:lineRule="exact"/>
              <w:jc w:val="left"/>
              <w:rPr>
                <w:rFonts w:hint="eastAsia" w:ascii="Times New Roman" w:eastAsia="宋体"/>
                <w:snapToGrid w:val="0"/>
                <w:color w:val="auto"/>
                <w:kern w:val="0"/>
                <w:sz w:val="24"/>
                <w:highlight w:val="none"/>
                <w:lang w:val="en-US" w:eastAsia="zh-CN" w:bidi="ar-SA"/>
              </w:rPr>
            </w:pPr>
            <w:r>
              <w:rPr>
                <w:rFonts w:hint="eastAsia" w:ascii="Times New Roman"/>
                <w:snapToGrid w:val="0"/>
                <w:color w:val="auto"/>
                <w:kern w:val="0"/>
                <w:highlight w:val="none"/>
              </w:rPr>
              <w:t>工程施工进度达到100%，项目完成完工验收后30日内支付至合同价款的80%</w:t>
            </w:r>
            <w:r>
              <w:rPr>
                <w:rFonts w:hint="eastAsia" w:ascii="Times New Roman"/>
                <w:snapToGrid w:val="0"/>
                <w:color w:val="auto"/>
                <w:kern w:val="0"/>
                <w:highlight w:val="none"/>
                <w:lang w:eastAsia="zh-CN"/>
              </w:rPr>
              <w:t>。</w:t>
            </w:r>
          </w:p>
        </w:tc>
      </w:tr>
      <w:tr w14:paraId="20E1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exact"/>
        </w:trPr>
        <w:tc>
          <w:tcPr>
            <w:tcW w:w="1425" w:type="dxa"/>
            <w:noWrap w:val="0"/>
            <w:vAlign w:val="center"/>
          </w:tcPr>
          <w:p w14:paraId="6E30D421">
            <w:pPr>
              <w:wordWrap w:val="0"/>
              <w:adjustRightInd w:val="0"/>
              <w:snapToGrid w:val="0"/>
              <w:spacing w:line="40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第</w:t>
            </w:r>
            <w:r>
              <w:rPr>
                <w:rFonts w:hint="eastAsia" w:ascii="Times New Roman"/>
                <w:snapToGrid w:val="0"/>
                <w:color w:val="auto"/>
                <w:kern w:val="0"/>
                <w:highlight w:val="none"/>
                <w:lang w:val="en-US" w:eastAsia="zh-CN"/>
              </w:rPr>
              <w:t>四</w:t>
            </w:r>
            <w:r>
              <w:rPr>
                <w:rFonts w:hint="eastAsia" w:ascii="Times New Roman"/>
                <w:snapToGrid w:val="0"/>
                <w:color w:val="auto"/>
                <w:kern w:val="0"/>
                <w:highlight w:val="none"/>
              </w:rPr>
              <w:t>次付款</w:t>
            </w:r>
          </w:p>
        </w:tc>
        <w:tc>
          <w:tcPr>
            <w:tcW w:w="7779" w:type="dxa"/>
            <w:noWrap w:val="0"/>
            <w:vAlign w:val="center"/>
          </w:tcPr>
          <w:p w14:paraId="68536663">
            <w:pPr>
              <w:wordWrap w:val="0"/>
              <w:adjustRightInd w:val="0"/>
              <w:snapToGrid w:val="0"/>
              <w:spacing w:line="400" w:lineRule="exact"/>
              <w:jc w:val="left"/>
              <w:rPr>
                <w:rFonts w:hint="eastAsia" w:ascii="Times New Roman" w:eastAsia="宋体"/>
                <w:snapToGrid w:val="0"/>
                <w:color w:val="auto"/>
                <w:kern w:val="0"/>
                <w:sz w:val="24"/>
                <w:highlight w:val="none"/>
                <w:lang w:val="en-US" w:eastAsia="zh-CN" w:bidi="ar-SA"/>
              </w:rPr>
            </w:pPr>
            <w:r>
              <w:rPr>
                <w:rFonts w:hint="eastAsia" w:ascii="Times New Roman"/>
                <w:snapToGrid w:val="0"/>
                <w:color w:val="auto"/>
                <w:kern w:val="0"/>
                <w:highlight w:val="none"/>
              </w:rPr>
              <w:t>竣工验收合格后，经委托人或委托人委托的第三方审核机构结算定案后支付至监理结算价的100%</w:t>
            </w:r>
            <w:r>
              <w:rPr>
                <w:rFonts w:hint="eastAsia" w:ascii="Times New Roman"/>
                <w:snapToGrid w:val="0"/>
                <w:color w:val="auto"/>
                <w:kern w:val="0"/>
                <w:highlight w:val="none"/>
                <w:lang w:eastAsia="zh-CN"/>
              </w:rPr>
              <w:t>。</w:t>
            </w:r>
          </w:p>
        </w:tc>
      </w:tr>
    </w:tbl>
    <w:p w14:paraId="2D07E2CE">
      <w:pPr>
        <w:keepNext w:val="0"/>
        <w:keepLines w:val="0"/>
        <w:pageBreakBefore w:val="0"/>
        <w:widowControl w:val="0"/>
        <w:kinsoku/>
        <w:wordWrap w:val="0"/>
        <w:overflowPunct/>
        <w:topLinePunct w:val="0"/>
        <w:autoSpaceDE/>
        <w:autoSpaceDN/>
        <w:bidi w:val="0"/>
        <w:adjustRightInd w:val="0"/>
        <w:snapToGrid w:val="0"/>
        <w:spacing w:before="165" w:beforeLines="50" w:line="360" w:lineRule="auto"/>
        <w:ind w:firstLine="482" w:firstLineChars="200"/>
        <w:textAlignment w:val="auto"/>
        <w:outlineLvl w:val="1"/>
        <w:rPr>
          <w:rFonts w:hint="eastAsia" w:ascii="宋体" w:hAnsi="宋体" w:eastAsia="宋体" w:cs="宋体"/>
          <w:b/>
          <w:bCs/>
          <w:snapToGrid w:val="0"/>
          <w:color w:val="auto"/>
          <w:kern w:val="0"/>
          <w:szCs w:val="24"/>
          <w:highlight w:val="none"/>
        </w:rPr>
      </w:pPr>
      <w:bookmarkStart w:id="199" w:name="_Toc12074"/>
      <w:bookmarkStart w:id="200" w:name="_Toc6221"/>
      <w:r>
        <w:rPr>
          <w:rFonts w:hint="eastAsia" w:ascii="宋体" w:hAnsi="宋体" w:eastAsia="宋体" w:cs="宋体"/>
          <w:b/>
          <w:bCs/>
          <w:snapToGrid w:val="0"/>
          <w:color w:val="auto"/>
          <w:kern w:val="0"/>
          <w:szCs w:val="24"/>
          <w:highlight w:val="none"/>
        </w:rPr>
        <w:t>3．监理服务费发票</w:t>
      </w:r>
      <w:bookmarkEnd w:id="194"/>
      <w:bookmarkEnd w:id="195"/>
      <w:bookmarkEnd w:id="196"/>
      <w:bookmarkEnd w:id="197"/>
      <w:bookmarkEnd w:id="198"/>
      <w:bookmarkEnd w:id="199"/>
      <w:bookmarkEnd w:id="200"/>
    </w:p>
    <w:p w14:paraId="429ED25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委托人每次支付监理服务费前，监理人均应提供有效的增值税</w:t>
      </w:r>
      <w:r>
        <w:rPr>
          <w:rFonts w:hint="eastAsia" w:hAnsi="宋体" w:cs="宋体"/>
          <w:snapToGrid w:val="0"/>
          <w:color w:val="auto"/>
          <w:kern w:val="0"/>
          <w:szCs w:val="24"/>
          <w:highlight w:val="none"/>
          <w:u w:val="single"/>
        </w:rPr>
        <w:t xml:space="preserve"> 普通 </w:t>
      </w:r>
      <w:r>
        <w:rPr>
          <w:rFonts w:hint="eastAsia" w:hAnsi="宋体" w:cs="宋体"/>
          <w:snapToGrid w:val="0"/>
          <w:color w:val="auto"/>
          <w:kern w:val="0"/>
          <w:szCs w:val="24"/>
          <w:highlight w:val="none"/>
        </w:rPr>
        <w:t xml:space="preserve">发票。如果监理人无法提供符合要求的监理服务费发票，由此造成的相应损失由监理人承担。 </w:t>
      </w:r>
    </w:p>
    <w:p w14:paraId="05F1438D">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outlineLvl w:val="1"/>
        <w:rPr>
          <w:rFonts w:hAnsi="宋体" w:cs="宋体"/>
          <w:snapToGrid w:val="0"/>
          <w:color w:val="auto"/>
          <w:kern w:val="0"/>
          <w:szCs w:val="24"/>
          <w:highlight w:val="none"/>
        </w:rPr>
      </w:pPr>
      <w:bookmarkStart w:id="201" w:name="_Toc32105"/>
      <w:bookmarkStart w:id="202" w:name="_Toc2147"/>
      <w:bookmarkStart w:id="203" w:name="_Toc25406"/>
      <w:bookmarkStart w:id="204" w:name="_Toc7557"/>
      <w:bookmarkStart w:id="205" w:name="_Toc32633"/>
      <w:bookmarkStart w:id="206" w:name="_Toc30294"/>
      <w:bookmarkStart w:id="207" w:name="_Toc22603"/>
      <w:r>
        <w:rPr>
          <w:rFonts w:hint="eastAsia" w:hAnsi="宋体" w:cs="宋体"/>
          <w:b/>
          <w:bCs/>
          <w:snapToGrid w:val="0"/>
          <w:color w:val="auto"/>
          <w:kern w:val="0"/>
          <w:szCs w:val="24"/>
          <w:highlight w:val="none"/>
        </w:rPr>
        <w:t>4．违约责任</w:t>
      </w:r>
      <w:bookmarkEnd w:id="201"/>
      <w:bookmarkEnd w:id="202"/>
      <w:bookmarkEnd w:id="203"/>
      <w:bookmarkEnd w:id="204"/>
      <w:bookmarkEnd w:id="205"/>
      <w:bookmarkEnd w:id="206"/>
      <w:bookmarkEnd w:id="207"/>
    </w:p>
    <w:p w14:paraId="6CD4EE79">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4.1 若由于监理单位的过错或失职，对委托人造成损失的，监理人必须依法承担赔偿责任。</w:t>
      </w:r>
    </w:p>
    <w:p w14:paraId="2035E843">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4.2 本工程质量必须达到合格标准。若因监理人原因，工程在竣工验收或分部工程验收时没有达到此标准，监理人按监理合同价款（指监理结算价款）的</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u w:val="single"/>
          <w:lang w:val="en-US" w:eastAsia="zh-CN"/>
        </w:rPr>
        <w:t>10</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％向委托人返纳质量违约金，并对委托人的损失依法承担赔偿责任。</w:t>
      </w:r>
    </w:p>
    <w:p w14:paraId="7CA39C94">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4.3 监理人必须按投标文件中的服务承诺条款履行合同。</w:t>
      </w:r>
    </w:p>
    <w:p w14:paraId="626FA58E">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4.4 监理人若是韶关市以外的企业，则其提供的监理费发票必须是在本工程所在地的税务部门开具的，委托人收到符合要求的发票后方可支付监理费。</w:t>
      </w:r>
    </w:p>
    <w:p w14:paraId="7059E59E">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4.5 监理人在监理期间应严格遵守国家、省、市有关防火、爆破和监理安全以及文明监理、深夜监理、环卫城管等规定，建立规章制度和防护措施。否则，由此造成的经济和法律责任，均由监理人负责。</w:t>
      </w:r>
    </w:p>
    <w:p w14:paraId="7698C451">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4.6 监理人应按安全监理的要求，采取严格科学的安全措施，确保监理安全和第三者的安全，承担由于自身安全措施不力所造成的事故责任和发生的费用。</w:t>
      </w:r>
    </w:p>
    <w:p w14:paraId="204D2C66">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4.7 工程竣工验收后，监理人应向委托人提供符合现行《建设工程监理规范》（GB/t50319-2013）、《韶关市城市建设档案管理办法》及韶关市城市建设档案馆的要求（质量、数量），编制成册的监理档案资料（制作标准和相关要求按韶关市城市建设档案馆的有关规定执行），并承担档案涉及的所有费用。</w:t>
      </w:r>
    </w:p>
    <w:p w14:paraId="66635269">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4.8 监理人须服从委托人及政府工程质量监督部门对监理工程全方位的监督，监理资料应及时报送委托人审查备案。</w:t>
      </w:r>
    </w:p>
    <w:p w14:paraId="56931890">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4.9 监理人在施工过程中若发生</w:t>
      </w:r>
      <w:r>
        <w:rPr>
          <w:rFonts w:hint="eastAsia" w:ascii="Times New Roman"/>
          <w:snapToGrid w:val="0"/>
          <w:color w:val="auto"/>
          <w:kern w:val="0"/>
          <w:highlight w:val="none"/>
          <w:lang w:val="en-US" w:eastAsia="zh-CN"/>
        </w:rPr>
        <w:t>工程量变更时</w:t>
      </w:r>
      <w:r>
        <w:rPr>
          <w:rFonts w:hint="eastAsia" w:ascii="Times New Roman"/>
          <w:snapToGrid w:val="0"/>
          <w:color w:val="auto"/>
          <w:kern w:val="0"/>
          <w:highlight w:val="none"/>
        </w:rPr>
        <w:t>，按委托人</w:t>
      </w:r>
      <w:r>
        <w:rPr>
          <w:rFonts w:hint="eastAsia" w:ascii="Times New Roman"/>
          <w:snapToGrid w:val="0"/>
          <w:color w:val="auto"/>
          <w:kern w:val="0"/>
          <w:highlight w:val="none"/>
          <w:lang w:val="en-US" w:eastAsia="zh-CN"/>
        </w:rPr>
        <w:t>变更</w:t>
      </w:r>
      <w:r>
        <w:rPr>
          <w:rFonts w:hint="eastAsia" w:ascii="Times New Roman"/>
          <w:snapToGrid w:val="0"/>
          <w:color w:val="auto"/>
          <w:kern w:val="0"/>
          <w:highlight w:val="none"/>
        </w:rPr>
        <w:t>管理办法执行。</w:t>
      </w:r>
    </w:p>
    <w:p w14:paraId="779166CF">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4.10 招标文件、招标答疑书、投标文件和中标通知书是委托人与监理人双方签订的施工监理合同的主要组成部分，并与合同一样，具有相同的法律效力。如中标通知书发出后，发现监理人的投标文件中有与招标文件所述内容及要求不符的，按招标文件执行。</w:t>
      </w:r>
    </w:p>
    <w:p w14:paraId="22312BAB">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4.11 投标报价应充分考虑在施工中由于委托人造成停工或工期延误等因素所产生的相关费用，委托人不予另计费；停工发生后，若可复工时，监理人应在收到委托人发出的复工通知书的当日通知施工单位复工，并安排现场监理人员及时到场进行现场监理。</w:t>
      </w:r>
    </w:p>
    <w:p w14:paraId="30C17977">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4.12 监理人若在韶关市无固定服务场所和固定专业负责人的，则在合同签订后尽快完成驻韶固定办公场所办理和安排固定项目负责人及其他相关监理人员驻韶办公。</w:t>
      </w:r>
    </w:p>
    <w:p w14:paraId="0394F5B4">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4.13 监理人拟派驻监理机构组成人员数量须符合《广东省建设厅转发建设部关于印发&lt;房屋建筑工程施工旁站监理管理办法（试行）&gt;的通知》（粤建管（2002）97号文》关于工程项目监理人数配置要求。同时，监理人派驻到工程所在地进行监理服务的监理人员，应能够胜任监理合同约定的监理服务工作。发包人有权以书面形式要求监理人更换不能按照监理合同的约定进行监理服务的派驻人员，若监理人拒不执行或无法在15个工作日内完成更换，则每发生一次扣除签约合同价的10%作为违约金。</w:t>
      </w:r>
    </w:p>
    <w:p w14:paraId="6A113065">
      <w:pPr>
        <w:wordWrap w:val="0"/>
        <w:adjustRightInd w:val="0"/>
        <w:snapToGrid w:val="0"/>
        <w:spacing w:line="440" w:lineRule="exact"/>
        <w:ind w:firstLine="560"/>
        <w:rPr>
          <w:rFonts w:hint="eastAsia" w:hAnsi="宋体"/>
          <w:color w:val="auto"/>
          <w:highlight w:val="none"/>
        </w:rPr>
      </w:pPr>
      <w:r>
        <w:rPr>
          <w:rFonts w:hint="eastAsia" w:ascii="Times New Roman"/>
          <w:snapToGrid w:val="0"/>
          <w:color w:val="auto"/>
          <w:kern w:val="0"/>
          <w:highlight w:val="none"/>
        </w:rPr>
        <w:t>4.14</w:t>
      </w:r>
      <w:r>
        <w:rPr>
          <w:rFonts w:hint="eastAsia" w:hAnsi="宋体"/>
          <w:color w:val="auto"/>
          <w:highlight w:val="none"/>
        </w:rPr>
        <w:t>监理人必须保证严格遵守有关法律法规及廉政规定。如监理人及其工作人员违反本承诺规定，给发包人造成经济损失的，依法给予赔偿。</w:t>
      </w:r>
    </w:p>
    <w:p w14:paraId="26D6847F">
      <w:pPr>
        <w:wordWrap w:val="0"/>
        <w:adjustRightInd w:val="0"/>
        <w:snapToGrid w:val="0"/>
        <w:spacing w:line="440" w:lineRule="exact"/>
        <w:ind w:firstLine="560"/>
        <w:rPr>
          <w:rFonts w:hint="eastAsia"/>
          <w:color w:val="auto"/>
          <w:highlight w:val="none"/>
          <w:lang w:val="en-US" w:eastAsia="zh-CN"/>
        </w:rPr>
      </w:pPr>
      <w:r>
        <w:rPr>
          <w:rFonts w:hint="eastAsia" w:ascii="Times New Roman" w:hAnsi="Times New Roman" w:eastAsia="宋体" w:cs="Times New Roman"/>
          <w:snapToGrid w:val="0"/>
          <w:color w:val="auto"/>
          <w:kern w:val="0"/>
          <w:sz w:val="24"/>
          <w:highlight w:val="none"/>
          <w:lang w:val="en-US" w:eastAsia="zh-CN" w:bidi="ar-SA"/>
        </w:rPr>
        <w:t>4.15</w:t>
      </w:r>
      <w:r>
        <w:rPr>
          <w:rFonts w:hint="eastAsia"/>
          <w:color w:val="auto"/>
          <w:highlight w:val="none"/>
          <w:lang w:val="en-US" w:eastAsia="zh-CN"/>
        </w:rPr>
        <w:t>因监理单位履职不到位引起的累计工程变更调整费用总额超过项目施工合同价(暂列金、预留金除外)的10%以上(含)，由项目建设单位按照合同扣减其30%的委托费用；超过项目施工合同价(暂列金、预留金除外)的20%以上(含),全额扣减相关费用，并由相关部门在市场诚信管理、市场准入资质管理等方面依法给予处理并进行通报。</w:t>
      </w:r>
    </w:p>
    <w:p w14:paraId="4CA087E1">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Ansi="宋体" w:cs="宋体"/>
          <w:snapToGrid w:val="0"/>
          <w:color w:val="auto"/>
          <w:kern w:val="0"/>
          <w:szCs w:val="24"/>
          <w:highlight w:val="none"/>
        </w:rPr>
      </w:pPr>
      <w:r>
        <w:rPr>
          <w:rFonts w:hint="eastAsia"/>
          <w:color w:val="auto"/>
          <w:highlight w:val="none"/>
          <w:lang w:val="en-US" w:eastAsia="zh-CN"/>
        </w:rPr>
        <w:t>4.16项目总监理工程师或项目总监理工程师代表每月驻现场不少于28 天，未经招标人书面同意，每少1天，视为监理人发生监理不良行为一次，承担般违约责任一次，监理人向委托人交纳违约金 2000 元。</w:t>
      </w:r>
    </w:p>
    <w:p w14:paraId="66FF935F">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outlineLvl w:val="1"/>
        <w:rPr>
          <w:rFonts w:hAnsi="宋体" w:cs="宋体"/>
          <w:snapToGrid w:val="0"/>
          <w:color w:val="auto"/>
          <w:kern w:val="0"/>
          <w:szCs w:val="24"/>
          <w:highlight w:val="none"/>
        </w:rPr>
      </w:pPr>
      <w:bookmarkStart w:id="208" w:name="_Toc8823"/>
      <w:bookmarkStart w:id="209" w:name="_Toc29596"/>
      <w:bookmarkStart w:id="210" w:name="_Toc26193"/>
      <w:bookmarkStart w:id="211" w:name="_Toc8777"/>
      <w:bookmarkStart w:id="212" w:name="_Toc27702"/>
      <w:bookmarkStart w:id="213" w:name="_Toc22865"/>
      <w:bookmarkStart w:id="214" w:name="_Toc17944"/>
      <w:r>
        <w:rPr>
          <w:rFonts w:hint="eastAsia" w:hAnsi="宋体" w:cs="宋体"/>
          <w:b/>
          <w:bCs/>
          <w:snapToGrid w:val="0"/>
          <w:color w:val="auto"/>
          <w:kern w:val="0"/>
          <w:szCs w:val="24"/>
          <w:highlight w:val="none"/>
        </w:rPr>
        <w:t>5．</w:t>
      </w:r>
      <w:r>
        <w:rPr>
          <w:rFonts w:hint="eastAsia" w:hAnsi="宋体" w:cs="宋体"/>
          <w:b/>
          <w:bCs/>
          <w:snapToGrid w:val="0"/>
          <w:color w:val="auto"/>
          <w:kern w:val="0"/>
          <w:szCs w:val="24"/>
          <w:highlight w:val="none"/>
          <w:lang w:val="en-US" w:eastAsia="zh-CN"/>
        </w:rPr>
        <w:t>监理服务费的</w:t>
      </w:r>
      <w:r>
        <w:rPr>
          <w:rFonts w:hint="eastAsia" w:hAnsi="宋体" w:cs="宋体"/>
          <w:b/>
          <w:bCs/>
          <w:snapToGrid w:val="0"/>
          <w:color w:val="auto"/>
          <w:kern w:val="0"/>
          <w:szCs w:val="24"/>
          <w:highlight w:val="none"/>
        </w:rPr>
        <w:t>支付</w:t>
      </w:r>
      <w:bookmarkEnd w:id="208"/>
      <w:bookmarkEnd w:id="209"/>
      <w:bookmarkEnd w:id="210"/>
      <w:bookmarkEnd w:id="211"/>
      <w:bookmarkEnd w:id="212"/>
      <w:bookmarkEnd w:id="213"/>
      <w:bookmarkEnd w:id="214"/>
    </w:p>
    <w:p w14:paraId="6B1617B9">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outlineLvl w:val="9"/>
        <w:rPr>
          <w:rFonts w:hAnsi="宋体" w:cs="宋体"/>
          <w:snapToGrid w:val="0"/>
          <w:color w:val="auto"/>
          <w:kern w:val="0"/>
          <w:szCs w:val="24"/>
          <w:highlight w:val="none"/>
        </w:rPr>
      </w:pPr>
      <w:bookmarkStart w:id="215" w:name="_Toc9024"/>
      <w:bookmarkStart w:id="216" w:name="_Toc624"/>
      <w:bookmarkStart w:id="217" w:name="_Toc26599"/>
      <w:bookmarkStart w:id="218" w:name="_Toc13619"/>
      <w:r>
        <w:rPr>
          <w:rFonts w:hint="eastAsia" w:hAnsi="宋体" w:cs="宋体"/>
          <w:b/>
          <w:bCs/>
          <w:snapToGrid w:val="0"/>
          <w:color w:val="auto"/>
          <w:kern w:val="0"/>
          <w:szCs w:val="24"/>
          <w:highlight w:val="none"/>
        </w:rPr>
        <w:t>5.1</w:t>
      </w:r>
      <w:r>
        <w:rPr>
          <w:rFonts w:hint="eastAsia" w:hAnsi="宋体" w:cs="宋体"/>
          <w:snapToGrid w:val="0"/>
          <w:color w:val="auto"/>
          <w:kern w:val="0"/>
          <w:szCs w:val="24"/>
          <w:highlight w:val="none"/>
        </w:rPr>
        <w:t xml:space="preserve"> 支付货币</w:t>
      </w:r>
      <w:bookmarkEnd w:id="215"/>
      <w:bookmarkEnd w:id="216"/>
      <w:bookmarkEnd w:id="217"/>
      <w:bookmarkEnd w:id="218"/>
    </w:p>
    <w:p w14:paraId="7BF93147">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酬金均以人民币支付。</w:t>
      </w:r>
    </w:p>
    <w:p w14:paraId="386EB357">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9"/>
        <w:rPr>
          <w:rFonts w:hAnsi="宋体" w:cs="宋体"/>
          <w:snapToGrid w:val="0"/>
          <w:color w:val="auto"/>
          <w:kern w:val="0"/>
          <w:szCs w:val="24"/>
          <w:highlight w:val="none"/>
        </w:rPr>
      </w:pPr>
      <w:bookmarkStart w:id="219" w:name="_Toc3949"/>
      <w:bookmarkStart w:id="220" w:name="_Toc22466"/>
      <w:bookmarkStart w:id="221" w:name="_Toc10949"/>
      <w:bookmarkStart w:id="222" w:name="_Toc7275"/>
      <w:r>
        <w:rPr>
          <w:rFonts w:hint="eastAsia" w:hAnsi="宋体" w:cs="宋体"/>
          <w:b/>
          <w:bCs/>
          <w:snapToGrid w:val="0"/>
          <w:color w:val="auto"/>
          <w:kern w:val="0"/>
          <w:szCs w:val="24"/>
          <w:highlight w:val="none"/>
        </w:rPr>
        <w:t>5.2</w:t>
      </w:r>
      <w:r>
        <w:rPr>
          <w:rFonts w:hint="eastAsia" w:hAnsi="宋体" w:cs="宋体"/>
          <w:snapToGrid w:val="0"/>
          <w:color w:val="auto"/>
          <w:kern w:val="0"/>
          <w:szCs w:val="24"/>
          <w:highlight w:val="none"/>
        </w:rPr>
        <w:t xml:space="preserve"> 支付申请</w:t>
      </w:r>
      <w:bookmarkEnd w:id="219"/>
      <w:bookmarkEnd w:id="220"/>
      <w:bookmarkEnd w:id="221"/>
      <w:bookmarkEnd w:id="222"/>
    </w:p>
    <w:p w14:paraId="3940F8C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监理人应在本合同约定的每次应付款时间的7天前，向委托人提交支付申请书。支付申请书应当说明当期应付款总额，并列出当期应支付的款项及其金额。</w:t>
      </w:r>
    </w:p>
    <w:p w14:paraId="1080AE34">
      <w:pPr>
        <w:wordWrap w:val="0"/>
        <w:autoSpaceDE/>
        <w:autoSpaceDN/>
        <w:snapToGrid w:val="0"/>
        <w:spacing w:line="440" w:lineRule="exact"/>
        <w:ind w:firstLine="480"/>
        <w:jc w:val="both"/>
        <w:outlineLvl w:val="9"/>
        <w:rPr>
          <w:rFonts w:hint="eastAsia" w:ascii="Times New Roman"/>
          <w:b/>
          <w:snapToGrid w:val="0"/>
          <w:color w:val="auto"/>
          <w:szCs w:val="22"/>
          <w:highlight w:val="none"/>
        </w:rPr>
      </w:pPr>
      <w:bookmarkStart w:id="223" w:name="_Toc6801"/>
      <w:bookmarkStart w:id="224" w:name="_Toc10664"/>
      <w:bookmarkStart w:id="225" w:name="_Toc25652"/>
      <w:bookmarkStart w:id="226" w:name="_Toc17883"/>
      <w:r>
        <w:rPr>
          <w:rFonts w:hint="eastAsia" w:hAnsi="宋体" w:cs="宋体"/>
          <w:b/>
          <w:bCs/>
          <w:snapToGrid w:val="0"/>
          <w:color w:val="auto"/>
          <w:kern w:val="0"/>
          <w:szCs w:val="24"/>
          <w:highlight w:val="none"/>
        </w:rPr>
        <w:t xml:space="preserve">5.3 </w:t>
      </w:r>
      <w:bookmarkEnd w:id="223"/>
      <w:bookmarkEnd w:id="224"/>
      <w:bookmarkEnd w:id="225"/>
      <w:bookmarkEnd w:id="226"/>
      <w:r>
        <w:rPr>
          <w:rFonts w:hint="eastAsia" w:ascii="Times New Roman"/>
          <w:b/>
          <w:snapToGrid w:val="0"/>
          <w:color w:val="auto"/>
          <w:szCs w:val="22"/>
          <w:highlight w:val="none"/>
        </w:rPr>
        <w:t>监理人的服务内容</w:t>
      </w:r>
    </w:p>
    <w:p w14:paraId="167DB3B9">
      <w:pPr>
        <w:wordWrap w:val="0"/>
        <w:adjustRightInd w:val="0"/>
        <w:snapToGrid w:val="0"/>
        <w:spacing w:line="440" w:lineRule="exact"/>
        <w:ind w:firstLine="560"/>
        <w:rPr>
          <w:rFonts w:hint="eastAsia" w:hAnsi="宋体"/>
          <w:color w:val="auto"/>
          <w:highlight w:val="none"/>
        </w:rPr>
      </w:pPr>
      <w:r>
        <w:rPr>
          <w:rFonts w:hint="eastAsia" w:hAnsi="宋体"/>
          <w:color w:val="auto"/>
          <w:highlight w:val="none"/>
        </w:rPr>
        <w:t>5.1工程施工阶段服务内容</w:t>
      </w:r>
    </w:p>
    <w:p w14:paraId="2311810A">
      <w:pPr>
        <w:wordWrap w:val="0"/>
        <w:adjustRightInd w:val="0"/>
        <w:snapToGrid w:val="0"/>
        <w:spacing w:line="440" w:lineRule="exact"/>
        <w:ind w:firstLine="560"/>
        <w:rPr>
          <w:rFonts w:hint="eastAsia" w:hAnsi="宋体"/>
          <w:color w:val="auto"/>
          <w:highlight w:val="none"/>
        </w:rPr>
      </w:pPr>
      <w:r>
        <w:rPr>
          <w:rFonts w:hint="eastAsia" w:hAnsi="宋体"/>
          <w:color w:val="auto"/>
          <w:highlight w:val="none"/>
        </w:rPr>
        <w:t>本工程施工阶段工作，具体包括施工前期准备阶段，施工阶段，竣工验收阶段和工程保修阶段的监理工作。</w:t>
      </w:r>
    </w:p>
    <w:p w14:paraId="012A8D09">
      <w:pPr>
        <w:wordWrap w:val="0"/>
        <w:adjustRightInd w:val="0"/>
        <w:snapToGrid w:val="0"/>
        <w:spacing w:line="440" w:lineRule="exact"/>
        <w:ind w:firstLine="560"/>
        <w:rPr>
          <w:rFonts w:hint="eastAsia" w:hAnsi="宋体"/>
          <w:color w:val="auto"/>
          <w:highlight w:val="none"/>
        </w:rPr>
      </w:pPr>
      <w:r>
        <w:rPr>
          <w:rFonts w:hint="eastAsia" w:hAnsi="宋体"/>
          <w:color w:val="auto"/>
          <w:highlight w:val="none"/>
        </w:rPr>
        <w:t>5.1.1参与审阅施工图纸。</w:t>
      </w:r>
    </w:p>
    <w:p w14:paraId="7AD82EA2">
      <w:pPr>
        <w:wordWrap w:val="0"/>
        <w:adjustRightInd w:val="0"/>
        <w:snapToGrid w:val="0"/>
        <w:spacing w:line="440" w:lineRule="exact"/>
        <w:ind w:firstLine="560"/>
        <w:rPr>
          <w:rFonts w:hint="eastAsia" w:hAnsi="宋体"/>
          <w:color w:val="auto"/>
          <w:highlight w:val="none"/>
        </w:rPr>
      </w:pPr>
      <w:r>
        <w:rPr>
          <w:rFonts w:hint="eastAsia" w:hAnsi="宋体"/>
          <w:color w:val="auto"/>
          <w:highlight w:val="none"/>
        </w:rPr>
        <w:t>5.1.2协助招标人审核各项工程和设备质量，提出审核意见，并协助起草合同、完善合同条款。</w:t>
      </w:r>
    </w:p>
    <w:p w14:paraId="50AA25CE">
      <w:pPr>
        <w:wordWrap w:val="0"/>
        <w:adjustRightInd w:val="0"/>
        <w:snapToGrid w:val="0"/>
        <w:spacing w:line="440" w:lineRule="exact"/>
        <w:ind w:firstLine="560"/>
        <w:rPr>
          <w:rFonts w:hint="eastAsia" w:hAnsi="宋体"/>
          <w:color w:val="auto"/>
          <w:highlight w:val="none"/>
        </w:rPr>
      </w:pPr>
      <w:r>
        <w:rPr>
          <w:rFonts w:hint="eastAsia" w:hAnsi="宋体"/>
          <w:color w:val="auto"/>
          <w:highlight w:val="none"/>
        </w:rPr>
        <w:t>5.1.3协助招标人办理开工手续。</w:t>
      </w:r>
    </w:p>
    <w:p w14:paraId="319DDA2D">
      <w:pPr>
        <w:wordWrap w:val="0"/>
        <w:adjustRightInd w:val="0"/>
        <w:snapToGrid w:val="0"/>
        <w:spacing w:line="440" w:lineRule="exact"/>
        <w:ind w:firstLine="560"/>
        <w:rPr>
          <w:rFonts w:hint="eastAsia" w:hAnsi="宋体"/>
          <w:color w:val="auto"/>
          <w:highlight w:val="none"/>
        </w:rPr>
      </w:pPr>
      <w:r>
        <w:rPr>
          <w:rFonts w:hint="eastAsia" w:hAnsi="宋体"/>
          <w:color w:val="auto"/>
          <w:highlight w:val="none"/>
        </w:rPr>
        <w:t>5.1.4组织相关单位进行设计交底和施工图会审，负责做好会议记录和图纸会审记录。</w:t>
      </w:r>
    </w:p>
    <w:p w14:paraId="5E57D7FB">
      <w:pPr>
        <w:wordWrap w:val="0"/>
        <w:adjustRightInd w:val="0"/>
        <w:snapToGrid w:val="0"/>
        <w:spacing w:line="440" w:lineRule="exact"/>
        <w:ind w:firstLine="480" w:firstLineChars="200"/>
        <w:rPr>
          <w:rFonts w:hint="eastAsia" w:hAnsi="宋体"/>
          <w:color w:val="auto"/>
          <w:highlight w:val="none"/>
        </w:rPr>
      </w:pPr>
      <w:r>
        <w:rPr>
          <w:rFonts w:hint="eastAsia" w:hAnsi="宋体"/>
          <w:color w:val="auto"/>
          <w:highlight w:val="none"/>
        </w:rPr>
        <w:t>5.1.5现场的移交：对现场的原始场地进行测量，作出书面记录，并在开工之前及时向施工单位移交，其次是测量放线定位的移交。</w:t>
      </w:r>
    </w:p>
    <w:p w14:paraId="7BED7C30">
      <w:pPr>
        <w:wordWrap w:val="0"/>
        <w:adjustRightInd w:val="0"/>
        <w:snapToGrid w:val="0"/>
        <w:spacing w:line="440" w:lineRule="exact"/>
        <w:ind w:firstLine="480" w:firstLineChars="200"/>
        <w:rPr>
          <w:rFonts w:hint="eastAsia" w:hAnsi="宋体"/>
          <w:color w:val="auto"/>
          <w:highlight w:val="none"/>
        </w:rPr>
      </w:pPr>
      <w:r>
        <w:rPr>
          <w:rFonts w:hint="eastAsia" w:hAnsi="宋体"/>
          <w:color w:val="auto"/>
          <w:highlight w:val="none"/>
        </w:rPr>
        <w:t>5.1.6审查施工单位提出的施工组织设计、施工技术方案、施工进度计划、施工质量保证体系和施工安全保证体系。</w:t>
      </w:r>
    </w:p>
    <w:p w14:paraId="207E88DE">
      <w:pPr>
        <w:wordWrap w:val="0"/>
        <w:adjustRightInd w:val="0"/>
        <w:snapToGrid w:val="0"/>
        <w:spacing w:line="440" w:lineRule="exact"/>
        <w:ind w:firstLine="480" w:firstLineChars="200"/>
        <w:rPr>
          <w:rFonts w:hint="eastAsia" w:hAnsi="宋体"/>
          <w:color w:val="auto"/>
          <w:highlight w:val="none"/>
        </w:rPr>
      </w:pPr>
      <w:r>
        <w:rPr>
          <w:rFonts w:hint="eastAsia" w:hAnsi="宋体"/>
          <w:color w:val="auto"/>
          <w:highlight w:val="none"/>
        </w:rPr>
        <w:t>5.1.7督促、检查施工单位严格执行工程承包合同和国家工程技术规范、标准，协调招标人和施工单位之间的关系。</w:t>
      </w:r>
    </w:p>
    <w:p w14:paraId="49AFA721">
      <w:pPr>
        <w:wordWrap w:val="0"/>
        <w:adjustRightInd w:val="0"/>
        <w:snapToGrid w:val="0"/>
        <w:spacing w:line="440" w:lineRule="exact"/>
        <w:ind w:firstLine="480" w:firstLineChars="200"/>
        <w:rPr>
          <w:rFonts w:hint="eastAsia" w:hAnsi="宋体"/>
          <w:color w:val="auto"/>
          <w:highlight w:val="none"/>
        </w:rPr>
      </w:pPr>
      <w:r>
        <w:rPr>
          <w:rFonts w:hint="eastAsia" w:hAnsi="宋体"/>
          <w:color w:val="auto"/>
          <w:highlight w:val="none"/>
        </w:rPr>
        <w:t>5.1.8审核施工单位提供的材料、设备、构配件和实际的数量及质量，按照规范和质监站的要求，对相关的材料进行见证取样复验。</w:t>
      </w:r>
    </w:p>
    <w:p w14:paraId="583E1735">
      <w:pPr>
        <w:wordWrap w:val="0"/>
        <w:adjustRightInd w:val="0"/>
        <w:snapToGrid w:val="0"/>
        <w:spacing w:line="440" w:lineRule="exact"/>
        <w:ind w:firstLine="480" w:firstLineChars="200"/>
        <w:rPr>
          <w:rFonts w:hint="eastAsia" w:hAnsi="宋体"/>
          <w:color w:val="auto"/>
          <w:highlight w:val="none"/>
        </w:rPr>
      </w:pPr>
      <w:r>
        <w:rPr>
          <w:rFonts w:hint="eastAsia" w:hAnsi="宋体"/>
          <w:color w:val="auto"/>
          <w:highlight w:val="none"/>
        </w:rPr>
        <w:t>5.1.9根据施工单位提交的施工进度计划协助招标人督促现场施工进度；审核经质量验收合格的工程量，协助招标人进行工程竣工验收工作。</w:t>
      </w:r>
    </w:p>
    <w:p w14:paraId="11E68582">
      <w:pPr>
        <w:wordWrap w:val="0"/>
        <w:adjustRightInd w:val="0"/>
        <w:snapToGrid w:val="0"/>
        <w:spacing w:line="440" w:lineRule="exact"/>
        <w:ind w:firstLine="480" w:firstLineChars="200"/>
        <w:rPr>
          <w:rFonts w:hint="eastAsia" w:hAnsi="宋体"/>
          <w:color w:val="auto"/>
          <w:highlight w:val="none"/>
        </w:rPr>
      </w:pPr>
      <w:r>
        <w:rPr>
          <w:rFonts w:hint="eastAsia" w:hAnsi="宋体"/>
          <w:color w:val="auto"/>
          <w:highlight w:val="none"/>
        </w:rPr>
        <w:t>5.1.10结合工程特点，审批施工单位报送的施工总进度计划；审批施工单位编制季月度施工计划；分阶段协调施工进度计划，及时提出调整意见，督促施工单位实施进度计划，在实际控制中，对实际工期不断检查，发现偏离进度计划及时督促承包方采取措施，做到有效的动态控制。</w:t>
      </w:r>
    </w:p>
    <w:p w14:paraId="7DDE3BA3">
      <w:pPr>
        <w:wordWrap w:val="0"/>
        <w:adjustRightInd w:val="0"/>
        <w:snapToGrid w:val="0"/>
        <w:spacing w:line="440" w:lineRule="exact"/>
        <w:ind w:firstLine="480" w:firstLineChars="200"/>
        <w:rPr>
          <w:rFonts w:hint="eastAsia" w:hAnsi="宋体"/>
          <w:color w:val="auto"/>
          <w:highlight w:val="none"/>
        </w:rPr>
      </w:pPr>
      <w:r>
        <w:rPr>
          <w:rFonts w:hint="eastAsia" w:hAnsi="宋体"/>
          <w:color w:val="auto"/>
          <w:highlight w:val="none"/>
        </w:rPr>
        <w:t>5.1.11督促施工单位严格按现行规范、规程、强制性质量控制标准和设计要求施工、控制工程质量。</w:t>
      </w:r>
    </w:p>
    <w:p w14:paraId="7F954DF9">
      <w:pPr>
        <w:wordWrap w:val="0"/>
        <w:adjustRightInd w:val="0"/>
        <w:snapToGrid w:val="0"/>
        <w:spacing w:line="440" w:lineRule="exact"/>
        <w:ind w:firstLine="480" w:firstLineChars="200"/>
        <w:rPr>
          <w:rFonts w:hint="eastAsia" w:hAnsi="宋体"/>
          <w:color w:val="auto"/>
          <w:highlight w:val="none"/>
        </w:rPr>
      </w:pPr>
      <w:r>
        <w:rPr>
          <w:rFonts w:hint="eastAsia" w:hAnsi="宋体"/>
          <w:color w:val="auto"/>
          <w:highlight w:val="none"/>
        </w:rPr>
        <w:t>5.1.12在实施过程中，监理采取程序报验检查、平行检查、旁站检查、巡视检查、定期与不定期检查等各种手段，按照规范和施工组织设计的要求，克服施工过程中的质量通病。</w:t>
      </w:r>
    </w:p>
    <w:p w14:paraId="237A5C2C">
      <w:pPr>
        <w:wordWrap w:val="0"/>
        <w:adjustRightInd w:val="0"/>
        <w:snapToGrid w:val="0"/>
        <w:spacing w:line="440" w:lineRule="exact"/>
        <w:ind w:firstLine="480" w:firstLineChars="200"/>
        <w:rPr>
          <w:rFonts w:hint="eastAsia" w:hAnsi="宋体"/>
          <w:color w:val="auto"/>
          <w:highlight w:val="none"/>
        </w:rPr>
      </w:pPr>
      <w:r>
        <w:rPr>
          <w:rFonts w:hint="eastAsia" w:hAnsi="宋体"/>
          <w:color w:val="auto"/>
          <w:highlight w:val="none"/>
        </w:rPr>
        <w:t>5.1.13督促、检查施工单位落实施工安全保证措施。</w:t>
      </w:r>
    </w:p>
    <w:p w14:paraId="37DED990">
      <w:pPr>
        <w:wordWrap w:val="0"/>
        <w:adjustRightInd w:val="0"/>
        <w:snapToGrid w:val="0"/>
        <w:spacing w:line="440" w:lineRule="exact"/>
        <w:ind w:firstLine="480" w:firstLineChars="200"/>
        <w:rPr>
          <w:rFonts w:hint="eastAsia" w:hAnsi="宋体"/>
          <w:color w:val="auto"/>
          <w:highlight w:val="none"/>
        </w:rPr>
      </w:pPr>
      <w:r>
        <w:rPr>
          <w:rFonts w:hint="eastAsia" w:hAnsi="宋体"/>
          <w:color w:val="auto"/>
          <w:highlight w:val="none"/>
        </w:rPr>
        <w:t>5.1.14协调参建各方之间的争议和冲突，协调各专业施工单位之间的关系，协调各专业施工作业的交接。</w:t>
      </w:r>
    </w:p>
    <w:p w14:paraId="625DE742">
      <w:pPr>
        <w:wordWrap w:val="0"/>
        <w:adjustRightInd w:val="0"/>
        <w:snapToGrid w:val="0"/>
        <w:spacing w:line="440" w:lineRule="exact"/>
        <w:ind w:firstLine="480" w:firstLineChars="200"/>
        <w:rPr>
          <w:rFonts w:hint="eastAsia" w:hAnsi="宋体"/>
          <w:color w:val="auto"/>
          <w:highlight w:val="none"/>
        </w:rPr>
      </w:pPr>
      <w:r>
        <w:rPr>
          <w:rFonts w:hint="eastAsia" w:hAnsi="宋体"/>
          <w:color w:val="auto"/>
          <w:highlight w:val="none"/>
        </w:rPr>
        <w:t>5.1.15组织分项工程和隐蔽工程的检查、验收，签发工程验收凭证。</w:t>
      </w:r>
    </w:p>
    <w:p w14:paraId="22C2FD43">
      <w:pPr>
        <w:wordWrap w:val="0"/>
        <w:adjustRightInd w:val="0"/>
        <w:snapToGrid w:val="0"/>
        <w:spacing w:line="440" w:lineRule="exact"/>
        <w:ind w:firstLine="480" w:firstLineChars="200"/>
        <w:rPr>
          <w:rFonts w:hint="eastAsia" w:hAnsi="宋体"/>
          <w:color w:val="auto"/>
          <w:highlight w:val="none"/>
        </w:rPr>
      </w:pPr>
      <w:r>
        <w:rPr>
          <w:rFonts w:hint="eastAsia" w:hAnsi="宋体"/>
          <w:color w:val="auto"/>
          <w:highlight w:val="none"/>
        </w:rPr>
        <w:t>5.1.16督促承建商整理合同文件和技术档案资料。</w:t>
      </w:r>
    </w:p>
    <w:p w14:paraId="15A13B6C">
      <w:pPr>
        <w:wordWrap w:val="0"/>
        <w:adjustRightInd w:val="0"/>
        <w:snapToGrid w:val="0"/>
        <w:spacing w:line="440" w:lineRule="exact"/>
        <w:ind w:firstLine="480" w:firstLineChars="200"/>
        <w:rPr>
          <w:rFonts w:hint="eastAsia" w:hAnsi="宋体"/>
          <w:color w:val="auto"/>
          <w:highlight w:val="none"/>
        </w:rPr>
      </w:pPr>
      <w:r>
        <w:rPr>
          <w:rFonts w:hint="eastAsia" w:hAnsi="宋体"/>
          <w:color w:val="auto"/>
          <w:highlight w:val="none"/>
        </w:rPr>
        <w:t>5.1.17组织招标人、施工单位、设计单位进行竣工预验收。</w:t>
      </w:r>
    </w:p>
    <w:p w14:paraId="72FF6359">
      <w:pPr>
        <w:wordWrap w:val="0"/>
        <w:adjustRightInd w:val="0"/>
        <w:snapToGrid w:val="0"/>
        <w:spacing w:line="440" w:lineRule="exact"/>
        <w:ind w:firstLine="480" w:firstLineChars="200"/>
        <w:rPr>
          <w:rFonts w:hint="eastAsia" w:hAnsi="宋体"/>
          <w:color w:val="auto"/>
          <w:highlight w:val="none"/>
        </w:rPr>
      </w:pPr>
      <w:r>
        <w:rPr>
          <w:rFonts w:hint="eastAsia" w:hAnsi="宋体"/>
          <w:color w:val="auto"/>
          <w:highlight w:val="none"/>
        </w:rPr>
        <w:t>5.1.18提出工程质量评估报告。</w:t>
      </w:r>
    </w:p>
    <w:p w14:paraId="7DA4C858">
      <w:pPr>
        <w:wordWrap w:val="0"/>
        <w:adjustRightInd w:val="0"/>
        <w:snapToGrid w:val="0"/>
        <w:spacing w:line="440" w:lineRule="exact"/>
        <w:ind w:firstLine="480" w:firstLineChars="200"/>
        <w:rPr>
          <w:rFonts w:hint="eastAsia" w:hAnsi="宋体"/>
          <w:color w:val="auto"/>
          <w:highlight w:val="none"/>
        </w:rPr>
      </w:pPr>
      <w:r>
        <w:rPr>
          <w:rFonts w:hint="eastAsia" w:hAnsi="宋体"/>
          <w:color w:val="auto"/>
          <w:highlight w:val="none"/>
        </w:rPr>
        <w:t>5.1.19检查工程状况，如发生质量事故，则参与事故的分析和处理，并鉴定质量责任。</w:t>
      </w:r>
    </w:p>
    <w:p w14:paraId="10F7523C">
      <w:pPr>
        <w:wordWrap w:val="0"/>
        <w:adjustRightInd w:val="0"/>
        <w:snapToGrid w:val="0"/>
        <w:spacing w:line="440" w:lineRule="exact"/>
        <w:ind w:firstLine="480" w:firstLineChars="200"/>
        <w:rPr>
          <w:rFonts w:hint="eastAsia" w:hAnsi="宋体"/>
          <w:color w:val="auto"/>
          <w:highlight w:val="none"/>
        </w:rPr>
      </w:pPr>
      <w:r>
        <w:rPr>
          <w:rFonts w:hint="eastAsia" w:hAnsi="宋体"/>
          <w:color w:val="auto"/>
          <w:highlight w:val="none"/>
        </w:rPr>
        <w:t>5.1.20督促施工单位在工程竣工验收后，整理工程交工资料和竣工图纸。</w:t>
      </w:r>
    </w:p>
    <w:p w14:paraId="78AB5C68">
      <w:pPr>
        <w:wordWrap w:val="0"/>
        <w:adjustRightInd w:val="0"/>
        <w:snapToGrid w:val="0"/>
        <w:spacing w:line="440" w:lineRule="exact"/>
        <w:ind w:firstLine="480" w:firstLineChars="200"/>
        <w:rPr>
          <w:rFonts w:hint="eastAsia" w:hAnsi="宋体"/>
          <w:color w:val="auto"/>
          <w:highlight w:val="none"/>
        </w:rPr>
      </w:pPr>
      <w:r>
        <w:rPr>
          <w:rFonts w:hint="eastAsia" w:hAnsi="宋体"/>
          <w:color w:val="auto"/>
          <w:highlight w:val="none"/>
        </w:rPr>
        <w:t>5.1.21督促完善签署工程保修协议，督促施工单位回访。</w:t>
      </w:r>
    </w:p>
    <w:p w14:paraId="18195740">
      <w:pPr>
        <w:wordWrap w:val="0"/>
        <w:adjustRightInd w:val="0"/>
        <w:snapToGrid w:val="0"/>
        <w:spacing w:line="440" w:lineRule="exact"/>
        <w:ind w:firstLine="480" w:firstLineChars="200"/>
        <w:rPr>
          <w:rFonts w:hint="eastAsia" w:hAnsi="宋体"/>
          <w:color w:val="auto"/>
          <w:highlight w:val="none"/>
        </w:rPr>
      </w:pPr>
      <w:r>
        <w:rPr>
          <w:rFonts w:hint="eastAsia" w:hAnsi="宋体"/>
          <w:color w:val="auto"/>
          <w:highlight w:val="none"/>
        </w:rPr>
        <w:t>5.1.22督促施工单位及时完成未完工程尾项，协助招标人督促施工单位按照国家有关规定和保修协议开展维修工作，维修工程出现的缺陷，保证维修工作顺利进行。</w:t>
      </w:r>
    </w:p>
    <w:p w14:paraId="0EDDE03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olor w:val="auto"/>
          <w:highlight w:val="none"/>
        </w:rPr>
        <w:t>5.1.23保修期间如出现工程质量问题，接招标人通知后参与调查、分析，确定发生工程质量问题的原因责任，共同研究修补措施，并负责监督责任单位修补工作。</w:t>
      </w:r>
    </w:p>
    <w:p w14:paraId="295521EB">
      <w:pPr>
        <w:pStyle w:val="3"/>
        <w:wordWrap w:val="0"/>
        <w:autoSpaceDE/>
        <w:autoSpaceDN/>
        <w:snapToGrid w:val="0"/>
        <w:spacing w:line="440" w:lineRule="exact"/>
        <w:ind w:firstLine="480"/>
        <w:jc w:val="both"/>
        <w:outlineLvl w:val="1"/>
        <w:rPr>
          <w:rFonts w:hint="eastAsia" w:ascii="Times New Roman"/>
          <w:b/>
          <w:snapToGrid w:val="0"/>
          <w:color w:val="auto"/>
          <w:szCs w:val="22"/>
          <w:highlight w:val="none"/>
        </w:rPr>
      </w:pPr>
      <w:bookmarkStart w:id="227" w:name="_Toc11091"/>
      <w:bookmarkStart w:id="228" w:name="_Toc12317"/>
      <w:bookmarkStart w:id="229" w:name="_Toc878"/>
      <w:bookmarkStart w:id="230" w:name="_Toc5107"/>
      <w:bookmarkStart w:id="231" w:name="_Toc8398"/>
      <w:bookmarkStart w:id="232" w:name="_Toc16162"/>
      <w:bookmarkStart w:id="233" w:name="_Toc163"/>
      <w:r>
        <w:rPr>
          <w:rFonts w:hint="eastAsia" w:hAnsi="宋体" w:cs="宋体"/>
          <w:b/>
          <w:bCs/>
          <w:snapToGrid w:val="0"/>
          <w:color w:val="auto"/>
          <w:kern w:val="0"/>
          <w:szCs w:val="24"/>
          <w:highlight w:val="none"/>
        </w:rPr>
        <w:t>6．</w:t>
      </w:r>
      <w:bookmarkEnd w:id="227"/>
      <w:bookmarkEnd w:id="228"/>
      <w:bookmarkEnd w:id="229"/>
      <w:bookmarkEnd w:id="230"/>
      <w:bookmarkEnd w:id="231"/>
      <w:r>
        <w:rPr>
          <w:rFonts w:hint="eastAsia" w:ascii="Times New Roman"/>
          <w:b/>
          <w:snapToGrid w:val="0"/>
          <w:color w:val="auto"/>
          <w:szCs w:val="22"/>
          <w:highlight w:val="none"/>
        </w:rPr>
        <w:t>监理人违约及违约责任</w:t>
      </w:r>
      <w:bookmarkEnd w:id="232"/>
      <w:bookmarkEnd w:id="233"/>
    </w:p>
    <w:p w14:paraId="2FAB8060">
      <w:pPr>
        <w:pStyle w:val="132"/>
        <w:spacing w:line="460" w:lineRule="exact"/>
        <w:ind w:firstLine="480" w:firstLineChars="200"/>
        <w:rPr>
          <w:rFonts w:hint="eastAsia" w:hAnsi="宋体"/>
          <w:color w:val="auto"/>
          <w:sz w:val="24"/>
          <w:highlight w:val="none"/>
        </w:rPr>
      </w:pPr>
      <w:r>
        <w:rPr>
          <w:rFonts w:hint="eastAsia" w:hAnsi="宋体"/>
          <w:color w:val="auto"/>
          <w:sz w:val="24"/>
          <w:highlight w:val="none"/>
        </w:rPr>
        <w:t xml:space="preserve">通常情况下，监理人不能按合同履行其义务和职责，因工作过失或渎职而造成了工程的经济和工期损失，为监理人违约，监理人应当向委托人赔偿经济损失，并承担相关的行政、法律责任。在本监理合同中，双方约定将监理人违约范围适当扩大，增加两种视为监理人违约的情况，一是监理人未按约定履行其义务工作时，即使未造成损失，视为监理人违约；二是监理目标未能达标，无论主要原因是什么，视为监理人违约。所有的违约金在当期的监理服务费扣除。本附件将监理人违约分为监理不良行为、监理过失、监理渎职及监理不达标四大情形造成的违约，这四种违约情形及违约责任的承担作如下规定： </w:t>
      </w:r>
    </w:p>
    <w:p w14:paraId="40D5E07B">
      <w:pPr>
        <w:pStyle w:val="65"/>
        <w:spacing w:line="460" w:lineRule="exact"/>
        <w:ind w:firstLine="482" w:firstLineChars="200"/>
        <w:rPr>
          <w:rFonts w:hint="eastAsia" w:hAnsi="宋体"/>
          <w:b/>
          <w:bCs/>
          <w:color w:val="auto"/>
          <w:sz w:val="24"/>
          <w:highlight w:val="none"/>
        </w:rPr>
      </w:pPr>
      <w:r>
        <w:rPr>
          <w:rFonts w:hint="eastAsia" w:hAnsi="宋体"/>
          <w:b/>
          <w:bCs/>
          <w:color w:val="auto"/>
          <w:sz w:val="24"/>
          <w:highlight w:val="none"/>
        </w:rPr>
        <w:t>6.1监理不良行为违约</w:t>
      </w:r>
    </w:p>
    <w:p w14:paraId="26EE7AB6">
      <w:pPr>
        <w:pStyle w:val="65"/>
        <w:spacing w:line="460" w:lineRule="exact"/>
        <w:rPr>
          <w:rFonts w:hint="eastAsia" w:hAnsi="宋体"/>
          <w:color w:val="auto"/>
          <w:sz w:val="24"/>
          <w:highlight w:val="none"/>
        </w:rPr>
      </w:pPr>
      <w:r>
        <w:rPr>
          <w:rFonts w:hint="eastAsia" w:hAnsi="宋体"/>
          <w:color w:val="auto"/>
          <w:sz w:val="24"/>
          <w:highlight w:val="none"/>
        </w:rPr>
        <w:t xml:space="preserve">    6.1.1监理不良行为违约的认定</w:t>
      </w:r>
    </w:p>
    <w:p w14:paraId="64B2C5C7">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监理人员一切不按相关法规规定和要求履行义务工作的行为均可视为监理不良行为。监理不良行为特征主要体现是：1、项目监理架构未按相关法规及投标文件承诺规定组建，监理人员未完全到位和未按规定在岗的情形；2、相关法律、法规、地方规范性文件、监理规范、本项目相关合同文件规定及委托人指明的监理人的义务工作，监理人却未能执行或执行不及时；3、委托人指出或发现监理人在实施监理行为过程中明显的签证错误、审批错误及指令错误。</w:t>
      </w:r>
    </w:p>
    <w:p w14:paraId="47D58650">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监理人的不良行为一旦被发现，由委托人管理人员在“监理行为记录档案”作记录，无论是否造成损失，即构成监理人违约。若该行为已造成实际损失，按本附件界定的监理过失违约规定处理。</w:t>
      </w:r>
    </w:p>
    <w:p w14:paraId="75D8593E">
      <w:pPr>
        <w:pStyle w:val="65"/>
        <w:spacing w:line="460" w:lineRule="exact"/>
        <w:ind w:firstLine="482" w:firstLineChars="200"/>
        <w:rPr>
          <w:rFonts w:hint="eastAsia" w:hAnsi="宋体"/>
          <w:b/>
          <w:color w:val="auto"/>
          <w:sz w:val="24"/>
          <w:highlight w:val="none"/>
        </w:rPr>
      </w:pPr>
      <w:r>
        <w:rPr>
          <w:rFonts w:hint="eastAsia" w:hAnsi="宋体"/>
          <w:b/>
          <w:color w:val="auto"/>
          <w:sz w:val="24"/>
          <w:highlight w:val="none"/>
        </w:rPr>
        <w:t>所有监理不良行为违约发生的违约金均从监理人进度款中扣除，监理服务费结算以扣除违约金总数后的金额为准。</w:t>
      </w:r>
    </w:p>
    <w:p w14:paraId="66B1E3D3">
      <w:pPr>
        <w:pStyle w:val="65"/>
        <w:spacing w:line="460" w:lineRule="exact"/>
        <w:rPr>
          <w:rFonts w:hint="eastAsia" w:hAnsi="宋体"/>
          <w:color w:val="auto"/>
          <w:sz w:val="24"/>
          <w:highlight w:val="none"/>
        </w:rPr>
      </w:pPr>
      <w:r>
        <w:rPr>
          <w:rFonts w:hint="eastAsia" w:hAnsi="宋体"/>
          <w:color w:val="auto"/>
          <w:sz w:val="24"/>
          <w:highlight w:val="none"/>
        </w:rPr>
        <w:t xml:space="preserve">    6.1.2 监理不良行为违约的责任承担</w:t>
      </w:r>
    </w:p>
    <w:p w14:paraId="570472B2">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监理人发生监理不良行为一次，承担一般违约责任一次，监理人向委托人交纳违约金1000元。</w:t>
      </w:r>
    </w:p>
    <w:p w14:paraId="7FDC0DEF">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6.1.2.1 总监每月驻现场不少于10天，未经招标人书面同意，每少1天，视为监理人发生监理不良行为一次，承担一般违约责任一次，监理人向委托人交纳违约金1000元。</w:t>
      </w:r>
    </w:p>
    <w:p w14:paraId="3509ED2A">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6.1.2.2  总监或总监代表如果无故缺席例会或招标人组织的会议，每次交纳违约金2000元。</w:t>
      </w:r>
    </w:p>
    <w:p w14:paraId="4C28DC13">
      <w:pPr>
        <w:pStyle w:val="65"/>
        <w:spacing w:line="460" w:lineRule="exact"/>
        <w:ind w:firstLine="480" w:firstLineChars="200"/>
        <w:rPr>
          <w:rFonts w:hint="eastAsia" w:hAnsi="宋体"/>
          <w:b/>
          <w:bCs/>
          <w:color w:val="auto"/>
          <w:sz w:val="24"/>
          <w:highlight w:val="none"/>
          <w:u w:val="single"/>
        </w:rPr>
      </w:pPr>
      <w:r>
        <w:rPr>
          <w:rFonts w:hint="eastAsia" w:hAnsi="宋体"/>
          <w:color w:val="auto"/>
          <w:sz w:val="24"/>
          <w:highlight w:val="none"/>
        </w:rPr>
        <w:t xml:space="preserve">6.1.2.3 </w:t>
      </w:r>
      <w:r>
        <w:rPr>
          <w:rFonts w:hint="eastAsia" w:hAnsi="宋体"/>
          <w:b/>
          <w:bCs/>
          <w:color w:val="auto"/>
          <w:sz w:val="24"/>
          <w:highlight w:val="none"/>
          <w:u w:val="single"/>
        </w:rPr>
        <w:t>其他监理人员必须按配备要求在现场驻场监理，离开项目现场必须经委托人书面同意，如委托人发现监理人员非正常离岗，监理人向委托人每人次交纳违约金1000元。</w:t>
      </w:r>
    </w:p>
    <w:p w14:paraId="40A07E9B">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6.1.2.4 不按规定委派专业人员，不按时、准时参加各项验收和抽查的，不及时签署检查、验收记录的，一次向建设（委托）单位交纳违约金¥1000元/次、项。</w:t>
      </w:r>
    </w:p>
    <w:p w14:paraId="00A919FE">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6.1.2.5 不按规定委派相关人员参加项目竣工验收的，一次向建设（委托）单位交纳违约金¥</w:t>
      </w:r>
      <w:r>
        <w:rPr>
          <w:rFonts w:hint="eastAsia" w:hAnsi="宋体"/>
          <w:color w:val="auto"/>
          <w:sz w:val="24"/>
          <w:highlight w:val="none"/>
          <w:lang w:val="en-US" w:eastAsia="zh-CN"/>
        </w:rPr>
        <w:t>5000</w:t>
      </w:r>
      <w:r>
        <w:rPr>
          <w:rFonts w:hint="eastAsia" w:hAnsi="宋体"/>
          <w:color w:val="auto"/>
          <w:sz w:val="24"/>
          <w:highlight w:val="none"/>
        </w:rPr>
        <w:t>元/项，不签署意见的交纳违约金¥</w:t>
      </w:r>
      <w:r>
        <w:rPr>
          <w:rFonts w:hint="eastAsia" w:hAnsi="宋体"/>
          <w:color w:val="auto"/>
          <w:sz w:val="24"/>
          <w:highlight w:val="none"/>
          <w:lang w:val="en-US" w:eastAsia="zh-CN"/>
        </w:rPr>
        <w:t>5000</w:t>
      </w:r>
      <w:r>
        <w:rPr>
          <w:rFonts w:hint="eastAsia" w:hAnsi="宋体"/>
          <w:color w:val="auto"/>
          <w:sz w:val="24"/>
          <w:highlight w:val="none"/>
        </w:rPr>
        <w:t>元；</w:t>
      </w:r>
    </w:p>
    <w:p w14:paraId="7F533DF8">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6.1.2.6 不按时交纳资料的，交纳违约金¥</w:t>
      </w:r>
      <w:r>
        <w:rPr>
          <w:rFonts w:hint="eastAsia" w:hAnsi="宋体"/>
          <w:color w:val="auto"/>
          <w:sz w:val="24"/>
          <w:highlight w:val="none"/>
          <w:lang w:val="en-US" w:eastAsia="zh-CN"/>
        </w:rPr>
        <w:t>5</w:t>
      </w:r>
      <w:r>
        <w:rPr>
          <w:rFonts w:hint="eastAsia" w:hAnsi="宋体"/>
          <w:color w:val="auto"/>
          <w:sz w:val="24"/>
          <w:highlight w:val="none"/>
        </w:rPr>
        <w:t>万元，造成损失的，承担相应责任；</w:t>
      </w:r>
    </w:p>
    <w:p w14:paraId="779688EC">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6.1.2.7 同一问题未能按时整改，每重复一次监理人向委托人缴纳违约金1000元。</w:t>
      </w:r>
    </w:p>
    <w:p w14:paraId="1B0FB72B">
      <w:pPr>
        <w:pStyle w:val="65"/>
        <w:spacing w:line="460" w:lineRule="exact"/>
        <w:ind w:firstLine="482" w:firstLineChars="200"/>
        <w:rPr>
          <w:rFonts w:hint="eastAsia" w:hAnsi="宋体"/>
          <w:color w:val="auto"/>
          <w:sz w:val="24"/>
          <w:highlight w:val="none"/>
        </w:rPr>
      </w:pPr>
      <w:r>
        <w:rPr>
          <w:rFonts w:hint="eastAsia" w:hAnsi="宋体"/>
          <w:b/>
          <w:bCs/>
          <w:color w:val="auto"/>
          <w:sz w:val="24"/>
          <w:highlight w:val="none"/>
        </w:rPr>
        <w:t>6.2 监理过失事件违约</w:t>
      </w:r>
    </w:p>
    <w:p w14:paraId="32F6D492">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6.2.1 监理过失事件违约的认定</w:t>
      </w:r>
    </w:p>
    <w:p w14:paraId="1A54557B">
      <w:pPr>
        <w:pStyle w:val="65"/>
        <w:spacing w:line="460" w:lineRule="exact"/>
        <w:rPr>
          <w:rFonts w:hint="eastAsia" w:hAnsi="宋体"/>
          <w:color w:val="auto"/>
          <w:sz w:val="24"/>
          <w:highlight w:val="none"/>
        </w:rPr>
      </w:pPr>
      <w:r>
        <w:rPr>
          <w:rFonts w:hint="eastAsia" w:hAnsi="宋体"/>
          <w:color w:val="auto"/>
          <w:sz w:val="24"/>
          <w:highlight w:val="none"/>
        </w:rPr>
        <w:t xml:space="preserve">    工程建设过程中，如发生以下情况：①委托人发现勘察（或设计或施工）中存在问题，而监理单位未发现的；②监理单位发现勘察（或设计或施工）中存在的问题，但未督促勘察（或设计或施工）单位整改或整改不到位的（以监理单位发出的整改通知和勘察（或设计或施工）单位回复及监理复查意见为准）；③监理单位三次及以上发出整改通知勘察（或设计或施工）单位未能给予响应的，但监理单位未能采取果断措施的；以上三种情况一旦委托人向监理单位发出整改通知，即认定为监理人监理过失事件违约，每发出一份整改通知即认定为监理过失事件违约一次。并由委托人管理人员在“监理行为记录档案”作记录。</w:t>
      </w:r>
    </w:p>
    <w:p w14:paraId="57136A0A">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6.2.2 监理过失事件违约的责任承担</w:t>
      </w:r>
    </w:p>
    <w:p w14:paraId="294B43C7">
      <w:pPr>
        <w:pStyle w:val="65"/>
        <w:spacing w:line="460" w:lineRule="exact"/>
        <w:ind w:firstLine="600" w:firstLineChars="250"/>
        <w:rPr>
          <w:rFonts w:hint="eastAsia" w:hAnsi="宋体"/>
          <w:color w:val="auto"/>
          <w:sz w:val="24"/>
          <w:highlight w:val="none"/>
        </w:rPr>
      </w:pPr>
      <w:r>
        <w:rPr>
          <w:rFonts w:hint="eastAsia" w:hAnsi="宋体"/>
          <w:color w:val="auto"/>
          <w:sz w:val="24"/>
          <w:highlight w:val="none"/>
        </w:rPr>
        <w:t>6.2.2.1 监理人发生监理过失事件违约一次，承担严重违约责任一次，监理人向委托人交纳违约金</w:t>
      </w:r>
      <w:r>
        <w:rPr>
          <w:rFonts w:hint="eastAsia" w:hAnsi="宋体"/>
          <w:color w:val="auto"/>
          <w:sz w:val="24"/>
          <w:highlight w:val="none"/>
          <w:lang w:val="en-US" w:eastAsia="zh-CN"/>
        </w:rPr>
        <w:t>5</w:t>
      </w:r>
      <w:r>
        <w:rPr>
          <w:rFonts w:hint="eastAsia" w:hAnsi="宋体"/>
          <w:color w:val="auto"/>
          <w:sz w:val="24"/>
          <w:highlight w:val="none"/>
        </w:rPr>
        <w:t>000元。</w:t>
      </w:r>
    </w:p>
    <w:p w14:paraId="0E4E3FC4">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 xml:space="preserve">6.2.2.2 如因监理人的原因而造成的经济损失，按如下规定向委托人赔偿： </w:t>
      </w:r>
    </w:p>
    <w:p w14:paraId="499CCC9B">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1）根据损失额（或工程变更引起增加额）与本工程签订的施工合同金额的比例，按相应比例双倍扣减监理酬金；若增加工程投资比例超过施工合同金额的20%时，委托人有权单方解除合同，并要求监理人赔偿委托人由此遭受的实际损失中的50%，累计不超过监理服务费的70%。且不低于《关于加强县本级政府投资项目管理的通知》（始府办〔2021〕10号）规定的标准：：①因承包人责任引起变更造成投资规模增加10%以上的，由发包人扣减其20%委托费用；②因承包人责任引起变更造成投资规模增加15%以上的，由发包人扣减其30%委托费用；③因承包人责任引起变更造成投资规模增加20%以上的，由发包人扣减其40%委托费用。</w:t>
      </w:r>
    </w:p>
    <w:p w14:paraId="15E547A5">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2）因监理人责任导致工期延误，其中分项工期延误日数占该项总工期的30%时，则委托人有权扣除该分项工程监理酬金的60%；分项工期延误日数达到该项总工期的50%时，则委托人有权单方解除合同。因监理人责任导致工程竣工拖延的，依据拖延的日数，监理人应每日按监理酬金总额的1%向委托人支付违约金。由于监理人责任导致工期延误，致使委托人要承担赔偿第三方责任的，监理人必须承担赔偿委托人由此遭受的实际损失中的50%。</w:t>
      </w:r>
    </w:p>
    <w:p w14:paraId="34467435">
      <w:pPr>
        <w:pStyle w:val="65"/>
        <w:spacing w:line="460" w:lineRule="exact"/>
        <w:ind w:firstLine="600" w:firstLineChars="250"/>
        <w:rPr>
          <w:rFonts w:hint="eastAsia" w:hAnsi="宋体"/>
          <w:color w:val="auto"/>
          <w:sz w:val="24"/>
          <w:highlight w:val="none"/>
        </w:rPr>
      </w:pPr>
      <w:r>
        <w:rPr>
          <w:rFonts w:hint="eastAsia" w:hAnsi="宋体"/>
          <w:color w:val="auto"/>
          <w:sz w:val="24"/>
          <w:highlight w:val="none"/>
        </w:rPr>
        <w:t>6.2.2.3 监理人发生监理过失违约后，当委托人认为监理人无正当理由而又未履行监理义务时，有权部分解除合同或完全解除合同。</w:t>
      </w:r>
    </w:p>
    <w:p w14:paraId="0316EAAD">
      <w:pPr>
        <w:pStyle w:val="65"/>
        <w:spacing w:line="460" w:lineRule="exact"/>
        <w:rPr>
          <w:rFonts w:hint="eastAsia" w:hAnsi="宋体"/>
          <w:b/>
          <w:bCs/>
          <w:color w:val="auto"/>
          <w:sz w:val="24"/>
          <w:highlight w:val="none"/>
        </w:rPr>
      </w:pPr>
      <w:r>
        <w:rPr>
          <w:rFonts w:hint="eastAsia" w:hAnsi="宋体"/>
          <w:color w:val="auto"/>
          <w:sz w:val="24"/>
          <w:highlight w:val="none"/>
        </w:rPr>
        <w:t xml:space="preserve">    </w:t>
      </w:r>
      <w:r>
        <w:rPr>
          <w:rFonts w:hint="eastAsia" w:hAnsi="宋体"/>
          <w:b/>
          <w:bCs/>
          <w:color w:val="auto"/>
          <w:sz w:val="24"/>
          <w:highlight w:val="none"/>
        </w:rPr>
        <w:t>6.3 监理渎职事件违约</w:t>
      </w:r>
    </w:p>
    <w:p w14:paraId="141FA06B">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6.3.1 监理渎职事件违约的认定</w:t>
      </w:r>
    </w:p>
    <w:p w14:paraId="717DA5B5">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监理人员不按监理合同履行职责，滥用监理职权，或与其他人故意串通，行为恶劣造成严重社会影响的，无论是否造成损失，一经发现并认定为监理渎职违约，并由委托人管理人员在“监理行为记录档案”作记录。</w:t>
      </w:r>
    </w:p>
    <w:p w14:paraId="667AA1D3">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 xml:space="preserve"> 6.3.2监理渎职事件违约的责任承担</w:t>
      </w:r>
    </w:p>
    <w:p w14:paraId="56249DD1">
      <w:pPr>
        <w:pStyle w:val="65"/>
        <w:spacing w:line="460" w:lineRule="exact"/>
        <w:ind w:firstLine="600" w:firstLineChars="250"/>
        <w:rPr>
          <w:rFonts w:hint="eastAsia" w:hAnsi="宋体"/>
          <w:color w:val="auto"/>
          <w:sz w:val="24"/>
          <w:highlight w:val="none"/>
        </w:rPr>
      </w:pPr>
      <w:r>
        <w:rPr>
          <w:rFonts w:hint="eastAsia" w:hAnsi="宋体"/>
          <w:color w:val="auto"/>
          <w:sz w:val="24"/>
          <w:highlight w:val="none"/>
        </w:rPr>
        <w:t>6.3.2.1 监理人发生监理渎职违约一次，承担非常严重违约责任一次，扣除监理人违约金5000元。</w:t>
      </w:r>
    </w:p>
    <w:p w14:paraId="6BA85A70">
      <w:pPr>
        <w:pStyle w:val="65"/>
        <w:spacing w:line="460" w:lineRule="exact"/>
        <w:ind w:firstLine="600" w:firstLineChars="250"/>
        <w:rPr>
          <w:rFonts w:hint="eastAsia" w:hAnsi="宋体"/>
          <w:color w:val="auto"/>
          <w:sz w:val="24"/>
          <w:highlight w:val="none"/>
        </w:rPr>
      </w:pPr>
      <w:r>
        <w:rPr>
          <w:rFonts w:hint="eastAsia" w:hAnsi="宋体"/>
          <w:color w:val="auto"/>
          <w:sz w:val="24"/>
          <w:highlight w:val="none"/>
        </w:rPr>
        <w:t>6.3.2.2 委托人勒令监理人更换监理人员，直至解除合同（合同解除办法同上）。</w:t>
      </w:r>
    </w:p>
    <w:p w14:paraId="134A9175">
      <w:pPr>
        <w:pStyle w:val="65"/>
        <w:spacing w:line="460" w:lineRule="exact"/>
        <w:ind w:firstLine="600" w:firstLineChars="250"/>
        <w:rPr>
          <w:rFonts w:hint="eastAsia" w:hAnsi="宋体"/>
          <w:color w:val="auto"/>
          <w:sz w:val="24"/>
          <w:highlight w:val="none"/>
        </w:rPr>
      </w:pPr>
      <w:r>
        <w:rPr>
          <w:rFonts w:hint="eastAsia" w:hAnsi="宋体"/>
          <w:color w:val="auto"/>
          <w:sz w:val="24"/>
          <w:highlight w:val="none"/>
        </w:rPr>
        <w:t>6.3.2.3 如监理人的原因造成委托人或工程损失的，监理人承担全部赔偿责任。</w:t>
      </w:r>
    </w:p>
    <w:p w14:paraId="318F3568">
      <w:pPr>
        <w:pStyle w:val="65"/>
        <w:spacing w:line="460" w:lineRule="exact"/>
        <w:ind w:firstLine="600" w:firstLineChars="250"/>
        <w:rPr>
          <w:rFonts w:hint="eastAsia" w:hAnsi="宋体"/>
          <w:color w:val="auto"/>
          <w:sz w:val="24"/>
          <w:highlight w:val="none"/>
        </w:rPr>
      </w:pPr>
      <w:r>
        <w:rPr>
          <w:rFonts w:hint="eastAsia" w:hAnsi="宋体"/>
          <w:color w:val="auto"/>
          <w:sz w:val="24"/>
          <w:highlight w:val="none"/>
        </w:rPr>
        <w:t>6.3.2.4 监理人必须加强对监理人员职业操守、廉政建设的培训和教育，本项目监理人员利用职业身份“吃、拿、卡、要”或有其他违反职业操守及廉政建设相关规定的，一经查实，监理人应立即清退该监理人员，并承担1次非常严重违约责任，扣除监理人违约金¥10000元。如监理人违背了以下7款的任何情况，视为非常严重的违约，直接解除合同，不做费用补偿，且对已完成的监理服务，不再支付监理费用，并通报建设行政主管部门：</w:t>
      </w:r>
    </w:p>
    <w:p w14:paraId="677CAEB7">
      <w:pPr>
        <w:pStyle w:val="65"/>
        <w:spacing w:line="460" w:lineRule="exact"/>
        <w:ind w:firstLine="600" w:firstLineChars="250"/>
        <w:rPr>
          <w:rFonts w:hint="eastAsia" w:hAnsi="宋体"/>
          <w:color w:val="auto"/>
          <w:sz w:val="24"/>
          <w:highlight w:val="none"/>
        </w:rPr>
      </w:pPr>
      <w:r>
        <w:rPr>
          <w:rFonts w:hint="eastAsia" w:hAnsi="宋体"/>
          <w:color w:val="auto"/>
          <w:sz w:val="24"/>
          <w:highlight w:val="none"/>
        </w:rPr>
        <w:t>1）禁止向委托人及承包人推销材料、设备，或以倾向性、排他性变相推销；</w:t>
      </w:r>
    </w:p>
    <w:p w14:paraId="7330B46C">
      <w:pPr>
        <w:pStyle w:val="65"/>
        <w:spacing w:line="460" w:lineRule="exact"/>
        <w:ind w:firstLine="600" w:firstLineChars="250"/>
        <w:rPr>
          <w:rFonts w:hint="eastAsia" w:hAnsi="宋体"/>
          <w:color w:val="auto"/>
          <w:sz w:val="24"/>
          <w:highlight w:val="none"/>
        </w:rPr>
      </w:pPr>
      <w:r>
        <w:rPr>
          <w:rFonts w:hint="eastAsia" w:hAnsi="宋体"/>
          <w:color w:val="auto"/>
          <w:sz w:val="24"/>
          <w:highlight w:val="none"/>
        </w:rPr>
        <w:t>2）禁止与承包人串通，对不合格材料、产品、工程进行包庇及验收；</w:t>
      </w:r>
    </w:p>
    <w:p w14:paraId="478DF63A">
      <w:pPr>
        <w:pStyle w:val="65"/>
        <w:spacing w:line="460" w:lineRule="exact"/>
        <w:ind w:firstLine="600" w:firstLineChars="250"/>
        <w:rPr>
          <w:rFonts w:hint="eastAsia" w:hAnsi="宋体"/>
          <w:color w:val="auto"/>
          <w:sz w:val="24"/>
          <w:highlight w:val="none"/>
        </w:rPr>
      </w:pPr>
      <w:r>
        <w:rPr>
          <w:rFonts w:hint="eastAsia" w:hAnsi="宋体"/>
          <w:color w:val="auto"/>
          <w:sz w:val="24"/>
          <w:highlight w:val="none"/>
        </w:rPr>
        <w:t>3）禁止与承包人串通，对材料用量、工程量进行虚假签认；</w:t>
      </w:r>
    </w:p>
    <w:p w14:paraId="55CE4397">
      <w:pPr>
        <w:pStyle w:val="65"/>
        <w:spacing w:line="460" w:lineRule="exact"/>
        <w:ind w:firstLine="600" w:firstLineChars="250"/>
        <w:rPr>
          <w:rFonts w:hint="eastAsia" w:hAnsi="宋体"/>
          <w:color w:val="auto"/>
          <w:sz w:val="24"/>
          <w:highlight w:val="none"/>
        </w:rPr>
      </w:pPr>
      <w:r>
        <w:rPr>
          <w:rFonts w:hint="eastAsia" w:hAnsi="宋体"/>
          <w:color w:val="auto"/>
          <w:sz w:val="24"/>
          <w:highlight w:val="none"/>
        </w:rPr>
        <w:t>4）禁止与承包人串通，不合理提高施工难度及增加材料用量，以增大施工费用，获取不正当收益。</w:t>
      </w:r>
    </w:p>
    <w:p w14:paraId="5BE7D934">
      <w:pPr>
        <w:pStyle w:val="65"/>
        <w:spacing w:line="460" w:lineRule="exact"/>
        <w:ind w:firstLine="600" w:firstLineChars="250"/>
        <w:rPr>
          <w:rFonts w:hint="eastAsia" w:hAnsi="宋体"/>
          <w:color w:val="auto"/>
          <w:sz w:val="24"/>
          <w:highlight w:val="none"/>
        </w:rPr>
      </w:pPr>
      <w:r>
        <w:rPr>
          <w:rFonts w:hint="eastAsia" w:hAnsi="宋体"/>
          <w:color w:val="auto"/>
          <w:sz w:val="24"/>
          <w:highlight w:val="none"/>
        </w:rPr>
        <w:t>5）禁止接受承包人的请吃送礼或变相受礼；</w:t>
      </w:r>
    </w:p>
    <w:p w14:paraId="4958A281">
      <w:pPr>
        <w:pStyle w:val="65"/>
        <w:spacing w:line="460" w:lineRule="exact"/>
        <w:ind w:firstLine="600" w:firstLineChars="250"/>
        <w:rPr>
          <w:rFonts w:hint="eastAsia" w:hAnsi="宋体"/>
          <w:color w:val="auto"/>
          <w:sz w:val="24"/>
          <w:highlight w:val="none"/>
        </w:rPr>
      </w:pPr>
      <w:r>
        <w:rPr>
          <w:rFonts w:hint="eastAsia" w:hAnsi="宋体"/>
          <w:color w:val="auto"/>
          <w:sz w:val="24"/>
          <w:highlight w:val="none"/>
        </w:rPr>
        <w:t>6）禁止向承包人介绍分包或推销材料、设备等；</w:t>
      </w:r>
    </w:p>
    <w:p w14:paraId="63E59BA2">
      <w:pPr>
        <w:pStyle w:val="65"/>
        <w:spacing w:line="460" w:lineRule="exact"/>
        <w:ind w:firstLine="600" w:firstLineChars="250"/>
        <w:rPr>
          <w:rFonts w:hint="eastAsia" w:hAnsi="宋体"/>
          <w:color w:val="auto"/>
          <w:sz w:val="24"/>
          <w:highlight w:val="none"/>
        </w:rPr>
      </w:pPr>
      <w:r>
        <w:rPr>
          <w:rFonts w:hint="eastAsia" w:hAnsi="宋体"/>
          <w:color w:val="auto"/>
          <w:sz w:val="24"/>
          <w:highlight w:val="none"/>
        </w:rPr>
        <w:t>7）禁止故意刁难承包人以谋取私利，损害委托人的合法利益。</w:t>
      </w:r>
    </w:p>
    <w:p w14:paraId="22A09CB1">
      <w:pPr>
        <w:pStyle w:val="65"/>
        <w:spacing w:line="460" w:lineRule="exact"/>
        <w:ind w:firstLine="600" w:firstLineChars="250"/>
        <w:rPr>
          <w:rFonts w:hint="eastAsia" w:hAnsi="宋体"/>
          <w:color w:val="auto"/>
          <w:sz w:val="24"/>
          <w:highlight w:val="none"/>
        </w:rPr>
      </w:pPr>
      <w:r>
        <w:rPr>
          <w:rFonts w:hint="eastAsia" w:hAnsi="宋体"/>
          <w:color w:val="auto"/>
          <w:sz w:val="24"/>
          <w:highlight w:val="none"/>
        </w:rPr>
        <w:t>6.3.2.5 如监理人在投标时根据招标文件《综合评分表》“人员配置”作出了增加人员的承诺，而开工后，实际上没有增加，经发包人要求后，在10天内仍未能配齐增加的造价工程师和专业工程师，则视为非常严重的违约，直接解除合同。</w:t>
      </w:r>
    </w:p>
    <w:p w14:paraId="0C33A9D2">
      <w:pPr>
        <w:pStyle w:val="65"/>
        <w:spacing w:line="460" w:lineRule="exact"/>
        <w:ind w:firstLine="482" w:firstLineChars="200"/>
        <w:rPr>
          <w:rFonts w:hint="eastAsia" w:hAnsi="宋体"/>
          <w:b/>
          <w:bCs/>
          <w:color w:val="auto"/>
          <w:sz w:val="24"/>
          <w:highlight w:val="none"/>
        </w:rPr>
      </w:pPr>
      <w:r>
        <w:rPr>
          <w:rFonts w:hint="eastAsia" w:hAnsi="宋体"/>
          <w:b/>
          <w:bCs/>
          <w:color w:val="auto"/>
          <w:sz w:val="24"/>
          <w:highlight w:val="none"/>
        </w:rPr>
        <w:t>6.4 监理不达标造成的违约</w:t>
      </w:r>
    </w:p>
    <w:p w14:paraId="101F443B">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6.4.1 监理不达标违约的认定</w:t>
      </w:r>
    </w:p>
    <w:p w14:paraId="1771CB90">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工程竣工结算后，监理协议书第三项监理目标的任何一项目标的不达标，均视为监理人的监理目标违约。</w:t>
      </w:r>
    </w:p>
    <w:p w14:paraId="6DD59B5C">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6.4.2 监理目标违约的责任承担</w:t>
      </w:r>
    </w:p>
    <w:p w14:paraId="2EA8D557">
      <w:pPr>
        <w:pStyle w:val="65"/>
        <w:spacing w:line="460" w:lineRule="exact"/>
        <w:rPr>
          <w:rFonts w:hint="eastAsia" w:hAnsi="宋体"/>
          <w:color w:val="auto"/>
          <w:sz w:val="24"/>
          <w:highlight w:val="none"/>
        </w:rPr>
      </w:pPr>
      <w:r>
        <w:rPr>
          <w:rFonts w:hint="eastAsia" w:hAnsi="宋体"/>
          <w:color w:val="auto"/>
          <w:sz w:val="24"/>
          <w:highlight w:val="none"/>
        </w:rPr>
        <w:t xml:space="preserve">    6.4.2.1 质量控制不达标：工程竣工验收质量未达到施工合同等级要求的，不管任何原因，结算扣减监理合同价款的3％。</w:t>
      </w:r>
    </w:p>
    <w:p w14:paraId="1EFA036F">
      <w:pPr>
        <w:pStyle w:val="65"/>
        <w:spacing w:line="460" w:lineRule="exact"/>
        <w:ind w:firstLine="480"/>
        <w:rPr>
          <w:rFonts w:hint="eastAsia" w:hAnsi="宋体"/>
          <w:color w:val="auto"/>
          <w:sz w:val="24"/>
          <w:highlight w:val="none"/>
        </w:rPr>
      </w:pPr>
      <w:r>
        <w:rPr>
          <w:rFonts w:hint="eastAsia" w:hAnsi="宋体"/>
          <w:color w:val="auto"/>
          <w:sz w:val="24"/>
          <w:highlight w:val="none"/>
        </w:rPr>
        <w:t>6.4.2.2 投资控制不达标：由监理单位编制投资控制计划和投资控制措施，报建设单位审核，若监理单位未能落实控制措施，出现投资增加，工程建安费结算价突破投资控制值的，每突破1％，结算扣减监理合同价款的1％。</w:t>
      </w:r>
    </w:p>
    <w:p w14:paraId="1B05263D">
      <w:pPr>
        <w:pStyle w:val="65"/>
        <w:spacing w:line="460" w:lineRule="exact"/>
        <w:ind w:firstLine="480"/>
        <w:rPr>
          <w:rFonts w:hint="eastAsia" w:hAnsi="宋体"/>
          <w:color w:val="auto"/>
          <w:sz w:val="24"/>
          <w:highlight w:val="none"/>
        </w:rPr>
      </w:pPr>
      <w:r>
        <w:rPr>
          <w:rFonts w:hint="eastAsia" w:hAnsi="宋体"/>
          <w:color w:val="auto"/>
          <w:sz w:val="24"/>
          <w:highlight w:val="none"/>
        </w:rPr>
        <w:t>6.4.2.3 进度控制不达标：工程竣工验收通过日延误的，委托人视监理人的责任情况结算扣减监理合同价款的1％－3％。</w:t>
      </w:r>
    </w:p>
    <w:p w14:paraId="47EB0213">
      <w:pPr>
        <w:pStyle w:val="65"/>
        <w:spacing w:line="460" w:lineRule="exact"/>
        <w:rPr>
          <w:rFonts w:hint="eastAsia" w:hAnsi="宋体"/>
          <w:color w:val="auto"/>
          <w:sz w:val="24"/>
          <w:highlight w:val="none"/>
        </w:rPr>
      </w:pPr>
      <w:r>
        <w:rPr>
          <w:rFonts w:hint="eastAsia" w:hAnsi="宋体"/>
          <w:color w:val="auto"/>
          <w:sz w:val="24"/>
          <w:highlight w:val="none"/>
        </w:rPr>
        <w:t xml:space="preserve">    6.4.2.4 安全管理不达标：工程发生一般安全生产事故，或被上级主管部门通报批评、被新闻媒体曝光的，结算扣减监理合同价款的1％；发生较大以上安全质量事故（按国家及合同有关规定界定）的，结算扣减监理合同价款的3％。情节严重的，委托人有权部分或全部解除合同。</w:t>
      </w:r>
    </w:p>
    <w:p w14:paraId="7FAF4CC2">
      <w:pPr>
        <w:pStyle w:val="65"/>
        <w:spacing w:line="460" w:lineRule="exact"/>
        <w:ind w:firstLine="600" w:firstLineChars="250"/>
        <w:rPr>
          <w:rFonts w:hint="eastAsia" w:hAnsi="宋体"/>
          <w:color w:val="auto"/>
          <w:sz w:val="24"/>
          <w:highlight w:val="none"/>
        </w:rPr>
      </w:pPr>
      <w:r>
        <w:rPr>
          <w:rFonts w:hint="eastAsia" w:hAnsi="宋体"/>
          <w:color w:val="auto"/>
          <w:sz w:val="24"/>
          <w:highlight w:val="none"/>
        </w:rPr>
        <w:t>6.4.2.5 监理人应保证每季度进度计量（价）数据的准确性，如发生计量（价）误差＞5%，则视为监理人违约一次，扣除监理人违约金2000/次。</w:t>
      </w:r>
    </w:p>
    <w:p w14:paraId="7BE26912">
      <w:pPr>
        <w:pStyle w:val="65"/>
        <w:spacing w:line="460" w:lineRule="exact"/>
        <w:ind w:firstLine="600" w:firstLineChars="250"/>
        <w:rPr>
          <w:rFonts w:hint="eastAsia" w:hAnsi="宋体"/>
          <w:color w:val="auto"/>
          <w:sz w:val="24"/>
          <w:highlight w:val="none"/>
        </w:rPr>
      </w:pPr>
      <w:r>
        <w:rPr>
          <w:rFonts w:hint="eastAsia" w:hAnsi="宋体"/>
          <w:color w:val="auto"/>
          <w:sz w:val="24"/>
          <w:highlight w:val="none"/>
        </w:rPr>
        <w:t>6.4.2.6 对监理人上述违约处罚，不免除追究当事人和监理人的法律责任和相关赔偿责任。</w:t>
      </w:r>
    </w:p>
    <w:p w14:paraId="5719897F">
      <w:pPr>
        <w:pStyle w:val="65"/>
        <w:spacing w:line="460" w:lineRule="exact"/>
        <w:rPr>
          <w:rFonts w:hint="eastAsia" w:hAnsi="宋体"/>
          <w:color w:val="auto"/>
          <w:sz w:val="24"/>
          <w:highlight w:val="none"/>
        </w:rPr>
      </w:pPr>
      <w:r>
        <w:rPr>
          <w:rFonts w:hint="eastAsia" w:hAnsi="宋体"/>
          <w:color w:val="auto"/>
          <w:sz w:val="24"/>
          <w:highlight w:val="none"/>
        </w:rPr>
        <w:t xml:space="preserve">    </w:t>
      </w:r>
      <w:r>
        <w:rPr>
          <w:rFonts w:hint="eastAsia" w:hAnsi="宋体"/>
          <w:b/>
          <w:bCs/>
          <w:color w:val="auto"/>
          <w:sz w:val="24"/>
          <w:highlight w:val="none"/>
        </w:rPr>
        <w:t>6.5 监理违约的处理程序</w:t>
      </w:r>
    </w:p>
    <w:p w14:paraId="6E748AA5">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6.5.1 由委托人管理人员在“监理行为记录档案”中将监理人的具体违约情况记录，并将记录内容书面告知监理人。</w:t>
      </w:r>
    </w:p>
    <w:p w14:paraId="12C07D29">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6.5.2 委托人不定期将有关监理人的违约情况以记录、通知、会议纪要等书面形式通知监理人，指明其未能履约的内容和委托人要求其承担违约责任的等级。</w:t>
      </w:r>
    </w:p>
    <w:p w14:paraId="2852DF01">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6.5.3 监理人收到书面处理通知后，如有足够证据证明不应由其承担违约责任的，应在收到违约处理决定后3天内以书面形式向委托人提出异议并附上有关证据，委托人在收到监理人的异议后15天内审核完毕且作出书面决定并通知监理人。否则书面通知则作为处理决定。</w:t>
      </w:r>
    </w:p>
    <w:p w14:paraId="3E03E0DD">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6.5.4 委托人将进一步将监理人执行国家强制性规范、标准和履行合同、招投标文件义务的情况（包括但不限于由委托人组织的考核、考评通报、违约责任处理决定等）再报当地建设行政主管部门并在媒体上公开披露。</w:t>
      </w:r>
    </w:p>
    <w:p w14:paraId="7BA36212">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6.5.5 部分解除合同：委托人向监理人发出部分解除合同的通知后，合同部分解除即生效，监理人必须在3日内停止被解除部分的工作，5日内配合委托人完成现场工作和有关资料的移交，所交接资料必须完整。监理人无特殊原因未在规定期限内完成移交和撤出，或交接资料不完整的，委托人有权处理其留在现场的材料、设备和其他物件，处理费用由监理人承担，委托人有权视情况全部解除合同。因监理人拒交或延误交接现场工作和有关资料而引致委托人工期延误及其他方面的损失，委托人有权要求监理人赔偿有关损失。委托人在发出部分解除合同的通知后，委托人即可委托新的监理人承接该部分工程，监理人不得影响或阻碍新的监理人办理进场手续和相关工作。</w:t>
      </w:r>
    </w:p>
    <w:p w14:paraId="51D4C68F">
      <w:pPr>
        <w:pStyle w:val="65"/>
        <w:spacing w:line="460" w:lineRule="exact"/>
        <w:ind w:firstLine="480" w:firstLineChars="200"/>
        <w:rPr>
          <w:rFonts w:hint="eastAsia" w:hAnsi="宋体"/>
          <w:color w:val="auto"/>
          <w:sz w:val="24"/>
          <w:highlight w:val="none"/>
        </w:rPr>
      </w:pPr>
      <w:r>
        <w:rPr>
          <w:rFonts w:hint="eastAsia" w:hAnsi="宋体"/>
          <w:color w:val="auto"/>
          <w:sz w:val="24"/>
          <w:highlight w:val="none"/>
        </w:rPr>
        <w:t>6.5.6 完全解除合同：委托人向监理人发出解除合同的通知后，合同即解除，监理人必须在3日内停止全部工作，5日内配合委托人完成现场工作和有关资料的移交，并于完成交接工作当日内离场。监理人应保证所移交的资料齐全完整，监理人无特殊原因未在规定期限内完成移交和离场或所移交的资料不完整的，委托人有权处理其留在现场的材料、设备和其他物件，处理费用由监理人承担，如果引致委托人工期延误和其他方面的损失，委托人将要求监理人赔偿有关损失。委托人在发出解除合同的通知后，委托人即可委托新的监理人承接该工程，监理人不得影响或阻碍新的监理人办理进场手续和相关工作。</w:t>
      </w:r>
    </w:p>
    <w:p w14:paraId="4BE14420">
      <w:pPr>
        <w:pStyle w:val="3"/>
        <w:wordWrap w:val="0"/>
        <w:autoSpaceDE/>
        <w:autoSpaceDN/>
        <w:snapToGrid w:val="0"/>
        <w:spacing w:line="440" w:lineRule="exact"/>
        <w:ind w:firstLine="480"/>
        <w:jc w:val="both"/>
        <w:outlineLvl w:val="1"/>
        <w:rPr>
          <w:rFonts w:hint="eastAsia" w:ascii="Times New Roman"/>
          <w:b/>
          <w:snapToGrid w:val="0"/>
          <w:color w:val="auto"/>
          <w:szCs w:val="22"/>
          <w:highlight w:val="none"/>
        </w:rPr>
      </w:pPr>
      <w:bookmarkStart w:id="234" w:name="_Toc840"/>
      <w:bookmarkStart w:id="235" w:name="_Toc21519"/>
      <w:bookmarkStart w:id="236" w:name="_Toc22285"/>
      <w:bookmarkStart w:id="237" w:name="_Toc18555"/>
      <w:r>
        <w:rPr>
          <w:rFonts w:hint="eastAsia" w:ascii="Times New Roman"/>
          <w:b/>
          <w:snapToGrid w:val="0"/>
          <w:color w:val="auto"/>
          <w:szCs w:val="22"/>
          <w:highlight w:val="none"/>
        </w:rPr>
        <w:t>7. 工程质量、造价、进度控制及安全生产管理</w:t>
      </w:r>
      <w:bookmarkEnd w:id="234"/>
      <w:bookmarkEnd w:id="235"/>
      <w:bookmarkEnd w:id="236"/>
      <w:bookmarkEnd w:id="237"/>
    </w:p>
    <w:p w14:paraId="052B4400">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 工程质量控制：</w:t>
      </w:r>
    </w:p>
    <w:p w14:paraId="17E18D6A">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7.1.1 工程开工前，项目监理机构应审查施工单位现场的质量管理组织机构、管理制度及专职管理人员和特种作业人员的资格。</w:t>
      </w:r>
    </w:p>
    <w:p w14:paraId="455E7DB5">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7.1.2 总监理工程师应组织专业监理工程师审查施工单位报审的施工方案，符合要求后应予以签认。施工方案审查应包括下列基本内容：</w:t>
      </w:r>
    </w:p>
    <w:p w14:paraId="12AD2596">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（1）编审程序应符合相关规定。</w:t>
      </w:r>
    </w:p>
    <w:p w14:paraId="572728C8">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（2）工程质量保证措施应符合有关标准。</w:t>
      </w:r>
    </w:p>
    <w:p w14:paraId="5FD6D4F6">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7.1.3 施工方案报审表应按相应规范的要求填写。</w:t>
      </w:r>
    </w:p>
    <w:p w14:paraId="76AAFF2C">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7.1.4 专业监理工程师应审查施工单位报送的新材料、新工艺、新技术、新设备的质量认证材料和相关验收标准的适用性，必要时，应要求施工单位组织专题论证，审查合格后报总监理工程师签认。</w:t>
      </w:r>
    </w:p>
    <w:p w14:paraId="3D8D68EE">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7.1.5 专业监理工程师应检查、复核施工单位报送的施工控制测量成果及保护措施，签署意见。专业监理工程师应对施工单位在施工过程中报送的施工测量放线成果进行查验。施工控制测量成果及保护措施的检查、复核，应包括下列内容：</w:t>
      </w:r>
    </w:p>
    <w:p w14:paraId="62243F35">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（1）施工单位测量人员的资格证书及测量设备检定证书。</w:t>
      </w:r>
    </w:p>
    <w:p w14:paraId="753C0AC3">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（2）施工平面控制网、高程控制网和临时水准点的测量成果及控制桩的保护措施。</w:t>
      </w:r>
    </w:p>
    <w:p w14:paraId="796848B1">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7.1.6 施工控制测量成果报验表应按相应规范的要求填写。</w:t>
      </w:r>
    </w:p>
    <w:p w14:paraId="2BC25C29">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7.1.7 专业监理工程师应检查施工单位为工程提供服务的试验室。</w:t>
      </w:r>
    </w:p>
    <w:p w14:paraId="4A8D2A78">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试验室的检查应包括下列内容：</w:t>
      </w:r>
    </w:p>
    <w:p w14:paraId="3F1D6990">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（1）试验室的资质等级及试验范围。</w:t>
      </w:r>
    </w:p>
    <w:p w14:paraId="083C22E5">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（2）法定计量部门对试验设备出具的计量检定证明。</w:t>
      </w:r>
    </w:p>
    <w:p w14:paraId="6188EF96">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（3）试验室管理制度。</w:t>
      </w:r>
    </w:p>
    <w:p w14:paraId="7CDC8ED5">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（4）试验人员资格证书。</w:t>
      </w:r>
    </w:p>
    <w:p w14:paraId="17538966">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7.1.8 施工单位的试验室报审表应按相应规范的要求填写。</w:t>
      </w:r>
    </w:p>
    <w:p w14:paraId="08372CDF">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7.1.9 项目监理机构应审查施工单位报送的用于工程的材料、构配件、设备的质量证明文件，并应按有关规定、建设工程监理合同约定，对用于工程的材料进行见证取样、平行检验。项目监理机构对已进场经检验不合格的工程材料、构配件、设备，应要求施工单位限期将其撤出施工现场。工程材料、构配件、设备报审表应按相应规范的要求填写。</w:t>
      </w:r>
    </w:p>
    <w:p w14:paraId="7181CE04">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7.1.10 专业监理工程师应审查施工单位定期提交影响工程质量的计量设备的检查和检定报告。</w:t>
      </w:r>
    </w:p>
    <w:p w14:paraId="0A2DFDB0">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7.1.11 项目监理机构应根据工程特点和施工单位报送的施工组织设计，确定旁站的关键部位、关键工序，安排监理人员进行旁站，并应及时记录旁站情况。旁站记录应按相应规范的要求填写。</w:t>
      </w:r>
    </w:p>
    <w:p w14:paraId="2B9D76A4">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7.1.12 项目监理机构应安排监理人员对工程施工质量进行巡视。巡视应包括下列主要内容：</w:t>
      </w:r>
    </w:p>
    <w:p w14:paraId="61D012E0">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（1）施工单位是否按工程设计文件、工程建设标准和批准的施工组织设计、(专项)施工方案施工。</w:t>
      </w:r>
    </w:p>
    <w:p w14:paraId="52B66411">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（2）使用的工程材料、构配件和设备是否合格。</w:t>
      </w:r>
    </w:p>
    <w:p w14:paraId="42E8248E">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（3）施工现场管理人员，特别是施工质量管理人员是否到位。</w:t>
      </w:r>
    </w:p>
    <w:p w14:paraId="13E44CD5">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（4）特种作业人员是否持证上岗。</w:t>
      </w:r>
    </w:p>
    <w:p w14:paraId="04FF7ABA">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7.1.13 项目监理机构应根据工程特点、专业要求，以及建设工程监理合同约定，对施工质量进行平行检验。</w:t>
      </w:r>
    </w:p>
    <w:p w14:paraId="5848EDAC">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7.1.14 项目监理机构应对施工单位报验的隐蔽工程、检验批、分项工程和分部工程进行验收，对验收合格的应给予签认；对验收不合格的应拒绝签认，同时应要求施工单位在指定的时间内整改并重新报验。对已同意覆盖的工程隐蔽部位质量有疑问的，或发现施工单位私自覆盖工程隐蔽部位的，项目监理机构应要求施工单位对该隐蔽部位进行钻孔探测、剥离或其他方法进行重新检验。隐蔽工程、检验批、分项工程报验表及分部工程报验表应按相应规范的要求填写。</w:t>
      </w:r>
    </w:p>
    <w:p w14:paraId="50897D6F">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7.1.15 项目监理机构发现施工存在质量问题的，或施工单位采用不适当的施工工艺，或施工不当，造成工程质量不合格的，应及时签发监理通知单，要求施工单位整改。整改完毕后，项目监理机构应根据施工单位报送的监理通知回复单对整改情况进行复查，提出复查意见。监理通知单及监理通知回复单应按相应规范的要求填写。</w:t>
      </w:r>
    </w:p>
    <w:p w14:paraId="3C86B229">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7.1.16 对需要返工处理或加固补强的质量缺陷，项目监理机构应要求施工单位报送经设计等相关单位认可的处理方案，并应对质量缺陷的处理过程进行跟踪检查，同时应对处理结果进行验收。</w:t>
      </w:r>
    </w:p>
    <w:p w14:paraId="474DB2EB">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7.1.17 对需要返工处理或加固补强的质量事故，项目监理机构应要求施工单位报送质量事故调查报告和经设计等相关单位认可的处理方案，并应对质量事故的处理过程进行跟踪检查，同时应对处理结果进行验收。项目监理机构应及时向建设单位提交质量事故书面报告，并应将完整的质量事故处理记录整理归档。</w:t>
      </w:r>
    </w:p>
    <w:p w14:paraId="23CA89A8">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7.1.18 项目监理机构应审查施工单位提交的单位工程竣工验收报审表及竣工资料，组织工程竣工预验收。存在问题的，应要求施工单位及时整改；合格的，总监理工程师应签认单位工程竣工验收报审表。单位工程竣工验收报审表应按相应规范的要求填写。</w:t>
      </w:r>
    </w:p>
    <w:p w14:paraId="745CCB0D">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7.1.19 工程竣工预验收合格后，项目监理机构应编写工程质量评估报告，并应经总监理工程师和工程监理单位技术负责人审核签字后报建设单位。</w:t>
      </w:r>
    </w:p>
    <w:p w14:paraId="7D710A54">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7.1.20 项目监理机构应参加由建设单位组织的竣工验收，对验收中提出的整改问题，应督促施工单位及时整改。工程质量符合要求的，总监理工程师应在工程竣工验收报告中签署意见。</w:t>
      </w:r>
    </w:p>
    <w:p w14:paraId="74C6A597">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7.1.21 保修期满后，项目监理机构应参与保修期满质量复检，对复检中发现的问题提出整改意见并督促施工单位整改；整改合格后，总监理工程师在复检报告中签署意见。</w:t>
      </w:r>
    </w:p>
    <w:p w14:paraId="0A757B4C">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7.1.22 项目监理机构受招标人的委托对工程项目实施进行监督与管理，必须按照国家和广东省的有关施工技术规范及现行标准，保证工程达到合格标准，若因中标人原因，工程在竣工验收或分部工程验收时没有达到此标准，项目监理机构按监理按合同价款的</w:t>
      </w:r>
      <w:r>
        <w:rPr>
          <w:rFonts w:hint="eastAsia" w:ascii="Times New Roman"/>
          <w:snapToGrid w:val="0"/>
          <w:color w:val="auto"/>
          <w:kern w:val="0"/>
          <w:highlight w:val="none"/>
          <w:u w:val="single"/>
        </w:rPr>
        <w:t>3%</w:t>
      </w:r>
      <w:r>
        <w:rPr>
          <w:rFonts w:hint="eastAsia" w:ascii="Times New Roman"/>
          <w:snapToGrid w:val="0"/>
          <w:color w:val="auto"/>
          <w:kern w:val="0"/>
          <w:highlight w:val="none"/>
        </w:rPr>
        <w:t>向招标人返纳质量违约金，并无条件免费监理服务至工程质量达到合格止。</w:t>
      </w:r>
    </w:p>
    <w:p w14:paraId="3BCC4A52">
      <w:pPr>
        <w:wordWrap w:val="0"/>
        <w:adjustRightInd w:val="0"/>
        <w:snapToGrid w:val="0"/>
        <w:spacing w:line="440" w:lineRule="exact"/>
        <w:ind w:firstLine="560"/>
        <w:rPr>
          <w:rFonts w:hint="eastAsia" w:ascii="Times New Roman"/>
          <w:b/>
          <w:bCs/>
          <w:snapToGrid w:val="0"/>
          <w:color w:val="auto"/>
          <w:kern w:val="0"/>
          <w:highlight w:val="none"/>
        </w:rPr>
      </w:pPr>
      <w:r>
        <w:rPr>
          <w:rFonts w:hint="eastAsia" w:ascii="Times New Roman"/>
          <w:b/>
          <w:bCs/>
          <w:snapToGrid w:val="0"/>
          <w:color w:val="auto"/>
          <w:kern w:val="0"/>
          <w:highlight w:val="none"/>
        </w:rPr>
        <w:t>7.2 工程造价控制：</w:t>
      </w:r>
    </w:p>
    <w:p w14:paraId="09D5150C">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7.2.1 项目监理机构应按下列程序进行工程计量和付款签证：</w:t>
      </w:r>
    </w:p>
    <w:p w14:paraId="7BBE9D56">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（1）专业监理工程师对施工单位在工程款支付报审表中提交的工程量和支付金额进行复核，确定实际完成的工程量，提出到期应支付给施工单位的金额，并提出相应的支持性材料。</w:t>
      </w:r>
    </w:p>
    <w:p w14:paraId="5DDC9423">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（2）总监理工程师对专业监理工程师的审查意见进行审核，签认后报建设单位审批。</w:t>
      </w:r>
    </w:p>
    <w:p w14:paraId="10CB1303">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（3）总监理工程师根据建设单位的审批意见，向施工单位签发工程款支付证书。</w:t>
      </w:r>
    </w:p>
    <w:p w14:paraId="398555DB">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工程款支付报审表及工程款支付证书应按相应规范的要求填写。</w:t>
      </w:r>
    </w:p>
    <w:p w14:paraId="4F467416">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7.2.2项目监理机构应编制月完成工程量统计表，对实际完成量与计划完成量进行比较分析，发现偏差的，应提出调整建议，并应在监理月报中向建设单位报告。</w:t>
      </w:r>
    </w:p>
    <w:p w14:paraId="7F9C80F2">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7.2.3 项目监理机构应按下列程序进行竣工结算款审核：</w:t>
      </w:r>
    </w:p>
    <w:p w14:paraId="04400670">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（1）专业监理工程师审查施工单位提交的竣工结算款支付申请，提出审查意见。</w:t>
      </w:r>
    </w:p>
    <w:p w14:paraId="60E9BF7E">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2）总监理工程师对专业监理工程师的审查意见进行审核，签认后报建设单位审批，同时抄送施工单位，并就工程竣工结算事宜与建设单位、施工单位协商；达成一致意见的，根据建设单位审批意见向施工单位签发竣工结算款支付证书；不能达成一致意见的，应按施工合同约定处理。工程竣工结算款支付报审表及竣工结算款支付证书应按相应规范的要求填写。</w:t>
      </w:r>
    </w:p>
    <w:p w14:paraId="2BE3A9FA">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7.2.4项目监理单位应按上述要求和有关规定控制本项目的工程造价，若由于项目监理单位的过失造成工程造价提高，招标人按所提高造价额的50%从监理服务费中扣除，扣除累计不超过监理服务费的70%。且不低于《关于加强县本级政府投资项目管理的通知》（始府办〔2021〕10号）规定的标准：：①因承包人责任引起变更造成投资规模增加10%以上的，由发包人扣减其20%委托费用；②因承包人责任引起变更造成投资规模增加15%以上的，由发包人扣减其30%委托费用；③因承包人责任引起变更造成投资规模增加20%以上的，由发包人扣减其40%委托费用。</w:t>
      </w:r>
    </w:p>
    <w:p w14:paraId="731AD45B">
      <w:pPr>
        <w:wordWrap w:val="0"/>
        <w:adjustRightInd w:val="0"/>
        <w:snapToGrid w:val="0"/>
        <w:spacing w:line="440" w:lineRule="exact"/>
        <w:ind w:firstLine="560"/>
        <w:rPr>
          <w:rFonts w:hint="eastAsia" w:ascii="Times New Roman"/>
          <w:b/>
          <w:bCs/>
          <w:snapToGrid w:val="0"/>
          <w:color w:val="auto"/>
          <w:kern w:val="0"/>
          <w:highlight w:val="none"/>
        </w:rPr>
      </w:pPr>
      <w:r>
        <w:rPr>
          <w:rFonts w:hint="eastAsia" w:ascii="Times New Roman"/>
          <w:b/>
          <w:bCs/>
          <w:snapToGrid w:val="0"/>
          <w:color w:val="auto"/>
          <w:kern w:val="0"/>
          <w:highlight w:val="none"/>
        </w:rPr>
        <w:t>7.3 工程进度控制：</w:t>
      </w:r>
    </w:p>
    <w:p w14:paraId="3E1AF651">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7.3.1 项目监理机构应审查施工单位报审的施工总进度计划和阶段性施工进度计划，提出审查意见，并应由总监理工程师审核后报建设单位。</w:t>
      </w:r>
    </w:p>
    <w:p w14:paraId="2D59DBCA">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施工进度计划审查应包括下列基本内容：</w:t>
      </w:r>
    </w:p>
    <w:p w14:paraId="7E8FAB13">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（1）施工进度计划应符合施工合同中工期的约定。</w:t>
      </w:r>
    </w:p>
    <w:p w14:paraId="00569D99">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（2）施工进度计划中主要工程项目无遗漏，应满足分批投入试运、分批动用的需要，阶段性施工进度计划应满足总进度控制目标的要求。</w:t>
      </w:r>
    </w:p>
    <w:p w14:paraId="3C861E50">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（3）施工顺序的安排应符合施工工艺要求。</w:t>
      </w:r>
    </w:p>
    <w:p w14:paraId="0BC42DFD">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（4）施工人员、工程材料、施工机械等资源供应计划应满足施工进度计划的需要。</w:t>
      </w:r>
    </w:p>
    <w:p w14:paraId="093B1C0A">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（5）施工进度计划应符合建设单位提供的资金、施工图纸、施工场地、物资等施工条件。</w:t>
      </w:r>
    </w:p>
    <w:p w14:paraId="04961962">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施工进度计划报审表应按相应规范的要求填写。</w:t>
      </w:r>
    </w:p>
    <w:p w14:paraId="32ACB633">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7.3.2项目监理机构应检查施工进度计划的实施情况，发现实际进度严重滞后于计划进度且影响合同工期时，应签发监理通知单，要求施工单位采取调整措施加快施工进度。总监理工程师应向建设单位报告工期延误风险。</w:t>
      </w:r>
    </w:p>
    <w:p w14:paraId="36DEF7B3">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7.3.3 项目监理机构应比较分析工程施工实际进度与计划进度，预测实际进度对工程总工期的影响，并应在监理月报中向建设单位报告工程实际进展情况。</w:t>
      </w:r>
    </w:p>
    <w:p w14:paraId="5ABDE768">
      <w:pPr>
        <w:wordWrap w:val="0"/>
        <w:adjustRightInd w:val="0"/>
        <w:snapToGrid w:val="0"/>
        <w:spacing w:line="440" w:lineRule="exact"/>
        <w:ind w:firstLine="560"/>
        <w:rPr>
          <w:rFonts w:hint="eastAsia" w:ascii="Times New Roman"/>
          <w:b/>
          <w:bCs/>
          <w:snapToGrid w:val="0"/>
          <w:color w:val="auto"/>
          <w:kern w:val="0"/>
          <w:highlight w:val="none"/>
        </w:rPr>
      </w:pPr>
      <w:r>
        <w:rPr>
          <w:rFonts w:hint="eastAsia" w:ascii="Times New Roman"/>
          <w:b/>
          <w:bCs/>
          <w:snapToGrid w:val="0"/>
          <w:color w:val="auto"/>
          <w:kern w:val="0"/>
          <w:highlight w:val="none"/>
        </w:rPr>
        <w:t>7.4 工程安全生产管理：</w:t>
      </w:r>
    </w:p>
    <w:p w14:paraId="15D9AE40">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7.4.1 项目监理机构应根据法律法规、工程建设强制性标准，履行建设工程安全生产管理的监理职责，并应将安全生产管理的监理工作内容、方法和措施纳入监理规划及监理实施细则。</w:t>
      </w:r>
    </w:p>
    <w:p w14:paraId="643B3E7D">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7.4.2 项目监理机构应审查施工单位现场安全生产规章制度的建立和实施情况，并应审查施工单位安全生产许可证及施工单位项目经理、专职安全生产管理人员和特种作业人员的资格，同时应核查施工机械和设施的安全许可验收手续。</w:t>
      </w:r>
    </w:p>
    <w:p w14:paraId="49A0F991">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7.4.3 项目监理机构应审查施工单位报审的专项施工方案，符合要求的，应由总监理工程师签认后报建设单位。超过一定规模的危险性较大的分部分项工程的专项施工方案，应检查施工单位组织专家进行论证、审查的情况，以及是否附具安全验算结果。项目监理机构应要求施工单位按已批准的专项施工方案组织施工。专项施工方案需要调整时，施工单位应按程序重新提交项目监理机构审查。</w:t>
      </w:r>
    </w:p>
    <w:p w14:paraId="7F579011">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专项施工方案审查应包括下列基本内容：</w:t>
      </w:r>
    </w:p>
    <w:p w14:paraId="489ED480">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（1）编审程序应符合相关规定。</w:t>
      </w:r>
    </w:p>
    <w:p w14:paraId="202BF900">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（2）安全技术措施应符合工程建设强制性标准。</w:t>
      </w:r>
    </w:p>
    <w:p w14:paraId="15D61359">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专项施工方案报审表应按相应规范的要求填写。</w:t>
      </w:r>
    </w:p>
    <w:p w14:paraId="02665E5A">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7.4.4项目监理机构应巡视检查危险性较大的分部分项工程专项施工方案实施情况。发现未按专项施工方案实施时，应签发监理通知单，要求施工单位按专项施工方案实施。</w:t>
      </w:r>
    </w:p>
    <w:p w14:paraId="149AB135">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7.4.5 项目监理机构在实施监理过程中，发现工程存在安全事故隐患时，应签发监理通知单，要求施工单位整改；情况严重时，应签发工程暂停令，并应及时报告建设单位。施工单位拒不整改或不停止施工时，项目监理机构应及时向有关主管部门报送监理报告。</w:t>
      </w:r>
    </w:p>
    <w:p w14:paraId="3CBF63E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ascii="Times New Roman"/>
          <w:snapToGrid w:val="0"/>
          <w:color w:val="auto"/>
          <w:kern w:val="0"/>
          <w:highlight w:val="none"/>
        </w:rPr>
        <w:t>监理报告应按相应规范的要求填写。</w:t>
      </w:r>
    </w:p>
    <w:p w14:paraId="06BFFCA1">
      <w:pPr>
        <w:pStyle w:val="39"/>
        <w:keepNext w:val="0"/>
        <w:keepLines w:val="0"/>
        <w:pageBreakBefore w:val="0"/>
        <w:kinsoku/>
        <w:overflowPunct/>
        <w:topLinePunct w:val="0"/>
        <w:autoSpaceDE/>
        <w:autoSpaceDN/>
        <w:bidi w:val="0"/>
        <w:spacing w:line="420" w:lineRule="exact"/>
        <w:textAlignment w:val="auto"/>
        <w:rPr>
          <w:rFonts w:ascii="宋体" w:hAnsi="宋体" w:cs="宋体"/>
          <w:snapToGrid w:val="0"/>
          <w:color w:val="auto"/>
          <w:highlight w:val="none"/>
        </w:rPr>
      </w:pPr>
    </w:p>
    <w:p w14:paraId="6D4094DE">
      <w:pPr>
        <w:pStyle w:val="39"/>
        <w:keepNext w:val="0"/>
        <w:keepLines w:val="0"/>
        <w:pageBreakBefore w:val="0"/>
        <w:kinsoku/>
        <w:overflowPunct/>
        <w:topLinePunct w:val="0"/>
        <w:autoSpaceDE/>
        <w:autoSpaceDN/>
        <w:bidi w:val="0"/>
        <w:spacing w:line="420" w:lineRule="exact"/>
        <w:textAlignment w:val="auto"/>
        <w:rPr>
          <w:rFonts w:ascii="宋体" w:hAnsi="宋体" w:cs="宋体"/>
          <w:snapToGrid w:val="0"/>
          <w:color w:val="auto"/>
          <w:highlight w:val="none"/>
        </w:rPr>
      </w:pPr>
    </w:p>
    <w:p w14:paraId="016FEEB7">
      <w:pPr>
        <w:pStyle w:val="39"/>
        <w:keepNext w:val="0"/>
        <w:keepLines w:val="0"/>
        <w:pageBreakBefore w:val="0"/>
        <w:kinsoku/>
        <w:overflowPunct/>
        <w:topLinePunct w:val="0"/>
        <w:autoSpaceDE/>
        <w:autoSpaceDN/>
        <w:bidi w:val="0"/>
        <w:spacing w:line="420" w:lineRule="exact"/>
        <w:textAlignment w:val="auto"/>
        <w:rPr>
          <w:rFonts w:ascii="宋体" w:hAnsi="宋体" w:cs="宋体"/>
          <w:snapToGrid w:val="0"/>
          <w:color w:val="auto"/>
          <w:highlight w:val="none"/>
        </w:rPr>
      </w:pPr>
    </w:p>
    <w:p w14:paraId="6E82C505">
      <w:pPr>
        <w:pStyle w:val="39"/>
        <w:keepNext w:val="0"/>
        <w:keepLines w:val="0"/>
        <w:pageBreakBefore w:val="0"/>
        <w:kinsoku/>
        <w:overflowPunct/>
        <w:topLinePunct w:val="0"/>
        <w:autoSpaceDE/>
        <w:autoSpaceDN/>
        <w:bidi w:val="0"/>
        <w:spacing w:line="420" w:lineRule="exact"/>
        <w:textAlignment w:val="auto"/>
        <w:rPr>
          <w:rFonts w:ascii="宋体" w:hAnsi="宋体" w:cs="宋体"/>
          <w:snapToGrid w:val="0"/>
          <w:color w:val="auto"/>
          <w:highlight w:val="none"/>
        </w:rPr>
      </w:pPr>
    </w:p>
    <w:bookmarkEnd w:id="176"/>
    <w:p w14:paraId="00DFB3FB">
      <w:pPr>
        <w:pStyle w:val="2"/>
        <w:tabs>
          <w:tab w:val="left" w:pos="885"/>
        </w:tabs>
        <w:wordWrap w:val="0"/>
        <w:autoSpaceDE/>
        <w:autoSpaceDN/>
        <w:snapToGrid w:val="0"/>
        <w:spacing w:line="440" w:lineRule="exact"/>
        <w:ind w:left="885" w:hanging="885"/>
        <w:jc w:val="center"/>
        <w:rPr>
          <w:rFonts w:ascii="Times New Roman"/>
          <w:b/>
          <w:snapToGrid w:val="0"/>
          <w:color w:val="auto"/>
          <w:sz w:val="32"/>
          <w:szCs w:val="22"/>
          <w:highlight w:val="none"/>
        </w:rPr>
      </w:pPr>
      <w:bookmarkStart w:id="238" w:name="_Toc3062"/>
      <w:bookmarkStart w:id="239" w:name="_Toc21669"/>
      <w:bookmarkStart w:id="240" w:name="_Toc12650"/>
      <w:bookmarkStart w:id="241" w:name="_Hlt69698796"/>
      <w:r>
        <w:rPr>
          <w:rFonts w:hint="eastAsia" w:ascii="Times New Roman"/>
          <w:b/>
          <w:snapToGrid w:val="0"/>
          <w:color w:val="auto"/>
          <w:sz w:val="32"/>
          <w:szCs w:val="22"/>
          <w:highlight w:val="none"/>
        </w:rPr>
        <w:t>第四章</w:t>
      </w:r>
      <w:bookmarkStart w:id="242" w:name="_Hlt87793853"/>
      <w:bookmarkEnd w:id="242"/>
      <w:r>
        <w:rPr>
          <w:rFonts w:hint="eastAsia" w:ascii="Times New Roman"/>
          <w:b/>
          <w:snapToGrid w:val="0"/>
          <w:color w:val="auto"/>
          <w:sz w:val="32"/>
          <w:szCs w:val="22"/>
          <w:highlight w:val="none"/>
        </w:rPr>
        <w:t xml:space="preserve"> 技术要求</w:t>
      </w:r>
      <w:bookmarkEnd w:id="238"/>
      <w:bookmarkEnd w:id="239"/>
      <w:bookmarkEnd w:id="240"/>
    </w:p>
    <w:bookmarkEnd w:id="241"/>
    <w:p w14:paraId="69F644B1">
      <w:pPr>
        <w:wordWrap w:val="0"/>
        <w:adjustRightInd w:val="0"/>
        <w:snapToGrid w:val="0"/>
        <w:spacing w:line="440" w:lineRule="exact"/>
        <w:rPr>
          <w:rFonts w:hint="eastAsia" w:hAnsi="宋体" w:cs="宋体"/>
          <w:bCs/>
          <w:snapToGrid w:val="0"/>
          <w:color w:val="auto"/>
          <w:kern w:val="0"/>
          <w:highlight w:val="none"/>
        </w:rPr>
      </w:pPr>
      <w:bookmarkStart w:id="243" w:name="_Hlt80411122"/>
      <w:bookmarkEnd w:id="243"/>
      <w:bookmarkStart w:id="244" w:name="_Hlt87793346"/>
      <w:bookmarkEnd w:id="244"/>
      <w:bookmarkStart w:id="245" w:name="_Hlt69116854"/>
      <w:bookmarkEnd w:id="245"/>
      <w:bookmarkStart w:id="246" w:name="_Hlt69265216"/>
      <w:bookmarkEnd w:id="246"/>
      <w:bookmarkStart w:id="247" w:name="_Hlt69358207"/>
      <w:bookmarkEnd w:id="247"/>
      <w:bookmarkStart w:id="248" w:name="_Hlt68774758"/>
      <w:bookmarkEnd w:id="248"/>
      <w:bookmarkStart w:id="249" w:name="_Hlt66104926"/>
      <w:bookmarkEnd w:id="249"/>
      <w:bookmarkStart w:id="250" w:name="_Hlt87793370"/>
      <w:bookmarkEnd w:id="250"/>
      <w:bookmarkStart w:id="251" w:name="_Hlt69359335"/>
      <w:bookmarkEnd w:id="251"/>
      <w:bookmarkStart w:id="252" w:name="_Hlt75685840"/>
      <w:bookmarkEnd w:id="252"/>
      <w:bookmarkStart w:id="253" w:name="_Hlt69357851"/>
      <w:bookmarkEnd w:id="253"/>
      <w:bookmarkStart w:id="254" w:name="_Toc7515"/>
      <w:bookmarkStart w:id="255" w:name="_Toc2392"/>
    </w:p>
    <w:bookmarkEnd w:id="254"/>
    <w:bookmarkEnd w:id="255"/>
    <w:p w14:paraId="1ECFD6A4">
      <w:pPr>
        <w:keepNext w:val="0"/>
        <w:keepLines w:val="0"/>
        <w:pageBreakBefore w:val="0"/>
        <w:kinsoku/>
        <w:wordWrap w:val="0"/>
        <w:overflowPunct/>
        <w:topLinePunct w:val="0"/>
        <w:bidi w:val="0"/>
        <w:adjustRightInd w:val="0"/>
        <w:snapToGrid w:val="0"/>
        <w:spacing w:line="500" w:lineRule="exact"/>
        <w:ind w:firstLine="482" w:firstLineChars="200"/>
        <w:outlineLvl w:val="9"/>
        <w:rPr>
          <w:rFonts w:hint="eastAsia" w:ascii="宋体" w:hAnsi="宋体" w:eastAsia="宋体" w:cs="宋体"/>
          <w:b/>
          <w:snapToGrid w:val="0"/>
          <w:color w:val="auto"/>
          <w:kern w:val="0"/>
          <w:highlight w:val="none"/>
        </w:rPr>
      </w:pPr>
      <w:bookmarkStart w:id="256" w:name="_Hlt69635247"/>
      <w:bookmarkEnd w:id="256"/>
      <w:bookmarkStart w:id="257" w:name="_Hlt69265207"/>
      <w:bookmarkEnd w:id="257"/>
      <w:bookmarkStart w:id="258" w:name="_Hlt69358336"/>
      <w:bookmarkEnd w:id="258"/>
      <w:bookmarkStart w:id="259" w:name="_Hlt69116863"/>
      <w:bookmarkEnd w:id="259"/>
      <w:bookmarkStart w:id="260" w:name="_Hlt66848640"/>
      <w:bookmarkEnd w:id="260"/>
      <w:bookmarkStart w:id="261" w:name="_Hlt69338190"/>
      <w:bookmarkEnd w:id="261"/>
      <w:bookmarkStart w:id="262" w:name="_Toc22126"/>
      <w:bookmarkStart w:id="263" w:name="_Toc25992"/>
      <w:bookmarkStart w:id="264" w:name="_Toc29213"/>
      <w:bookmarkStart w:id="265" w:name="_Toc29899"/>
      <w:bookmarkStart w:id="266" w:name="_Toc16011"/>
      <w:bookmarkStart w:id="267" w:name="_Hlt69698785"/>
      <w:r>
        <w:rPr>
          <w:rFonts w:hint="eastAsia" w:ascii="宋体" w:hAnsi="宋体" w:eastAsia="宋体" w:cs="宋体"/>
          <w:b/>
          <w:snapToGrid w:val="0"/>
          <w:color w:val="auto"/>
          <w:kern w:val="0"/>
          <w:highlight w:val="none"/>
        </w:rPr>
        <w:t>1．房屋建筑工程建设项目</w:t>
      </w:r>
      <w:bookmarkEnd w:id="262"/>
      <w:bookmarkEnd w:id="263"/>
      <w:bookmarkEnd w:id="264"/>
      <w:bookmarkEnd w:id="265"/>
    </w:p>
    <w:p w14:paraId="4B9FF912">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bookmarkStart w:id="268" w:name="_Hlt69359245"/>
      <w:bookmarkEnd w:id="268"/>
      <w:bookmarkStart w:id="269" w:name="_Hlt69358458"/>
      <w:bookmarkEnd w:id="269"/>
      <w:bookmarkStart w:id="270" w:name="_Hlt69359243"/>
      <w:bookmarkEnd w:id="270"/>
      <w:bookmarkStart w:id="271" w:name="_Hlt78709799"/>
      <w:bookmarkEnd w:id="271"/>
      <w:bookmarkStart w:id="272" w:name="_Hlt69359086"/>
      <w:bookmarkEnd w:id="272"/>
      <w:bookmarkStart w:id="273" w:name="_Hlt69635252"/>
      <w:bookmarkEnd w:id="273"/>
      <w:bookmarkStart w:id="274" w:name="_Hlt69116858"/>
      <w:bookmarkEnd w:id="274"/>
      <w:r>
        <w:rPr>
          <w:rFonts w:hint="eastAsia" w:ascii="宋体" w:hAnsi="宋体" w:eastAsia="宋体" w:cs="宋体"/>
          <w:b w:val="0"/>
          <w:bCs/>
          <w:caps w:val="0"/>
          <w:smallCaps w:val="0"/>
          <w:snapToGrid w:val="0"/>
          <w:color w:val="auto"/>
          <w:spacing w:val="0"/>
          <w:kern w:val="0"/>
          <w:highlight w:val="none"/>
          <w:lang w:eastAsia="zh-CN"/>
        </w:rPr>
        <w:t>房屋建筑工程建设项目必须执行的现行技术规范，包括且不限于：</w:t>
      </w:r>
    </w:p>
    <w:p w14:paraId="6EFD45B4">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1</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《建筑工程施工质量验收统一标准》；</w:t>
      </w:r>
    </w:p>
    <w:p w14:paraId="2AFE1AB6">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2</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《建筑地基基础工程施工质量验收规范》；</w:t>
      </w:r>
    </w:p>
    <w:p w14:paraId="2382E13A">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3</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《砌体工程施工质量验收规范》；</w:t>
      </w:r>
    </w:p>
    <w:p w14:paraId="2A76B625">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4</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《混凝土结构工程施工质量验收规范》；</w:t>
      </w:r>
    </w:p>
    <w:p w14:paraId="5ED1B4E9">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5</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《屋面工程质量验收规范》；</w:t>
      </w:r>
    </w:p>
    <w:p w14:paraId="33A489D3">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6</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《地下防水工程质量验收规范》；</w:t>
      </w:r>
    </w:p>
    <w:p w14:paraId="4E6FF6BF">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7</w:t>
      </w:r>
      <w:r>
        <w:rPr>
          <w:rFonts w:hint="eastAsia" w:ascii="宋体" w:hAnsi="宋体" w:eastAsia="宋体" w:cs="宋体"/>
          <w:b w:val="0"/>
          <w:bCs/>
          <w:caps w:val="0"/>
          <w:smallCaps w:val="0"/>
          <w:snapToGrid w:val="0"/>
          <w:color w:val="auto"/>
          <w:spacing w:val="0"/>
          <w:kern w:val="0"/>
          <w:highlight w:val="none"/>
          <w:lang w:eastAsia="zh-CN"/>
        </w:rPr>
        <w:t>）</w:t>
      </w:r>
      <w:bookmarkStart w:id="275" w:name="_Hlt78795211"/>
      <w:bookmarkEnd w:id="275"/>
      <w:r>
        <w:rPr>
          <w:rFonts w:hint="eastAsia" w:ascii="宋体" w:hAnsi="宋体" w:eastAsia="宋体" w:cs="宋体"/>
          <w:b w:val="0"/>
          <w:bCs/>
          <w:caps w:val="0"/>
          <w:smallCaps w:val="0"/>
          <w:snapToGrid w:val="0"/>
          <w:color w:val="auto"/>
          <w:spacing w:val="0"/>
          <w:kern w:val="0"/>
          <w:highlight w:val="none"/>
        </w:rPr>
        <w:t>《建筑地面工程施工质量验收规范》；</w:t>
      </w:r>
    </w:p>
    <w:p w14:paraId="39CE731D">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8</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《建筑装饰装修工程施工质量验收规范》；</w:t>
      </w:r>
    </w:p>
    <w:p w14:paraId="7C04B749">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9</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《建筑给排水及采暖工程施工质量验收规范》；</w:t>
      </w:r>
    </w:p>
    <w:p w14:paraId="1A832710">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10</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《建筑电气工程施工质量验收规范》；</w:t>
      </w:r>
    </w:p>
    <w:p w14:paraId="3E48EFCD">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（11）《住建部绿色建筑评价标准》；</w:t>
      </w:r>
    </w:p>
    <w:p w14:paraId="51C413A4">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（12）《建筑节能与可再生能源利用通用规范》（GB55015-2021）；</w:t>
      </w:r>
    </w:p>
    <w:p w14:paraId="42DB23AA">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（13）《建筑环境通用规范》；</w:t>
      </w:r>
    </w:p>
    <w:p w14:paraId="37CBC5FF">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14</w:t>
      </w:r>
      <w:r>
        <w:rPr>
          <w:rFonts w:hint="eastAsia" w:ascii="宋体" w:hAnsi="宋体" w:eastAsia="宋体" w:cs="宋体"/>
          <w:b w:val="0"/>
          <w:bCs/>
          <w:caps w:val="0"/>
          <w:smallCaps w:val="0"/>
          <w:snapToGrid w:val="0"/>
          <w:color w:val="auto"/>
          <w:spacing w:val="0"/>
          <w:kern w:val="0"/>
          <w:highlight w:val="none"/>
          <w:lang w:eastAsia="zh-CN"/>
        </w:rPr>
        <w:t>）《广东省住房和城乡建设厅绿色施工导则》；</w:t>
      </w:r>
    </w:p>
    <w:p w14:paraId="45C90515">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15</w:t>
      </w:r>
      <w:r>
        <w:rPr>
          <w:rFonts w:hint="eastAsia" w:ascii="宋体" w:hAnsi="宋体" w:eastAsia="宋体" w:cs="宋体"/>
          <w:b w:val="0"/>
          <w:bCs/>
          <w:caps w:val="0"/>
          <w:smallCaps w:val="0"/>
          <w:snapToGrid w:val="0"/>
          <w:color w:val="auto"/>
          <w:spacing w:val="0"/>
          <w:kern w:val="0"/>
          <w:highlight w:val="none"/>
          <w:lang w:eastAsia="zh-CN"/>
        </w:rPr>
        <w:t>）《广东省建筑工程绿色施工评价标准》；</w:t>
      </w:r>
    </w:p>
    <w:p w14:paraId="56DD4586">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（16）《广东省建筑节能与绿色建筑工程施工质量验收规范》</w:t>
      </w:r>
    </w:p>
    <w:p w14:paraId="45654C5C">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Cs/>
          <w:snapToGrid w:val="0"/>
          <w:color w:val="auto"/>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17</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其他现行国家</w:t>
      </w:r>
      <w:r>
        <w:rPr>
          <w:rFonts w:hint="eastAsia" w:ascii="宋体" w:hAnsi="宋体" w:eastAsia="宋体" w:cs="宋体"/>
          <w:b w:val="0"/>
          <w:bCs/>
          <w:caps w:val="0"/>
          <w:smallCaps w:val="0"/>
          <w:snapToGrid w:val="0"/>
          <w:color w:val="auto"/>
          <w:spacing w:val="0"/>
          <w:kern w:val="0"/>
          <w:highlight w:val="none"/>
          <w:lang w:eastAsia="zh-CN"/>
        </w:rPr>
        <w:t>、广东省关于房建工程的</w:t>
      </w:r>
      <w:r>
        <w:rPr>
          <w:rFonts w:hint="eastAsia" w:ascii="宋体" w:hAnsi="宋体" w:eastAsia="宋体" w:cs="宋体"/>
          <w:b w:val="0"/>
          <w:bCs/>
          <w:caps w:val="0"/>
          <w:smallCaps w:val="0"/>
          <w:snapToGrid w:val="0"/>
          <w:color w:val="auto"/>
          <w:spacing w:val="0"/>
          <w:kern w:val="0"/>
          <w:highlight w:val="none"/>
        </w:rPr>
        <w:t>施工</w:t>
      </w:r>
      <w:r>
        <w:rPr>
          <w:rFonts w:hint="eastAsia" w:ascii="宋体" w:hAnsi="宋体" w:eastAsia="宋体" w:cs="宋体"/>
          <w:b w:val="0"/>
          <w:bCs/>
          <w:caps w:val="0"/>
          <w:smallCaps w:val="0"/>
          <w:snapToGrid w:val="0"/>
          <w:color w:val="auto"/>
          <w:spacing w:val="0"/>
          <w:kern w:val="0"/>
          <w:highlight w:val="none"/>
          <w:lang w:eastAsia="zh-CN"/>
        </w:rPr>
        <w:t>及验收</w:t>
      </w:r>
      <w:r>
        <w:rPr>
          <w:rFonts w:hint="eastAsia" w:ascii="宋体" w:hAnsi="宋体" w:eastAsia="宋体" w:cs="宋体"/>
          <w:b w:val="0"/>
          <w:bCs/>
          <w:caps w:val="0"/>
          <w:smallCaps w:val="0"/>
          <w:snapToGrid w:val="0"/>
          <w:color w:val="auto"/>
          <w:spacing w:val="0"/>
          <w:kern w:val="0"/>
          <w:highlight w:val="none"/>
        </w:rPr>
        <w:t>规范</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定额、</w:t>
      </w:r>
      <w:r>
        <w:rPr>
          <w:rFonts w:hint="eastAsia" w:ascii="宋体" w:hAnsi="宋体" w:eastAsia="宋体" w:cs="宋体"/>
          <w:b w:val="0"/>
          <w:bCs/>
          <w:caps w:val="0"/>
          <w:smallCaps w:val="0"/>
          <w:snapToGrid w:val="0"/>
          <w:color w:val="auto"/>
          <w:spacing w:val="0"/>
          <w:kern w:val="0"/>
          <w:highlight w:val="none"/>
          <w:lang w:eastAsia="zh-CN"/>
        </w:rPr>
        <w:t>规程、</w:t>
      </w:r>
      <w:r>
        <w:rPr>
          <w:rFonts w:hint="eastAsia" w:ascii="宋体" w:hAnsi="宋体" w:eastAsia="宋体" w:cs="宋体"/>
          <w:b w:val="0"/>
          <w:bCs/>
          <w:caps w:val="0"/>
          <w:smallCaps w:val="0"/>
          <w:snapToGrid w:val="0"/>
          <w:color w:val="auto"/>
          <w:spacing w:val="0"/>
          <w:kern w:val="0"/>
          <w:highlight w:val="none"/>
        </w:rPr>
        <w:t>标准。</w:t>
      </w:r>
    </w:p>
    <w:p w14:paraId="019DA053">
      <w:pPr>
        <w:keepNext w:val="0"/>
        <w:keepLines w:val="0"/>
        <w:pageBreakBefore w:val="0"/>
        <w:kinsoku/>
        <w:wordWrap w:val="0"/>
        <w:overflowPunct/>
        <w:topLinePunct w:val="0"/>
        <w:bidi w:val="0"/>
        <w:adjustRightInd w:val="0"/>
        <w:snapToGrid w:val="0"/>
        <w:spacing w:line="500" w:lineRule="exact"/>
        <w:ind w:firstLine="482" w:firstLineChars="200"/>
        <w:outlineLvl w:val="9"/>
        <w:rPr>
          <w:rFonts w:hint="eastAsia" w:ascii="宋体" w:hAnsi="宋体" w:eastAsia="宋体" w:cs="宋体"/>
          <w:bCs/>
          <w:snapToGrid w:val="0"/>
          <w:color w:val="auto"/>
          <w:kern w:val="0"/>
          <w:highlight w:val="none"/>
        </w:rPr>
      </w:pPr>
      <w:bookmarkStart w:id="276" w:name="_Toc2706"/>
      <w:bookmarkStart w:id="277" w:name="_Toc3631"/>
      <w:bookmarkStart w:id="278" w:name="_Toc23789"/>
      <w:bookmarkStart w:id="279" w:name="_Toc16196"/>
      <w:r>
        <w:rPr>
          <w:rFonts w:hint="eastAsia" w:ascii="宋体" w:hAnsi="宋体" w:eastAsia="宋体" w:cs="宋体"/>
          <w:b/>
          <w:snapToGrid w:val="0"/>
          <w:color w:val="auto"/>
          <w:kern w:val="0"/>
          <w:highlight w:val="none"/>
        </w:rPr>
        <w:t>2．市政基础设施工程建设项目</w:t>
      </w:r>
      <w:bookmarkEnd w:id="276"/>
      <w:bookmarkEnd w:id="277"/>
      <w:bookmarkEnd w:id="278"/>
      <w:bookmarkEnd w:id="279"/>
    </w:p>
    <w:p w14:paraId="499DBC66">
      <w:pPr>
        <w:keepNext w:val="0"/>
        <w:keepLines w:val="0"/>
        <w:pageBreakBefore w:val="0"/>
        <w:kinsoku/>
        <w:wordWrap w:val="0"/>
        <w:overflowPunct/>
        <w:topLinePunct w:val="0"/>
        <w:bidi w:val="0"/>
        <w:adjustRightInd w:val="0"/>
        <w:snapToGrid w:val="0"/>
        <w:spacing w:line="500" w:lineRule="exact"/>
        <w:ind w:firstLine="480" w:firstLineChars="200"/>
        <w:rPr>
          <w:rFonts w:hint="eastAsia" w:ascii="宋体" w:hAnsi="宋体" w:eastAsia="宋体" w:cs="宋体"/>
          <w:b w:val="0"/>
          <w:bCs/>
          <w:snapToGrid w:val="0"/>
          <w:color w:val="auto"/>
          <w:kern w:val="0"/>
          <w:szCs w:val="28"/>
          <w:highlight w:val="none"/>
        </w:rPr>
      </w:pPr>
      <w:r>
        <w:rPr>
          <w:rFonts w:hint="eastAsia" w:ascii="宋体" w:hAnsi="宋体" w:eastAsia="宋体" w:cs="宋体"/>
          <w:b w:val="0"/>
          <w:bCs/>
          <w:snapToGrid w:val="0"/>
          <w:color w:val="auto"/>
          <w:kern w:val="0"/>
          <w:highlight w:val="none"/>
        </w:rPr>
        <w:t>市政基础设施工程建设项目必须执行的现行技术规范，包括且不限于：</w:t>
      </w:r>
    </w:p>
    <w:p w14:paraId="444FEA19">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szCs w:val="28"/>
          <w:highlight w:val="none"/>
          <w:lang w:eastAsia="zh-CN"/>
        </w:rPr>
        <w:t>（</w:t>
      </w:r>
      <w:r>
        <w:rPr>
          <w:rFonts w:hint="eastAsia" w:ascii="宋体" w:hAnsi="宋体" w:eastAsia="宋体" w:cs="宋体"/>
          <w:b w:val="0"/>
          <w:bCs/>
          <w:caps w:val="0"/>
          <w:smallCaps w:val="0"/>
          <w:snapToGrid w:val="0"/>
          <w:color w:val="auto"/>
          <w:spacing w:val="0"/>
          <w:kern w:val="0"/>
          <w:szCs w:val="28"/>
          <w:highlight w:val="none"/>
          <w:lang w:val="en-US" w:eastAsia="zh-CN"/>
        </w:rPr>
        <w:t>1</w:t>
      </w:r>
      <w:r>
        <w:rPr>
          <w:rFonts w:hint="eastAsia" w:ascii="宋体" w:hAnsi="宋体" w:eastAsia="宋体" w:cs="宋体"/>
          <w:b w:val="0"/>
          <w:bCs/>
          <w:caps w:val="0"/>
          <w:smallCaps w:val="0"/>
          <w:snapToGrid w:val="0"/>
          <w:color w:val="auto"/>
          <w:spacing w:val="0"/>
          <w:kern w:val="0"/>
          <w:szCs w:val="28"/>
          <w:highlight w:val="none"/>
          <w:lang w:eastAsia="zh-CN"/>
        </w:rPr>
        <w:t>）</w:t>
      </w:r>
      <w:r>
        <w:rPr>
          <w:rFonts w:hint="eastAsia" w:ascii="宋体" w:hAnsi="宋体" w:eastAsia="宋体" w:cs="宋体"/>
          <w:b w:val="0"/>
          <w:bCs/>
          <w:caps w:val="0"/>
          <w:smallCaps w:val="0"/>
          <w:snapToGrid w:val="0"/>
          <w:color w:val="auto"/>
          <w:spacing w:val="0"/>
          <w:kern w:val="0"/>
          <w:szCs w:val="28"/>
          <w:highlight w:val="none"/>
        </w:rPr>
        <w:t>《公路路基施工技术规范》</w:t>
      </w:r>
      <w:r>
        <w:rPr>
          <w:rFonts w:hint="eastAsia" w:ascii="宋体" w:hAnsi="宋体" w:eastAsia="宋体" w:cs="宋体"/>
          <w:b w:val="0"/>
          <w:bCs/>
          <w:caps w:val="0"/>
          <w:smallCaps w:val="0"/>
          <w:snapToGrid w:val="0"/>
          <w:color w:val="auto"/>
          <w:spacing w:val="0"/>
          <w:kern w:val="0"/>
          <w:highlight w:val="none"/>
        </w:rPr>
        <w:t>；</w:t>
      </w:r>
    </w:p>
    <w:p w14:paraId="308030B2">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2</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《市政道路工程质量检验评定标准》；</w:t>
      </w:r>
    </w:p>
    <w:p w14:paraId="40CE13C2">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3</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《市政排水管渠工程质量检验评定标准》；</w:t>
      </w:r>
    </w:p>
    <w:p w14:paraId="0BBF4B9D">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4</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《给水排水管道工程施工及验收规范》；</w:t>
      </w:r>
    </w:p>
    <w:p w14:paraId="45EE277A">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5</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《城市道路路基工程施工及验收规范》；</w:t>
      </w:r>
    </w:p>
    <w:p w14:paraId="3F50DB65">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6</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《水泥砼路面施工及验收规范》；</w:t>
      </w:r>
    </w:p>
    <w:p w14:paraId="08D3BB49">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7</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《公路水泥砼路面施工技术规范》；</w:t>
      </w:r>
    </w:p>
    <w:p w14:paraId="1D6C46CE">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8</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《埋地硬聚氯乙烯排水管道工程技术规程》；</w:t>
      </w:r>
    </w:p>
    <w:p w14:paraId="6CA9A664">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9</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《沥青路面施工及验收规范》；</w:t>
      </w:r>
    </w:p>
    <w:p w14:paraId="750FA0F9">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10</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《广东省</w:t>
      </w:r>
      <w:r>
        <w:rPr>
          <w:rFonts w:hint="eastAsia" w:ascii="宋体" w:hAnsi="宋体" w:eastAsia="宋体" w:cs="宋体"/>
          <w:b w:val="0"/>
          <w:bCs/>
          <w:caps w:val="0"/>
          <w:smallCaps w:val="0"/>
          <w:snapToGrid w:val="0"/>
          <w:color w:val="auto"/>
          <w:spacing w:val="0"/>
          <w:kern w:val="0"/>
          <w:highlight w:val="none"/>
          <w:lang w:eastAsia="zh-CN"/>
        </w:rPr>
        <w:t>市政</w:t>
      </w:r>
      <w:r>
        <w:rPr>
          <w:rFonts w:hint="eastAsia" w:ascii="宋体" w:hAnsi="宋体" w:eastAsia="宋体" w:cs="宋体"/>
          <w:b w:val="0"/>
          <w:bCs/>
          <w:caps w:val="0"/>
          <w:smallCaps w:val="0"/>
          <w:snapToGrid w:val="0"/>
          <w:color w:val="auto"/>
          <w:spacing w:val="0"/>
          <w:kern w:val="0"/>
          <w:highlight w:val="none"/>
        </w:rPr>
        <w:t>工程施工质量技术资料统一用表》。</w:t>
      </w:r>
    </w:p>
    <w:p w14:paraId="27EDDC28">
      <w:pPr>
        <w:keepNext w:val="0"/>
        <w:keepLines w:val="0"/>
        <w:pageBreakBefore w:val="0"/>
        <w:widowControl/>
        <w:tabs>
          <w:tab w:val="left" w:pos="567"/>
        </w:tabs>
        <w:kinsoku/>
        <w:overflowPunct/>
        <w:topLinePunct w:val="0"/>
        <w:autoSpaceDE w:val="0"/>
        <w:autoSpaceDN w:val="0"/>
        <w:bidi w:val="0"/>
        <w:spacing w:line="500" w:lineRule="exact"/>
        <w:ind w:firstLine="480" w:firstLineChars="200"/>
        <w:jc w:val="left"/>
        <w:textAlignment w:val="bottom"/>
        <w:outlineLvl w:val="9"/>
        <w:rPr>
          <w:rFonts w:hint="eastAsia" w:ascii="宋体" w:hAnsi="宋体" w:eastAsia="宋体" w:cs="宋体"/>
          <w:b w:val="0"/>
          <w:bCs/>
          <w:i w:val="0"/>
          <w:iCs w:val="0"/>
          <w:color w:val="auto"/>
          <w:kern w:val="0"/>
          <w:szCs w:val="21"/>
          <w:highlight w:val="none"/>
        </w:rPr>
      </w:pPr>
      <w:bookmarkStart w:id="280" w:name="_Toc20464"/>
      <w:bookmarkStart w:id="281" w:name="_Toc8840"/>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11</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i w:val="0"/>
          <w:iCs w:val="0"/>
          <w:color w:val="auto"/>
          <w:kern w:val="0"/>
          <w:szCs w:val="21"/>
          <w:highlight w:val="none"/>
        </w:rPr>
        <w:t>《城市道路照明设计标准》（CJJ45-2015）；</w:t>
      </w:r>
      <w:bookmarkEnd w:id="280"/>
      <w:bookmarkEnd w:id="281"/>
    </w:p>
    <w:p w14:paraId="01A36CBB">
      <w:pPr>
        <w:keepNext w:val="0"/>
        <w:keepLines w:val="0"/>
        <w:pageBreakBefore w:val="0"/>
        <w:widowControl/>
        <w:tabs>
          <w:tab w:val="left" w:pos="567"/>
        </w:tabs>
        <w:kinsoku/>
        <w:overflowPunct/>
        <w:topLinePunct w:val="0"/>
        <w:autoSpaceDE w:val="0"/>
        <w:autoSpaceDN w:val="0"/>
        <w:bidi w:val="0"/>
        <w:spacing w:line="500" w:lineRule="exact"/>
        <w:ind w:firstLine="480" w:firstLineChars="200"/>
        <w:jc w:val="left"/>
        <w:textAlignment w:val="bottom"/>
        <w:outlineLvl w:val="9"/>
        <w:rPr>
          <w:rFonts w:hint="eastAsia" w:ascii="宋体" w:hAnsi="宋体" w:eastAsia="宋体" w:cs="宋体"/>
          <w:b w:val="0"/>
          <w:bCs/>
          <w:i w:val="0"/>
          <w:iCs w:val="0"/>
          <w:color w:val="auto"/>
          <w:szCs w:val="21"/>
          <w:highlight w:val="none"/>
        </w:rPr>
      </w:pPr>
      <w:bookmarkStart w:id="282" w:name="_Toc8828"/>
      <w:bookmarkStart w:id="283" w:name="_Toc12769"/>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lang w:val="en-US" w:eastAsia="zh-CN"/>
        </w:rPr>
        <w:t>12</w:t>
      </w:r>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rPr>
        <w:t>《低压配电设计规范》（GB50054-2011）；</w:t>
      </w:r>
      <w:bookmarkEnd w:id="282"/>
      <w:bookmarkEnd w:id="283"/>
    </w:p>
    <w:p w14:paraId="59EE4D3F">
      <w:pPr>
        <w:keepNext w:val="0"/>
        <w:keepLines w:val="0"/>
        <w:pageBreakBefore w:val="0"/>
        <w:widowControl/>
        <w:tabs>
          <w:tab w:val="left" w:pos="567"/>
        </w:tabs>
        <w:kinsoku/>
        <w:overflowPunct/>
        <w:topLinePunct w:val="0"/>
        <w:autoSpaceDE w:val="0"/>
        <w:autoSpaceDN w:val="0"/>
        <w:bidi w:val="0"/>
        <w:spacing w:line="500" w:lineRule="exact"/>
        <w:ind w:firstLine="480" w:firstLineChars="200"/>
        <w:jc w:val="left"/>
        <w:textAlignment w:val="bottom"/>
        <w:outlineLvl w:val="9"/>
        <w:rPr>
          <w:rFonts w:hint="eastAsia" w:ascii="宋体" w:hAnsi="宋体" w:eastAsia="宋体" w:cs="宋体"/>
          <w:b w:val="0"/>
          <w:bCs/>
          <w:i w:val="0"/>
          <w:iCs w:val="0"/>
          <w:color w:val="auto"/>
          <w:kern w:val="0"/>
          <w:szCs w:val="21"/>
          <w:highlight w:val="none"/>
        </w:rPr>
      </w:pPr>
      <w:bookmarkStart w:id="284" w:name="_Toc5338"/>
      <w:bookmarkStart w:id="285" w:name="_Toc17054"/>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lang w:val="en-US" w:eastAsia="zh-CN"/>
        </w:rPr>
        <w:t>13</w:t>
      </w:r>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rPr>
        <w:t>《城市道路照明工程施工及验收规程》（CJJ89-2012）；</w:t>
      </w:r>
      <w:bookmarkEnd w:id="284"/>
      <w:bookmarkEnd w:id="285"/>
    </w:p>
    <w:p w14:paraId="17E5A6B8">
      <w:pPr>
        <w:keepNext w:val="0"/>
        <w:keepLines w:val="0"/>
        <w:pageBreakBefore w:val="0"/>
        <w:widowControl/>
        <w:tabs>
          <w:tab w:val="left" w:pos="567"/>
        </w:tabs>
        <w:kinsoku/>
        <w:overflowPunct/>
        <w:topLinePunct w:val="0"/>
        <w:autoSpaceDE w:val="0"/>
        <w:autoSpaceDN w:val="0"/>
        <w:bidi w:val="0"/>
        <w:spacing w:line="500" w:lineRule="exact"/>
        <w:ind w:firstLine="480" w:firstLineChars="200"/>
        <w:jc w:val="left"/>
        <w:textAlignment w:val="bottom"/>
        <w:outlineLvl w:val="9"/>
        <w:rPr>
          <w:rFonts w:hint="eastAsia" w:ascii="宋体" w:hAnsi="宋体" w:eastAsia="宋体" w:cs="宋体"/>
          <w:b w:val="0"/>
          <w:bCs/>
          <w:i w:val="0"/>
          <w:iCs w:val="0"/>
          <w:color w:val="auto"/>
          <w:kern w:val="0"/>
          <w:szCs w:val="21"/>
          <w:highlight w:val="none"/>
          <w:lang w:val="en-US" w:eastAsia="zh-CN"/>
        </w:rPr>
      </w:pPr>
      <w:bookmarkStart w:id="286" w:name="_Toc15704"/>
      <w:bookmarkStart w:id="287" w:name="_Toc17302"/>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lang w:val="en-US" w:eastAsia="zh-CN"/>
        </w:rPr>
        <w:t>14</w:t>
      </w:r>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lang w:val="en-US" w:eastAsia="zh-CN"/>
        </w:rPr>
        <w:t>LED道路照明工程技术规范</w:t>
      </w:r>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lang w:val="en-US" w:eastAsia="zh-CN"/>
        </w:rPr>
        <w:t>DB44/T 1898-2016</w:t>
      </w:r>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lang w:val="en-US" w:eastAsia="zh-CN"/>
        </w:rPr>
        <w:t>；</w:t>
      </w:r>
      <w:bookmarkEnd w:id="286"/>
      <w:bookmarkEnd w:id="287"/>
    </w:p>
    <w:p w14:paraId="0F08A875">
      <w:pPr>
        <w:pStyle w:val="153"/>
        <w:keepNext w:val="0"/>
        <w:keepLines w:val="0"/>
        <w:pageBreakBefore w:val="0"/>
        <w:kinsoku/>
        <w:overflowPunct/>
        <w:topLinePunct w:val="0"/>
        <w:bidi w:val="0"/>
        <w:spacing w:line="500" w:lineRule="exact"/>
        <w:ind w:left="0" w:leftChars="0" w:firstLine="480" w:firstLineChars="200"/>
        <w:rPr>
          <w:rFonts w:hint="eastAsia" w:ascii="宋体" w:hAnsi="宋体" w:eastAsia="宋体" w:cs="宋体"/>
          <w:b w:val="0"/>
          <w:bCs/>
          <w:i w:val="0"/>
          <w:iCs w:val="0"/>
          <w:color w:val="auto"/>
          <w:kern w:val="0"/>
          <w:szCs w:val="21"/>
          <w:highlight w:val="none"/>
          <w:lang w:val="en-US" w:eastAsia="zh-CN"/>
        </w:rPr>
      </w:pPr>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lang w:val="en-US" w:eastAsia="zh-CN"/>
        </w:rPr>
        <w:t>15</w:t>
      </w:r>
      <w:r>
        <w:rPr>
          <w:rFonts w:hint="eastAsia" w:ascii="宋体" w:hAnsi="宋体" w:eastAsia="宋体" w:cs="宋体"/>
          <w:b w:val="0"/>
          <w:bCs/>
          <w:i w:val="0"/>
          <w:iCs w:val="0"/>
          <w:color w:val="auto"/>
          <w:kern w:val="0"/>
          <w:szCs w:val="21"/>
          <w:highlight w:val="none"/>
          <w:lang w:eastAsia="zh-CN"/>
        </w:rPr>
        <w:t>）《灯具第</w:t>
      </w:r>
      <w:r>
        <w:rPr>
          <w:rFonts w:hint="eastAsia" w:ascii="宋体" w:hAnsi="宋体" w:eastAsia="宋体" w:cs="宋体"/>
          <w:b w:val="0"/>
          <w:bCs/>
          <w:i w:val="0"/>
          <w:iCs w:val="0"/>
          <w:color w:val="auto"/>
          <w:kern w:val="0"/>
          <w:szCs w:val="21"/>
          <w:highlight w:val="none"/>
          <w:lang w:val="en-US" w:eastAsia="zh-CN"/>
        </w:rPr>
        <w:t>1部分：一般要求与试验</w:t>
      </w:r>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lang w:val="en-US" w:eastAsia="zh-CN"/>
        </w:rPr>
        <w:t>GB7000.1-2015</w:t>
      </w:r>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lang w:val="en-US" w:eastAsia="zh-CN"/>
        </w:rPr>
        <w:t>；</w:t>
      </w:r>
    </w:p>
    <w:p w14:paraId="64E0630B">
      <w:pPr>
        <w:keepNext w:val="0"/>
        <w:keepLines w:val="0"/>
        <w:pageBreakBefore w:val="0"/>
        <w:widowControl w:val="0"/>
        <w:kinsoku/>
        <w:wordWrap w:val="0"/>
        <w:overflowPunct/>
        <w:topLinePunct w:val="0"/>
        <w:autoSpaceDE/>
        <w:autoSpaceDN/>
        <w:bidi w:val="0"/>
        <w:adjustRightInd w:val="0"/>
        <w:snapToGrid w:val="0"/>
        <w:spacing w:before="0" w:after="0" w:line="500" w:lineRule="exact"/>
        <w:ind w:right="0" w:rightChars="0" w:firstLine="480" w:firstLineChars="200"/>
        <w:textAlignment w:val="auto"/>
        <w:rPr>
          <w:rFonts w:hint="eastAsia" w:ascii="宋体" w:hAnsi="宋体" w:eastAsia="宋体" w:cs="宋体"/>
          <w:b w:val="0"/>
          <w:bCs/>
          <w:i w:val="0"/>
          <w:iCs w:val="0"/>
          <w:color w:val="auto"/>
          <w:kern w:val="0"/>
          <w:szCs w:val="21"/>
          <w:highlight w:val="none"/>
          <w:lang w:val="en-US" w:eastAsia="zh-CN"/>
        </w:rPr>
      </w:pPr>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lang w:val="en-US" w:eastAsia="zh-CN"/>
        </w:rPr>
        <w:t>16</w:t>
      </w:r>
      <w:r>
        <w:rPr>
          <w:rFonts w:hint="eastAsia" w:ascii="宋体" w:hAnsi="宋体" w:eastAsia="宋体" w:cs="宋体"/>
          <w:b w:val="0"/>
          <w:bCs/>
          <w:i w:val="0"/>
          <w:iCs w:val="0"/>
          <w:color w:val="auto"/>
          <w:kern w:val="0"/>
          <w:szCs w:val="21"/>
          <w:highlight w:val="none"/>
          <w:lang w:eastAsia="zh-CN"/>
        </w:rPr>
        <w:t>）《电缆工程电缆设计标准》（</w:t>
      </w:r>
      <w:r>
        <w:rPr>
          <w:rFonts w:hint="eastAsia" w:ascii="宋体" w:hAnsi="宋体" w:eastAsia="宋体" w:cs="宋体"/>
          <w:b w:val="0"/>
          <w:bCs/>
          <w:i w:val="0"/>
          <w:iCs w:val="0"/>
          <w:color w:val="auto"/>
          <w:kern w:val="0"/>
          <w:szCs w:val="21"/>
          <w:highlight w:val="none"/>
          <w:lang w:val="en-US" w:eastAsia="zh-CN"/>
        </w:rPr>
        <w:t>GB50217-2018</w:t>
      </w:r>
      <w:r>
        <w:rPr>
          <w:rFonts w:hint="eastAsia" w:ascii="宋体" w:hAnsi="宋体" w:eastAsia="宋体" w:cs="宋体"/>
          <w:b w:val="0"/>
          <w:bCs/>
          <w:i w:val="0"/>
          <w:iCs w:val="0"/>
          <w:color w:val="auto"/>
          <w:kern w:val="0"/>
          <w:szCs w:val="21"/>
          <w:highlight w:val="none"/>
          <w:lang w:eastAsia="zh-CN"/>
        </w:rPr>
        <w:t>）；</w:t>
      </w:r>
    </w:p>
    <w:p w14:paraId="2BD73719">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snapToGrid w:val="0"/>
          <w:color w:val="auto"/>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17</w:t>
      </w:r>
      <w:r>
        <w:rPr>
          <w:rFonts w:hint="eastAsia" w:ascii="宋体" w:hAnsi="宋体" w:eastAsia="宋体" w:cs="宋体"/>
          <w:b w:val="0"/>
          <w:bCs/>
          <w:caps w:val="0"/>
          <w:smallCaps w:val="0"/>
          <w:snapToGrid w:val="0"/>
          <w:color w:val="auto"/>
          <w:spacing w:val="0"/>
          <w:kern w:val="0"/>
          <w:highlight w:val="none"/>
          <w:lang w:eastAsia="zh-CN"/>
        </w:rPr>
        <w:t>）其他现行国家、广东省关于市政工程的技术及验收规范、</w:t>
      </w:r>
      <w:r>
        <w:rPr>
          <w:rFonts w:hint="eastAsia" w:ascii="宋体" w:hAnsi="宋体" w:eastAsia="宋体" w:cs="宋体"/>
          <w:b w:val="0"/>
          <w:bCs/>
          <w:caps w:val="0"/>
          <w:smallCaps w:val="0"/>
          <w:snapToGrid w:val="0"/>
          <w:color w:val="auto"/>
          <w:spacing w:val="0"/>
          <w:kern w:val="0"/>
          <w:highlight w:val="none"/>
          <w:lang w:val="en-US" w:eastAsia="zh-CN"/>
        </w:rPr>
        <w:t>定额、</w:t>
      </w:r>
      <w:r>
        <w:rPr>
          <w:rFonts w:hint="eastAsia" w:ascii="宋体" w:hAnsi="宋体" w:eastAsia="宋体" w:cs="宋体"/>
          <w:b w:val="0"/>
          <w:bCs/>
          <w:caps w:val="0"/>
          <w:smallCaps w:val="0"/>
          <w:snapToGrid w:val="0"/>
          <w:color w:val="auto"/>
          <w:spacing w:val="0"/>
          <w:kern w:val="0"/>
          <w:highlight w:val="none"/>
          <w:lang w:eastAsia="zh-CN"/>
        </w:rPr>
        <w:t>规程、标准。</w:t>
      </w:r>
    </w:p>
    <w:p w14:paraId="20839665">
      <w:pPr>
        <w:keepNext w:val="0"/>
        <w:keepLines w:val="0"/>
        <w:pageBreakBefore w:val="0"/>
        <w:kinsoku/>
        <w:wordWrap w:val="0"/>
        <w:overflowPunct/>
        <w:topLinePunct w:val="0"/>
        <w:bidi w:val="0"/>
        <w:adjustRightInd w:val="0"/>
        <w:snapToGrid w:val="0"/>
        <w:spacing w:line="500" w:lineRule="exact"/>
        <w:ind w:firstLine="482" w:firstLineChars="200"/>
        <w:outlineLvl w:val="9"/>
        <w:rPr>
          <w:rFonts w:hint="eastAsia" w:ascii="宋体" w:hAnsi="宋体" w:eastAsia="宋体" w:cs="宋体"/>
          <w:b/>
          <w:snapToGrid w:val="0"/>
          <w:color w:val="auto"/>
          <w:kern w:val="0"/>
          <w:highlight w:val="none"/>
        </w:rPr>
      </w:pPr>
      <w:bookmarkStart w:id="288" w:name="_Toc20571"/>
      <w:bookmarkStart w:id="289" w:name="_Toc5246"/>
      <w:r>
        <w:rPr>
          <w:rFonts w:hint="eastAsia" w:ascii="宋体" w:hAnsi="宋体" w:eastAsia="宋体" w:cs="宋体"/>
          <w:b/>
          <w:snapToGrid w:val="0"/>
          <w:color w:val="auto"/>
          <w:kern w:val="0"/>
          <w:highlight w:val="none"/>
        </w:rPr>
        <w:t>3．备查要求</w:t>
      </w:r>
      <w:bookmarkEnd w:id="288"/>
      <w:bookmarkEnd w:id="289"/>
    </w:p>
    <w:p w14:paraId="06C3D4AC">
      <w:pPr>
        <w:keepNext w:val="0"/>
        <w:keepLines w:val="0"/>
        <w:pageBreakBefore w:val="0"/>
        <w:kinsoku/>
        <w:wordWrap w:val="0"/>
        <w:overflowPunct/>
        <w:topLinePunct w:val="0"/>
        <w:bidi w:val="0"/>
        <w:adjustRightInd w:val="0"/>
        <w:snapToGrid w:val="0"/>
        <w:spacing w:line="500" w:lineRule="exact"/>
        <w:ind w:firstLine="560"/>
        <w:rPr>
          <w:rFonts w:hint="eastAsia" w:ascii="宋体" w:hAnsi="宋体" w:eastAsia="宋体" w:cs="宋体"/>
          <w:strike/>
          <w:snapToGrid w:val="0"/>
          <w:color w:val="auto"/>
          <w:kern w:val="0"/>
          <w:highlight w:val="none"/>
        </w:rPr>
        <w:sectPr>
          <w:endnotePr>
            <w:numFmt w:val="decimal"/>
          </w:endnotePr>
          <w:pgSz w:w="11906" w:h="16838"/>
          <w:pgMar w:top="1417" w:right="1417" w:bottom="1417" w:left="1417" w:header="850" w:footer="992" w:gutter="0"/>
          <w:pgNumType w:fmt="decimal"/>
          <w:cols w:space="0" w:num="1"/>
          <w:rtlGutter w:val="0"/>
          <w:docGrid w:linePitch="327" w:charSpace="0"/>
        </w:sectPr>
      </w:pPr>
      <w:r>
        <w:rPr>
          <w:rFonts w:hint="eastAsia" w:ascii="宋体" w:hAnsi="宋体" w:eastAsia="宋体" w:cs="宋体"/>
          <w:b w:val="0"/>
          <w:bCs/>
          <w:snapToGrid w:val="0"/>
          <w:color w:val="auto"/>
          <w:kern w:val="0"/>
          <w:highlight w:val="none"/>
        </w:rPr>
        <w:t>监理人必须在施工现场准备至少一套上述规范，委托人可随时检</w:t>
      </w:r>
      <w:r>
        <w:rPr>
          <w:rFonts w:hint="eastAsia" w:ascii="宋体" w:hAnsi="宋体" w:eastAsia="宋体" w:cs="宋体"/>
          <w:bCs/>
          <w:snapToGrid w:val="0"/>
          <w:color w:val="auto"/>
          <w:kern w:val="0"/>
          <w:highlight w:val="none"/>
        </w:rPr>
        <w:t>查监理人的上述规范，并监督监理人按规范要求执行。</w:t>
      </w:r>
      <w:bookmarkStart w:id="290" w:name="_Hlt69670335"/>
      <w:bookmarkEnd w:id="290"/>
    </w:p>
    <w:p w14:paraId="2C01AB53">
      <w:pPr>
        <w:pStyle w:val="2"/>
        <w:wordWrap w:val="0"/>
        <w:autoSpaceDE/>
        <w:autoSpaceDN/>
        <w:snapToGrid w:val="0"/>
        <w:spacing w:line="440" w:lineRule="exact"/>
        <w:jc w:val="center"/>
        <w:rPr>
          <w:rFonts w:ascii="Times New Roman"/>
          <w:b/>
          <w:snapToGrid w:val="0"/>
          <w:color w:val="auto"/>
          <w:sz w:val="32"/>
          <w:szCs w:val="22"/>
          <w:highlight w:val="none"/>
        </w:rPr>
      </w:pPr>
      <w:bookmarkStart w:id="291" w:name="_Toc4295"/>
      <w:r>
        <w:rPr>
          <w:rFonts w:hint="eastAsia" w:ascii="Times New Roman"/>
          <w:b/>
          <w:snapToGrid w:val="0"/>
          <w:color w:val="auto"/>
          <w:sz w:val="32"/>
          <w:szCs w:val="22"/>
          <w:highlight w:val="none"/>
        </w:rPr>
        <w:t xml:space="preserve">第五章 </w:t>
      </w:r>
      <w:bookmarkStart w:id="292" w:name="_Hlt75747044"/>
      <w:bookmarkEnd w:id="292"/>
      <w:r>
        <w:rPr>
          <w:rFonts w:hint="eastAsia" w:ascii="Times New Roman"/>
          <w:b/>
          <w:snapToGrid w:val="0"/>
          <w:color w:val="auto"/>
          <w:sz w:val="32"/>
          <w:szCs w:val="22"/>
          <w:highlight w:val="none"/>
        </w:rPr>
        <w:t>投标文件格式</w:t>
      </w:r>
      <w:bookmarkEnd w:id="266"/>
      <w:bookmarkEnd w:id="291"/>
    </w:p>
    <w:bookmarkEnd w:id="267"/>
    <w:p w14:paraId="7A6D8682">
      <w:pPr>
        <w:pStyle w:val="71"/>
        <w:keepNext w:val="0"/>
        <w:keepLines w:val="0"/>
        <w:widowControl w:val="0"/>
        <w:wordWrap w:val="0"/>
        <w:adjustRightInd w:val="0"/>
        <w:snapToGrid w:val="0"/>
        <w:spacing w:before="0" w:after="0" w:line="240" w:lineRule="auto"/>
        <w:ind w:left="3640" w:leftChars="15" w:hanging="3604" w:hangingChars="1496"/>
        <w:jc w:val="both"/>
        <w:outlineLvl w:val="9"/>
        <w:rPr>
          <w:rFonts w:ascii="Times New Roman"/>
          <w:b/>
          <w:snapToGrid w:val="0"/>
          <w:color w:val="auto"/>
          <w:highlight w:val="none"/>
        </w:rPr>
      </w:pPr>
      <w:bookmarkStart w:id="293" w:name="_附件二：工期承诺书"/>
      <w:bookmarkEnd w:id="293"/>
      <w:bookmarkStart w:id="294" w:name="_附件一：对招标文件条款自愿接受承诺书"/>
      <w:bookmarkEnd w:id="294"/>
      <w:bookmarkStart w:id="295" w:name="_附件一：投标函"/>
      <w:bookmarkEnd w:id="295"/>
      <w:bookmarkStart w:id="296" w:name="_附件五：综合评审合理低价法"/>
      <w:bookmarkEnd w:id="296"/>
      <w:bookmarkStart w:id="297" w:name="_附件二：近三年度主要施工项目（竣工及在建）一览表"/>
      <w:bookmarkEnd w:id="297"/>
      <w:bookmarkStart w:id="298" w:name="_附件四：工期承诺书"/>
      <w:bookmarkEnd w:id="298"/>
      <w:bookmarkStart w:id="299" w:name="_Hlt66847557"/>
      <w:bookmarkStart w:id="300" w:name="_Toc137621693"/>
      <w:bookmarkStart w:id="301" w:name="_Toc200338097"/>
      <w:bookmarkStart w:id="302" w:name="_Toc66849200"/>
    </w:p>
    <w:p w14:paraId="605BD047">
      <w:pPr>
        <w:pStyle w:val="71"/>
        <w:keepNext w:val="0"/>
        <w:keepLines w:val="0"/>
        <w:widowControl w:val="0"/>
        <w:wordWrap w:val="0"/>
        <w:adjustRightInd w:val="0"/>
        <w:snapToGrid w:val="0"/>
        <w:spacing w:before="0" w:after="0" w:line="240" w:lineRule="auto"/>
        <w:ind w:left="3640" w:leftChars="15" w:hanging="3604" w:hangingChars="1496"/>
        <w:jc w:val="both"/>
        <w:outlineLvl w:val="1"/>
        <w:rPr>
          <w:rFonts w:ascii="Times New Roman"/>
          <w:b/>
          <w:snapToGrid w:val="0"/>
          <w:color w:val="auto"/>
          <w:highlight w:val="none"/>
        </w:rPr>
      </w:pPr>
      <w:bookmarkStart w:id="303" w:name="_Toc63"/>
      <w:bookmarkStart w:id="304" w:name="_Toc29621"/>
      <w:r>
        <w:rPr>
          <w:rFonts w:hint="eastAsia" w:ascii="Times New Roman"/>
          <w:b/>
          <w:snapToGrid w:val="0"/>
          <w:color w:val="auto"/>
          <w:highlight w:val="none"/>
        </w:rPr>
        <w:t>格式一 封面</w:t>
      </w:r>
      <w:bookmarkEnd w:id="303"/>
      <w:bookmarkEnd w:id="304"/>
    </w:p>
    <w:p w14:paraId="5DF40F53">
      <w:pPr>
        <w:pStyle w:val="72"/>
        <w:widowControl w:val="0"/>
        <w:wordWrap w:val="0"/>
        <w:adjustRightInd w:val="0"/>
        <w:snapToGrid w:val="0"/>
        <w:spacing w:line="240" w:lineRule="auto"/>
        <w:rPr>
          <w:rFonts w:ascii="Times New Roman"/>
          <w:b/>
          <w:snapToGrid w:val="0"/>
          <w:color w:val="auto"/>
          <w:sz w:val="24"/>
          <w:highlight w:val="none"/>
        </w:rPr>
      </w:pPr>
    </w:p>
    <w:p w14:paraId="6FBB4A80">
      <w:pPr>
        <w:pStyle w:val="72"/>
        <w:widowControl w:val="0"/>
        <w:wordWrap w:val="0"/>
        <w:adjustRightInd w:val="0"/>
        <w:snapToGrid w:val="0"/>
        <w:spacing w:line="240" w:lineRule="auto"/>
        <w:jc w:val="right"/>
        <w:rPr>
          <w:rFonts w:ascii="Times New Roman"/>
          <w:b/>
          <w:snapToGrid w:val="0"/>
          <w:color w:val="auto"/>
          <w:sz w:val="24"/>
          <w:highlight w:val="none"/>
        </w:rPr>
      </w:pPr>
    </w:p>
    <w:p w14:paraId="59746A92">
      <w:pPr>
        <w:pStyle w:val="72"/>
        <w:widowControl w:val="0"/>
        <w:wordWrap w:val="0"/>
        <w:adjustRightInd w:val="0"/>
        <w:snapToGrid w:val="0"/>
        <w:spacing w:line="240" w:lineRule="auto"/>
        <w:rPr>
          <w:rFonts w:ascii="Times New Roman"/>
          <w:b/>
          <w:snapToGrid w:val="0"/>
          <w:color w:val="auto"/>
          <w:sz w:val="24"/>
          <w:highlight w:val="none"/>
        </w:rPr>
      </w:pPr>
    </w:p>
    <w:p w14:paraId="0294BCEE">
      <w:pPr>
        <w:pStyle w:val="72"/>
        <w:widowControl w:val="0"/>
        <w:wordWrap w:val="0"/>
        <w:adjustRightInd w:val="0"/>
        <w:snapToGrid w:val="0"/>
        <w:spacing w:line="240" w:lineRule="auto"/>
        <w:rPr>
          <w:rFonts w:ascii="Times New Roman"/>
          <w:b/>
          <w:snapToGrid w:val="0"/>
          <w:color w:val="auto"/>
          <w:sz w:val="24"/>
          <w:highlight w:val="none"/>
        </w:rPr>
      </w:pPr>
    </w:p>
    <w:p w14:paraId="7513099E">
      <w:pPr>
        <w:pStyle w:val="72"/>
        <w:widowControl w:val="0"/>
        <w:wordWrap w:val="0"/>
        <w:adjustRightInd w:val="0"/>
        <w:snapToGrid w:val="0"/>
        <w:spacing w:line="240" w:lineRule="auto"/>
        <w:rPr>
          <w:rFonts w:ascii="Times New Roman"/>
          <w:b/>
          <w:snapToGrid w:val="0"/>
          <w:color w:val="auto"/>
          <w:sz w:val="24"/>
          <w:highlight w:val="none"/>
        </w:rPr>
      </w:pPr>
    </w:p>
    <w:p w14:paraId="4875FFE9">
      <w:pPr>
        <w:pStyle w:val="72"/>
        <w:widowControl w:val="0"/>
        <w:wordWrap w:val="0"/>
        <w:adjustRightInd w:val="0"/>
        <w:snapToGrid w:val="0"/>
        <w:spacing w:line="240" w:lineRule="auto"/>
        <w:rPr>
          <w:rFonts w:ascii="Times New Roman"/>
          <w:b/>
          <w:snapToGrid w:val="0"/>
          <w:color w:val="auto"/>
          <w:sz w:val="24"/>
          <w:highlight w:val="none"/>
        </w:rPr>
      </w:pPr>
    </w:p>
    <w:p w14:paraId="2D9D39D4">
      <w:pPr>
        <w:pStyle w:val="72"/>
        <w:widowControl w:val="0"/>
        <w:wordWrap w:val="0"/>
        <w:adjustRightInd w:val="0"/>
        <w:snapToGrid w:val="0"/>
        <w:spacing w:line="240" w:lineRule="auto"/>
        <w:rPr>
          <w:rFonts w:ascii="Times New Roman"/>
          <w:b/>
          <w:snapToGrid w:val="0"/>
          <w:color w:val="auto"/>
          <w:sz w:val="24"/>
          <w:highlight w:val="none"/>
        </w:rPr>
      </w:pPr>
    </w:p>
    <w:p w14:paraId="5F4307BB">
      <w:pPr>
        <w:pStyle w:val="72"/>
        <w:widowControl w:val="0"/>
        <w:wordWrap w:val="0"/>
        <w:adjustRightInd w:val="0"/>
        <w:snapToGrid w:val="0"/>
        <w:spacing w:line="240" w:lineRule="auto"/>
        <w:rPr>
          <w:rFonts w:ascii="Times New Roman"/>
          <w:b/>
          <w:snapToGrid w:val="0"/>
          <w:color w:val="auto"/>
          <w:sz w:val="24"/>
          <w:highlight w:val="none"/>
        </w:rPr>
      </w:pPr>
    </w:p>
    <w:p w14:paraId="0005A7BA">
      <w:pPr>
        <w:pStyle w:val="72"/>
        <w:widowControl w:val="0"/>
        <w:wordWrap w:val="0"/>
        <w:adjustRightInd w:val="0"/>
        <w:snapToGrid w:val="0"/>
        <w:spacing w:line="240" w:lineRule="auto"/>
        <w:rPr>
          <w:rFonts w:ascii="Times New Roman"/>
          <w:b/>
          <w:snapToGrid w:val="0"/>
          <w:color w:val="auto"/>
          <w:sz w:val="24"/>
          <w:highlight w:val="none"/>
        </w:rPr>
      </w:pPr>
    </w:p>
    <w:p w14:paraId="38D03B0C">
      <w:pPr>
        <w:pStyle w:val="72"/>
        <w:widowControl w:val="0"/>
        <w:wordWrap w:val="0"/>
        <w:adjustRightInd w:val="0"/>
        <w:snapToGrid w:val="0"/>
        <w:spacing w:line="240" w:lineRule="auto"/>
        <w:rPr>
          <w:rFonts w:ascii="Times New Roman"/>
          <w:b/>
          <w:snapToGrid w:val="0"/>
          <w:color w:val="auto"/>
          <w:sz w:val="24"/>
          <w:highlight w:val="none"/>
        </w:rPr>
      </w:pPr>
    </w:p>
    <w:p w14:paraId="01F56212">
      <w:pPr>
        <w:pStyle w:val="72"/>
        <w:widowControl w:val="0"/>
        <w:wordWrap w:val="0"/>
        <w:adjustRightInd w:val="0"/>
        <w:snapToGrid w:val="0"/>
        <w:spacing w:line="240" w:lineRule="auto"/>
        <w:ind w:firstLine="0"/>
        <w:jc w:val="center"/>
        <w:rPr>
          <w:rFonts w:ascii="Times New Roman"/>
          <w:b/>
          <w:snapToGrid w:val="0"/>
          <w:color w:val="auto"/>
          <w:sz w:val="48"/>
          <w:szCs w:val="48"/>
          <w:highlight w:val="none"/>
        </w:rPr>
      </w:pPr>
      <w:r>
        <w:rPr>
          <w:rFonts w:hint="eastAsia" w:ascii="Times New Roman"/>
          <w:bCs/>
          <w:snapToGrid w:val="0"/>
          <w:color w:val="auto"/>
          <w:sz w:val="48"/>
          <w:szCs w:val="48"/>
          <w:highlight w:val="none"/>
          <w:u w:val="single"/>
        </w:rPr>
        <w:t xml:space="preserve">             </w:t>
      </w:r>
      <w:r>
        <w:rPr>
          <w:rFonts w:hint="eastAsia" w:ascii="Times New Roman"/>
          <w:b/>
          <w:snapToGrid w:val="0"/>
          <w:color w:val="auto"/>
          <w:sz w:val="48"/>
          <w:szCs w:val="48"/>
          <w:highlight w:val="none"/>
        </w:rPr>
        <w:t>（项目名称）招标</w:t>
      </w:r>
    </w:p>
    <w:p w14:paraId="3BD1E3C7">
      <w:pPr>
        <w:pStyle w:val="72"/>
        <w:widowControl w:val="0"/>
        <w:wordWrap w:val="0"/>
        <w:adjustRightInd w:val="0"/>
        <w:snapToGrid w:val="0"/>
        <w:spacing w:line="240" w:lineRule="auto"/>
        <w:ind w:firstLine="0"/>
        <w:jc w:val="center"/>
        <w:rPr>
          <w:rFonts w:ascii="Times New Roman"/>
          <w:b/>
          <w:snapToGrid w:val="0"/>
          <w:color w:val="auto"/>
          <w:sz w:val="32"/>
          <w:highlight w:val="none"/>
        </w:rPr>
      </w:pPr>
    </w:p>
    <w:p w14:paraId="3D2A6112">
      <w:pPr>
        <w:pStyle w:val="72"/>
        <w:widowControl w:val="0"/>
        <w:wordWrap w:val="0"/>
        <w:adjustRightInd w:val="0"/>
        <w:snapToGrid w:val="0"/>
        <w:spacing w:line="240" w:lineRule="auto"/>
        <w:ind w:firstLine="0"/>
        <w:jc w:val="center"/>
        <w:rPr>
          <w:rFonts w:ascii="Times New Roman"/>
          <w:b/>
          <w:snapToGrid w:val="0"/>
          <w:color w:val="auto"/>
          <w:sz w:val="72"/>
          <w:highlight w:val="none"/>
        </w:rPr>
      </w:pPr>
      <w:r>
        <w:rPr>
          <w:rFonts w:hint="eastAsia" w:ascii="Times New Roman"/>
          <w:b/>
          <w:snapToGrid w:val="0"/>
          <w:color w:val="auto"/>
          <w:sz w:val="72"/>
          <w:highlight w:val="none"/>
        </w:rPr>
        <w:t>投  标  文  件</w:t>
      </w:r>
    </w:p>
    <w:p w14:paraId="5A4D8E98">
      <w:pPr>
        <w:pStyle w:val="72"/>
        <w:widowControl w:val="0"/>
        <w:wordWrap w:val="0"/>
        <w:adjustRightInd w:val="0"/>
        <w:snapToGrid w:val="0"/>
        <w:spacing w:line="240" w:lineRule="auto"/>
        <w:ind w:firstLine="0"/>
        <w:jc w:val="center"/>
        <w:rPr>
          <w:rFonts w:ascii="Times New Roman"/>
          <w:b/>
          <w:snapToGrid w:val="0"/>
          <w:color w:val="auto"/>
          <w:sz w:val="32"/>
          <w:highlight w:val="none"/>
        </w:rPr>
      </w:pPr>
    </w:p>
    <w:p w14:paraId="189B292E">
      <w:pPr>
        <w:pStyle w:val="72"/>
        <w:widowControl w:val="0"/>
        <w:wordWrap w:val="0"/>
        <w:adjustRightInd w:val="0"/>
        <w:snapToGrid w:val="0"/>
        <w:spacing w:line="240" w:lineRule="auto"/>
        <w:ind w:firstLine="0"/>
        <w:jc w:val="center"/>
        <w:rPr>
          <w:rFonts w:ascii="Times New Roman"/>
          <w:b/>
          <w:snapToGrid w:val="0"/>
          <w:color w:val="auto"/>
          <w:sz w:val="48"/>
          <w:szCs w:val="48"/>
          <w:highlight w:val="none"/>
        </w:rPr>
      </w:pPr>
      <w:r>
        <w:rPr>
          <w:rFonts w:hint="eastAsia" w:ascii="Times New Roman"/>
          <w:b/>
          <w:snapToGrid w:val="0"/>
          <w:color w:val="auto"/>
          <w:sz w:val="48"/>
          <w:szCs w:val="48"/>
          <w:highlight w:val="none"/>
        </w:rPr>
        <w:t>（商务标书／监理大纲／</w:t>
      </w:r>
      <w:r>
        <w:rPr>
          <w:rFonts w:hint="eastAsia" w:ascii="Times New Roman"/>
          <w:b/>
          <w:snapToGrid w:val="0"/>
          <w:color w:val="auto"/>
          <w:sz w:val="48"/>
          <w:szCs w:val="48"/>
          <w:highlight w:val="none"/>
          <w:lang w:val="en-US" w:eastAsia="zh-CN"/>
        </w:rPr>
        <w:t>定标文件</w:t>
      </w:r>
      <w:r>
        <w:rPr>
          <w:rFonts w:hint="eastAsia" w:ascii="Times New Roman"/>
          <w:b/>
          <w:snapToGrid w:val="0"/>
          <w:color w:val="auto"/>
          <w:sz w:val="48"/>
          <w:szCs w:val="48"/>
          <w:highlight w:val="none"/>
        </w:rPr>
        <w:t>）</w:t>
      </w:r>
    </w:p>
    <w:p w14:paraId="21D0A39E">
      <w:pPr>
        <w:pStyle w:val="72"/>
        <w:widowControl w:val="0"/>
        <w:wordWrap w:val="0"/>
        <w:adjustRightInd w:val="0"/>
        <w:snapToGrid w:val="0"/>
        <w:spacing w:line="240" w:lineRule="auto"/>
        <w:rPr>
          <w:rFonts w:ascii="Times New Roman"/>
          <w:b/>
          <w:snapToGrid w:val="0"/>
          <w:color w:val="auto"/>
          <w:highlight w:val="none"/>
        </w:rPr>
      </w:pPr>
    </w:p>
    <w:p w14:paraId="47BA86B9">
      <w:pPr>
        <w:pStyle w:val="72"/>
        <w:widowControl w:val="0"/>
        <w:wordWrap w:val="0"/>
        <w:adjustRightInd w:val="0"/>
        <w:snapToGrid w:val="0"/>
        <w:spacing w:line="240" w:lineRule="auto"/>
        <w:rPr>
          <w:rFonts w:ascii="Times New Roman"/>
          <w:b/>
          <w:snapToGrid w:val="0"/>
          <w:color w:val="auto"/>
          <w:sz w:val="32"/>
          <w:highlight w:val="none"/>
        </w:rPr>
      </w:pPr>
    </w:p>
    <w:p w14:paraId="65C3F1D5">
      <w:pPr>
        <w:pStyle w:val="72"/>
        <w:widowControl w:val="0"/>
        <w:wordWrap w:val="0"/>
        <w:adjustRightInd w:val="0"/>
        <w:snapToGrid w:val="0"/>
        <w:spacing w:line="240" w:lineRule="auto"/>
        <w:rPr>
          <w:rFonts w:ascii="Times New Roman"/>
          <w:b/>
          <w:snapToGrid w:val="0"/>
          <w:color w:val="auto"/>
          <w:sz w:val="32"/>
          <w:highlight w:val="none"/>
        </w:rPr>
      </w:pPr>
    </w:p>
    <w:p w14:paraId="04CF17A0">
      <w:pPr>
        <w:pStyle w:val="72"/>
        <w:widowControl w:val="0"/>
        <w:wordWrap w:val="0"/>
        <w:adjustRightInd w:val="0"/>
        <w:snapToGrid w:val="0"/>
        <w:spacing w:line="240" w:lineRule="auto"/>
        <w:rPr>
          <w:rFonts w:ascii="Times New Roman"/>
          <w:b/>
          <w:snapToGrid w:val="0"/>
          <w:color w:val="auto"/>
          <w:sz w:val="32"/>
          <w:highlight w:val="none"/>
        </w:rPr>
      </w:pPr>
    </w:p>
    <w:p w14:paraId="70B9E93C">
      <w:pPr>
        <w:pStyle w:val="72"/>
        <w:widowControl w:val="0"/>
        <w:wordWrap w:val="0"/>
        <w:adjustRightInd w:val="0"/>
        <w:snapToGrid w:val="0"/>
        <w:spacing w:line="240" w:lineRule="auto"/>
        <w:rPr>
          <w:rFonts w:ascii="Times New Roman"/>
          <w:b/>
          <w:snapToGrid w:val="0"/>
          <w:color w:val="auto"/>
          <w:sz w:val="32"/>
          <w:highlight w:val="none"/>
        </w:rPr>
      </w:pPr>
    </w:p>
    <w:p w14:paraId="1ECCE2FB">
      <w:pPr>
        <w:pStyle w:val="72"/>
        <w:widowControl w:val="0"/>
        <w:wordWrap w:val="0"/>
        <w:adjustRightInd w:val="0"/>
        <w:snapToGrid w:val="0"/>
        <w:spacing w:line="240" w:lineRule="auto"/>
        <w:rPr>
          <w:rFonts w:ascii="Times New Roman"/>
          <w:b/>
          <w:snapToGrid w:val="0"/>
          <w:color w:val="auto"/>
          <w:sz w:val="32"/>
          <w:highlight w:val="none"/>
        </w:rPr>
      </w:pPr>
    </w:p>
    <w:p w14:paraId="1EB2808C">
      <w:pPr>
        <w:pStyle w:val="72"/>
        <w:widowControl w:val="0"/>
        <w:wordWrap w:val="0"/>
        <w:adjustRightInd w:val="0"/>
        <w:snapToGrid w:val="0"/>
        <w:spacing w:line="240" w:lineRule="auto"/>
        <w:rPr>
          <w:rFonts w:ascii="Times New Roman"/>
          <w:b/>
          <w:snapToGrid w:val="0"/>
          <w:color w:val="auto"/>
          <w:sz w:val="32"/>
          <w:highlight w:val="none"/>
        </w:rPr>
      </w:pPr>
    </w:p>
    <w:p w14:paraId="759F596E">
      <w:pPr>
        <w:pStyle w:val="72"/>
        <w:widowControl w:val="0"/>
        <w:wordWrap w:val="0"/>
        <w:adjustRightInd w:val="0"/>
        <w:snapToGrid w:val="0"/>
        <w:spacing w:line="240" w:lineRule="auto"/>
        <w:rPr>
          <w:rFonts w:ascii="Times New Roman"/>
          <w:b/>
          <w:snapToGrid w:val="0"/>
          <w:color w:val="auto"/>
          <w:sz w:val="32"/>
          <w:highlight w:val="none"/>
        </w:rPr>
      </w:pPr>
    </w:p>
    <w:p w14:paraId="146D5E17">
      <w:pPr>
        <w:pStyle w:val="72"/>
        <w:widowControl w:val="0"/>
        <w:wordWrap w:val="0"/>
        <w:adjustRightInd w:val="0"/>
        <w:snapToGrid w:val="0"/>
        <w:spacing w:line="240" w:lineRule="auto"/>
        <w:rPr>
          <w:rFonts w:ascii="Times New Roman"/>
          <w:b/>
          <w:snapToGrid w:val="0"/>
          <w:color w:val="auto"/>
          <w:sz w:val="32"/>
          <w:highlight w:val="none"/>
        </w:rPr>
      </w:pPr>
    </w:p>
    <w:p w14:paraId="6742C860">
      <w:pPr>
        <w:pStyle w:val="72"/>
        <w:widowControl w:val="0"/>
        <w:wordWrap w:val="0"/>
        <w:adjustRightInd w:val="0"/>
        <w:snapToGrid w:val="0"/>
        <w:spacing w:line="240" w:lineRule="auto"/>
        <w:ind w:firstLine="0"/>
        <w:jc w:val="center"/>
        <w:rPr>
          <w:rFonts w:ascii="Times New Roman"/>
          <w:bCs/>
          <w:snapToGrid w:val="0"/>
          <w:color w:val="auto"/>
          <w:sz w:val="32"/>
          <w:highlight w:val="none"/>
        </w:rPr>
      </w:pPr>
      <w:r>
        <w:rPr>
          <w:rFonts w:hint="eastAsia" w:ascii="Times New Roman"/>
          <w:bCs/>
          <w:snapToGrid w:val="0"/>
          <w:color w:val="auto"/>
          <w:sz w:val="32"/>
          <w:highlight w:val="none"/>
        </w:rPr>
        <w:t>投标人：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（盖单位章）</w:t>
      </w:r>
    </w:p>
    <w:p w14:paraId="4DAF0F5D">
      <w:pPr>
        <w:pStyle w:val="72"/>
        <w:widowControl w:val="0"/>
        <w:wordWrap w:val="0"/>
        <w:adjustRightInd w:val="0"/>
        <w:snapToGrid w:val="0"/>
        <w:spacing w:line="240" w:lineRule="auto"/>
        <w:ind w:firstLine="0"/>
        <w:jc w:val="center"/>
        <w:rPr>
          <w:rFonts w:ascii="Times New Roman"/>
          <w:bCs/>
          <w:snapToGrid w:val="0"/>
          <w:color w:val="auto"/>
          <w:sz w:val="32"/>
          <w:highlight w:val="none"/>
        </w:rPr>
      </w:pPr>
    </w:p>
    <w:p w14:paraId="0642C6A2">
      <w:pPr>
        <w:pStyle w:val="72"/>
        <w:widowControl w:val="0"/>
        <w:wordWrap w:val="0"/>
        <w:adjustRightInd w:val="0"/>
        <w:snapToGrid w:val="0"/>
        <w:spacing w:line="240" w:lineRule="auto"/>
        <w:ind w:firstLine="0"/>
        <w:jc w:val="center"/>
        <w:rPr>
          <w:rFonts w:ascii="Times New Roman"/>
          <w:bCs/>
          <w:snapToGrid w:val="0"/>
          <w:color w:val="auto"/>
          <w:sz w:val="32"/>
          <w:highlight w:val="none"/>
        </w:rPr>
      </w:pPr>
    </w:p>
    <w:p w14:paraId="60435907">
      <w:pPr>
        <w:pStyle w:val="72"/>
        <w:widowControl w:val="0"/>
        <w:wordWrap w:val="0"/>
        <w:adjustRightInd w:val="0"/>
        <w:snapToGrid w:val="0"/>
        <w:spacing w:line="240" w:lineRule="auto"/>
        <w:ind w:firstLine="0"/>
        <w:jc w:val="center"/>
        <w:rPr>
          <w:rFonts w:ascii="Times New Roman"/>
          <w:bCs/>
          <w:snapToGrid w:val="0"/>
          <w:color w:val="auto"/>
          <w:sz w:val="32"/>
          <w:highlight w:val="none"/>
        </w:rPr>
      </w:pPr>
    </w:p>
    <w:p w14:paraId="6A449385">
      <w:pPr>
        <w:pStyle w:val="72"/>
        <w:widowControl w:val="0"/>
        <w:wordWrap w:val="0"/>
        <w:adjustRightInd w:val="0"/>
        <w:snapToGrid w:val="0"/>
        <w:spacing w:line="240" w:lineRule="auto"/>
        <w:ind w:firstLine="0"/>
        <w:jc w:val="center"/>
        <w:rPr>
          <w:rFonts w:ascii="Times New Roman"/>
          <w:bCs/>
          <w:snapToGrid w:val="0"/>
          <w:color w:val="auto"/>
          <w:sz w:val="32"/>
          <w:highlight w:val="none"/>
        </w:rPr>
      </w:pPr>
      <w:r>
        <w:rPr>
          <w:rFonts w:hint="eastAsia" w:ascii="Times New Roman"/>
          <w:bCs/>
          <w:snapToGrid w:val="0"/>
          <w:color w:val="auto"/>
          <w:sz w:val="32"/>
          <w:highlight w:val="none"/>
        </w:rPr>
        <w:t>法定代表人或其委托代理人：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（签字或盖章）</w:t>
      </w:r>
    </w:p>
    <w:p w14:paraId="234CEA92">
      <w:pPr>
        <w:pStyle w:val="72"/>
        <w:widowControl w:val="0"/>
        <w:wordWrap w:val="0"/>
        <w:adjustRightInd w:val="0"/>
        <w:snapToGrid w:val="0"/>
        <w:spacing w:line="240" w:lineRule="auto"/>
        <w:ind w:firstLine="0"/>
        <w:jc w:val="center"/>
        <w:rPr>
          <w:rFonts w:ascii="Times New Roman"/>
          <w:bCs/>
          <w:snapToGrid w:val="0"/>
          <w:color w:val="auto"/>
          <w:sz w:val="32"/>
          <w:highlight w:val="none"/>
        </w:rPr>
      </w:pPr>
    </w:p>
    <w:p w14:paraId="565FD46B">
      <w:pPr>
        <w:pStyle w:val="72"/>
        <w:widowControl w:val="0"/>
        <w:wordWrap w:val="0"/>
        <w:adjustRightInd w:val="0"/>
        <w:snapToGrid w:val="0"/>
        <w:spacing w:line="240" w:lineRule="auto"/>
        <w:ind w:firstLine="0"/>
        <w:jc w:val="center"/>
        <w:rPr>
          <w:rFonts w:ascii="Times New Roman"/>
          <w:bCs/>
          <w:snapToGrid w:val="0"/>
          <w:color w:val="auto"/>
          <w:sz w:val="32"/>
          <w:highlight w:val="none"/>
          <w:u w:val="single"/>
        </w:rPr>
      </w:pPr>
    </w:p>
    <w:p w14:paraId="1A771D3C">
      <w:pPr>
        <w:pStyle w:val="72"/>
        <w:widowControl w:val="0"/>
        <w:wordWrap w:val="0"/>
        <w:adjustRightInd w:val="0"/>
        <w:snapToGrid w:val="0"/>
        <w:spacing w:line="240" w:lineRule="auto"/>
        <w:ind w:firstLine="0"/>
        <w:jc w:val="center"/>
        <w:rPr>
          <w:rFonts w:ascii="Times New Roman"/>
          <w:b/>
          <w:snapToGrid w:val="0"/>
          <w:color w:val="auto"/>
          <w:highlight w:val="none"/>
        </w:rPr>
      </w:pP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年</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月</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日</w:t>
      </w:r>
    </w:p>
    <w:p w14:paraId="2B7C22CA">
      <w:pPr>
        <w:pStyle w:val="72"/>
        <w:widowControl w:val="0"/>
        <w:wordWrap w:val="0"/>
        <w:adjustRightInd w:val="0"/>
        <w:snapToGrid w:val="0"/>
        <w:rPr>
          <w:rFonts w:ascii="Times New Roman"/>
          <w:b/>
          <w:snapToGrid w:val="0"/>
          <w:color w:val="auto"/>
          <w:highlight w:val="none"/>
        </w:rPr>
      </w:pPr>
    </w:p>
    <w:p w14:paraId="60968DD1">
      <w:pPr>
        <w:pStyle w:val="72"/>
        <w:widowControl w:val="0"/>
        <w:wordWrap w:val="0"/>
        <w:adjustRightInd w:val="0"/>
        <w:snapToGrid w:val="0"/>
        <w:rPr>
          <w:rFonts w:ascii="Times New Roman"/>
          <w:b/>
          <w:snapToGrid w:val="0"/>
          <w:color w:val="auto"/>
          <w:highlight w:val="none"/>
        </w:rPr>
      </w:pPr>
    </w:p>
    <w:p w14:paraId="20B8FB5C">
      <w:pPr>
        <w:pStyle w:val="72"/>
        <w:widowControl w:val="0"/>
        <w:wordWrap w:val="0"/>
        <w:adjustRightInd w:val="0"/>
        <w:snapToGrid w:val="0"/>
        <w:rPr>
          <w:rFonts w:ascii="Times New Roman"/>
          <w:b/>
          <w:snapToGrid w:val="0"/>
          <w:color w:val="auto"/>
          <w:highlight w:val="none"/>
        </w:rPr>
        <w:sectPr>
          <w:endnotePr>
            <w:numFmt w:val="decimal"/>
          </w:endnotePr>
          <w:pgSz w:w="11906" w:h="16838"/>
          <w:pgMar w:top="1417" w:right="1417" w:bottom="1417" w:left="1417" w:header="850" w:footer="992" w:gutter="0"/>
          <w:cols w:space="0" w:num="1"/>
          <w:docGrid w:linePitch="327" w:charSpace="0"/>
        </w:sectPr>
      </w:pPr>
    </w:p>
    <w:p w14:paraId="15A266C5">
      <w:pPr>
        <w:pStyle w:val="3"/>
        <w:wordWrap w:val="0"/>
        <w:autoSpaceDE/>
        <w:autoSpaceDN/>
        <w:snapToGrid w:val="0"/>
        <w:spacing w:line="440" w:lineRule="exact"/>
        <w:rPr>
          <w:rFonts w:ascii="Times New Roman"/>
          <w:b/>
          <w:snapToGrid w:val="0"/>
          <w:color w:val="auto"/>
          <w:highlight w:val="none"/>
        </w:rPr>
      </w:pPr>
      <w:bookmarkStart w:id="305" w:name="_Toc19706"/>
      <w:bookmarkStart w:id="306" w:name="_Toc21838"/>
      <w:bookmarkStart w:id="307" w:name="_Toc106418843"/>
      <w:bookmarkStart w:id="308" w:name="_Toc104711098"/>
      <w:r>
        <w:rPr>
          <w:rFonts w:hint="eastAsia" w:ascii="Times New Roman"/>
          <w:b/>
          <w:snapToGrid w:val="0"/>
          <w:color w:val="auto"/>
          <w:highlight w:val="none"/>
        </w:rPr>
        <w:t>格式</w:t>
      </w:r>
      <w:bookmarkStart w:id="309" w:name="_Hlt97526007"/>
      <w:bookmarkEnd w:id="309"/>
      <w:r>
        <w:rPr>
          <w:rFonts w:hint="eastAsia" w:ascii="Times New Roman"/>
          <w:b/>
          <w:snapToGrid w:val="0"/>
          <w:color w:val="auto"/>
          <w:highlight w:val="none"/>
        </w:rPr>
        <w:t>二 投标函</w:t>
      </w:r>
      <w:bookmarkEnd w:id="305"/>
      <w:bookmarkEnd w:id="306"/>
    </w:p>
    <w:p w14:paraId="47DFBF08">
      <w:pPr>
        <w:wordWrap w:val="0"/>
        <w:adjustRightInd w:val="0"/>
        <w:snapToGrid w:val="0"/>
        <w:spacing w:before="260" w:after="260" w:line="440" w:lineRule="exact"/>
        <w:jc w:val="center"/>
        <w:rPr>
          <w:rFonts w:ascii="Times New Roman"/>
          <w:b/>
          <w:snapToGrid w:val="0"/>
          <w:color w:val="auto"/>
          <w:kern w:val="0"/>
          <w:highlight w:val="none"/>
        </w:rPr>
      </w:pPr>
      <w:r>
        <w:rPr>
          <w:rFonts w:hint="eastAsia" w:ascii="Times New Roman"/>
          <w:b/>
          <w:snapToGrid w:val="0"/>
          <w:color w:val="auto"/>
          <w:kern w:val="0"/>
          <w:sz w:val="30"/>
          <w:highlight w:val="none"/>
        </w:rPr>
        <w:t>投</w:t>
      </w:r>
      <w:r>
        <w:rPr>
          <w:rFonts w:ascii="Times New Roman"/>
          <w:b/>
          <w:snapToGrid w:val="0"/>
          <w:color w:val="auto"/>
          <w:kern w:val="0"/>
          <w:sz w:val="30"/>
          <w:highlight w:val="none"/>
        </w:rPr>
        <w:t xml:space="preserve">  </w:t>
      </w:r>
      <w:r>
        <w:rPr>
          <w:rFonts w:hint="eastAsia" w:ascii="Times New Roman"/>
          <w:b/>
          <w:snapToGrid w:val="0"/>
          <w:color w:val="auto"/>
          <w:kern w:val="0"/>
          <w:sz w:val="30"/>
          <w:highlight w:val="none"/>
        </w:rPr>
        <w:t>标</w:t>
      </w:r>
      <w:r>
        <w:rPr>
          <w:rFonts w:ascii="Times New Roman"/>
          <w:b/>
          <w:snapToGrid w:val="0"/>
          <w:color w:val="auto"/>
          <w:kern w:val="0"/>
          <w:sz w:val="30"/>
          <w:highlight w:val="none"/>
        </w:rPr>
        <w:t xml:space="preserve">  </w:t>
      </w:r>
      <w:r>
        <w:rPr>
          <w:rFonts w:hint="eastAsia" w:ascii="Times New Roman"/>
          <w:b/>
          <w:snapToGrid w:val="0"/>
          <w:color w:val="auto"/>
          <w:kern w:val="0"/>
          <w:sz w:val="30"/>
          <w:highlight w:val="none"/>
        </w:rPr>
        <w:t>函</w:t>
      </w:r>
      <w:bookmarkEnd w:id="307"/>
      <w:bookmarkEnd w:id="308"/>
    </w:p>
    <w:p w14:paraId="7699421D">
      <w:pPr>
        <w:wordWrap w:val="0"/>
        <w:adjustRightInd w:val="0"/>
        <w:snapToGrid w:val="0"/>
        <w:spacing w:line="440" w:lineRule="exact"/>
        <w:jc w:val="center"/>
        <w:rPr>
          <w:rFonts w:ascii="Times New Roman"/>
          <w:b/>
          <w:snapToGrid w:val="0"/>
          <w:color w:val="auto"/>
          <w:kern w:val="0"/>
          <w:highlight w:val="none"/>
        </w:rPr>
      </w:pPr>
    </w:p>
    <w:p w14:paraId="6A37BA44">
      <w:pPr>
        <w:wordWrap w:val="0"/>
        <w:adjustRightInd w:val="0"/>
        <w:snapToGrid w:val="0"/>
        <w:spacing w:line="440" w:lineRule="exact"/>
        <w:rPr>
          <w:rFonts w:ascii="Times New Roman"/>
          <w:snapToGrid w:val="0"/>
          <w:color w:val="auto"/>
          <w:kern w:val="0"/>
          <w:highlight w:val="none"/>
        </w:rPr>
      </w:pPr>
      <w:r>
        <w:rPr>
          <w:rFonts w:hint="eastAsia" w:ascii="Times New Roman"/>
          <w:snapToGrid w:val="0"/>
          <w:color w:val="auto"/>
          <w:kern w:val="0"/>
          <w:highlight w:val="none"/>
        </w:rPr>
        <w:t>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（招标人名称）</w:t>
      </w:r>
    </w:p>
    <w:p w14:paraId="72F2551D">
      <w:pPr>
        <w:wordWrap w:val="0"/>
        <w:adjustRightInd w:val="0"/>
        <w:snapToGrid w:val="0"/>
        <w:spacing w:line="500" w:lineRule="exact"/>
        <w:ind w:firstLine="570"/>
        <w:rPr>
          <w:rFonts w:hAnsi="宋体" w:cs="宋体"/>
          <w:snapToGrid w:val="0"/>
          <w:color w:val="auto"/>
          <w:kern w:val="0"/>
          <w:highlight w:val="none"/>
          <w:u w:val="single"/>
        </w:rPr>
      </w:pPr>
      <w:r>
        <w:rPr>
          <w:rFonts w:hint="eastAsia" w:hAnsi="宋体" w:cs="宋体"/>
          <w:snapToGrid w:val="0"/>
          <w:color w:val="auto"/>
          <w:kern w:val="0"/>
          <w:highlight w:val="none"/>
        </w:rPr>
        <w:t xml:space="preserve">1. </w:t>
      </w:r>
      <w:r>
        <w:rPr>
          <w:rFonts w:hint="eastAsia" w:hAnsi="宋体" w:cs="宋体"/>
          <w:snapToGrid w:val="0"/>
          <w:color w:val="auto"/>
          <w:kern w:val="0"/>
          <w:szCs w:val="22"/>
          <w:highlight w:val="none"/>
        </w:rPr>
        <w:t>我方在仔细研究</w:t>
      </w:r>
      <w:r>
        <w:rPr>
          <w:rFonts w:hint="eastAsia" w:hAnsi="宋体" w:cs="宋体"/>
          <w:snapToGrid w:val="0"/>
          <w:color w:val="auto"/>
          <w:kern w:val="0"/>
          <w:szCs w:val="22"/>
          <w:highlight w:val="none"/>
          <w:u w:val="single"/>
        </w:rPr>
        <w:t xml:space="preserve">              </w:t>
      </w:r>
      <w:r>
        <w:rPr>
          <w:rFonts w:hint="eastAsia" w:hAnsi="宋体" w:cs="宋体"/>
          <w:snapToGrid w:val="0"/>
          <w:color w:val="auto"/>
          <w:kern w:val="0"/>
          <w:szCs w:val="22"/>
          <w:highlight w:val="none"/>
        </w:rPr>
        <w:t>（项目名称）（以下简称“本项目”）监理招标文件的全部内容后，结合自身资质、能力和特点，愿意接受招标文件的全部内容和条件。兹以人民币（大写）：</w:t>
      </w:r>
      <w:r>
        <w:rPr>
          <w:rFonts w:hint="eastAsia" w:hAnsi="宋体" w:cs="宋体"/>
          <w:snapToGrid w:val="0"/>
          <w:color w:val="auto"/>
          <w:kern w:val="0"/>
          <w:szCs w:val="22"/>
          <w:highlight w:val="none"/>
          <w:u w:val="single"/>
        </w:rPr>
        <w:t xml:space="preserve">           </w:t>
      </w:r>
      <w:r>
        <w:rPr>
          <w:rFonts w:hint="eastAsia" w:hAnsi="宋体" w:cs="宋体"/>
          <w:snapToGrid w:val="0"/>
          <w:color w:val="auto"/>
          <w:kern w:val="0"/>
          <w:szCs w:val="22"/>
          <w:highlight w:val="none"/>
        </w:rPr>
        <w:t xml:space="preserve">（小写）：（¥ </w:t>
      </w:r>
      <w:r>
        <w:rPr>
          <w:rFonts w:hint="eastAsia" w:hAnsi="宋体" w:cs="宋体"/>
          <w:snapToGrid w:val="0"/>
          <w:color w:val="auto"/>
          <w:kern w:val="0"/>
          <w:szCs w:val="22"/>
          <w:highlight w:val="none"/>
          <w:u w:val="single"/>
        </w:rPr>
        <w:t xml:space="preserve">        </w:t>
      </w:r>
      <w:r>
        <w:rPr>
          <w:rFonts w:hint="eastAsia" w:hAnsi="宋体" w:cs="宋体"/>
          <w:snapToGrid w:val="0"/>
          <w:color w:val="auto"/>
          <w:kern w:val="0"/>
          <w:szCs w:val="22"/>
          <w:highlight w:val="none"/>
        </w:rPr>
        <w:t>）的投标总价（其中，增值税税率为</w:t>
      </w:r>
      <w:r>
        <w:rPr>
          <w:rFonts w:hint="eastAsia" w:hAnsi="宋体" w:cs="宋体"/>
          <w:snapToGrid w:val="0"/>
          <w:color w:val="auto"/>
          <w:kern w:val="0"/>
          <w:szCs w:val="22"/>
          <w:highlight w:val="none"/>
          <w:u w:val="single"/>
        </w:rPr>
        <w:t xml:space="preserve">    </w:t>
      </w:r>
      <w:r>
        <w:rPr>
          <w:rFonts w:hint="eastAsia" w:hAnsi="宋体" w:cs="宋体"/>
          <w:snapToGrid w:val="0"/>
          <w:color w:val="auto"/>
          <w:kern w:val="0"/>
          <w:szCs w:val="22"/>
          <w:highlight w:val="none"/>
        </w:rPr>
        <w:t>）竞投本项目监理及相关服务</w:t>
      </w:r>
      <w:r>
        <w:rPr>
          <w:rFonts w:hint="eastAsia" w:hAnsi="宋体" w:cs="宋体"/>
          <w:snapToGrid w:val="0"/>
          <w:color w:val="auto"/>
          <w:kern w:val="0"/>
          <w:szCs w:val="22"/>
          <w:highlight w:val="none"/>
          <w:lang w:eastAsia="zh-CN"/>
        </w:rPr>
        <w:t>，投标取费费率为</w:t>
      </w:r>
      <w:r>
        <w:rPr>
          <w:rFonts w:hint="eastAsia" w:hAnsi="宋体" w:cs="宋体"/>
          <w:snapToGrid w:val="0"/>
          <w:color w:val="auto"/>
          <w:kern w:val="0"/>
          <w:szCs w:val="22"/>
          <w:highlight w:val="none"/>
          <w:u w:val="single"/>
          <w:lang w:eastAsia="zh-CN"/>
        </w:rPr>
        <w:t xml:space="preserve">     </w:t>
      </w:r>
      <w:r>
        <w:rPr>
          <w:rFonts w:hint="eastAsia" w:hAnsi="宋体" w:cs="宋体"/>
          <w:snapToGrid w:val="0"/>
          <w:color w:val="auto"/>
          <w:kern w:val="0"/>
          <w:szCs w:val="22"/>
          <w:highlight w:val="none"/>
          <w:lang w:eastAsia="zh-CN"/>
        </w:rPr>
        <w:t>%</w:t>
      </w:r>
      <w:r>
        <w:rPr>
          <w:rFonts w:hint="eastAsia" w:hAnsi="宋体" w:cs="宋体"/>
          <w:snapToGrid w:val="0"/>
          <w:color w:val="auto"/>
          <w:kern w:val="0"/>
          <w:szCs w:val="22"/>
          <w:highlight w:val="none"/>
        </w:rPr>
        <w:t>。</w:t>
      </w:r>
    </w:p>
    <w:p w14:paraId="00F3B9EA">
      <w:pPr>
        <w:wordWrap w:val="0"/>
        <w:adjustRightInd w:val="0"/>
        <w:snapToGrid w:val="0"/>
        <w:spacing w:line="440" w:lineRule="exact"/>
        <w:ind w:firstLine="570"/>
        <w:rPr>
          <w:rFonts w:hAnsi="宋体" w:cs="宋体"/>
          <w:snapToGrid w:val="0"/>
          <w:color w:val="auto"/>
          <w:kern w:val="0"/>
          <w:highlight w:val="none"/>
        </w:rPr>
      </w:pPr>
      <w:r>
        <w:rPr>
          <w:rFonts w:hint="eastAsia" w:hAnsi="宋体" w:cs="宋体"/>
          <w:snapToGrid w:val="0"/>
          <w:color w:val="auto"/>
          <w:kern w:val="0"/>
          <w:highlight w:val="none"/>
        </w:rPr>
        <w:t>2. 如果我方中标，我方保证按照委托人发出的开始监理通知中写明的日期开始本项目的</w:t>
      </w:r>
      <w:r>
        <w:rPr>
          <w:rFonts w:hint="eastAsia" w:hAnsi="宋体" w:cs="宋体"/>
          <w:snapToGrid w:val="0"/>
          <w:color w:val="auto"/>
          <w:kern w:val="0"/>
          <w:highlight w:val="none"/>
          <w:u w:val="single"/>
        </w:rPr>
        <w:t xml:space="preserve"> 监理及相关服务 </w:t>
      </w:r>
      <w:r>
        <w:rPr>
          <w:rFonts w:hint="eastAsia" w:hAnsi="宋体" w:cs="宋体"/>
          <w:snapToGrid w:val="0"/>
          <w:color w:val="auto"/>
          <w:kern w:val="0"/>
          <w:highlight w:val="none"/>
        </w:rPr>
        <w:t>，并在合同约定的服务期限内完成合同规定的全部义务。</w:t>
      </w:r>
    </w:p>
    <w:p w14:paraId="15BBEB3D">
      <w:pPr>
        <w:wordWrap w:val="0"/>
        <w:adjustRightInd w:val="0"/>
        <w:snapToGrid w:val="0"/>
        <w:spacing w:line="440" w:lineRule="exact"/>
        <w:ind w:firstLine="570"/>
        <w:rPr>
          <w:rFonts w:hAnsi="宋体" w:cs="宋体"/>
          <w:snapToGrid w:val="0"/>
          <w:color w:val="auto"/>
          <w:kern w:val="0"/>
          <w:highlight w:val="none"/>
        </w:rPr>
      </w:pPr>
      <w:r>
        <w:rPr>
          <w:rFonts w:hint="eastAsia" w:hAnsi="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3731041C">
      <w:pPr>
        <w:wordWrap w:val="0"/>
        <w:adjustRightInd w:val="0"/>
        <w:snapToGrid w:val="0"/>
        <w:spacing w:line="440" w:lineRule="exact"/>
        <w:ind w:firstLine="570"/>
        <w:rPr>
          <w:rFonts w:hAnsi="宋体" w:cs="宋体"/>
          <w:snapToGrid w:val="0"/>
          <w:color w:val="auto"/>
          <w:kern w:val="0"/>
          <w:highlight w:val="none"/>
        </w:rPr>
      </w:pPr>
      <w:r>
        <w:rPr>
          <w:rFonts w:hint="eastAsia" w:hAnsi="宋体" w:cs="宋体"/>
          <w:snapToGrid w:val="0"/>
          <w:color w:val="auto"/>
          <w:kern w:val="0"/>
          <w:highlight w:val="none"/>
        </w:rPr>
        <w:t>4．我方在此声明，我方不存在本项目招标文件第一章第三节第</w:t>
      </w:r>
      <w:r>
        <w:rPr>
          <w:rFonts w:hint="eastAsia" w:hAnsi="宋体" w:cs="宋体"/>
          <w:b/>
          <w:bCs/>
          <w:snapToGrid w:val="0"/>
          <w:color w:val="auto"/>
          <w:kern w:val="0"/>
          <w:highlight w:val="none"/>
        </w:rPr>
        <w:t>2.4</w:t>
      </w:r>
      <w:r>
        <w:rPr>
          <w:rFonts w:hint="eastAsia" w:hAnsi="宋体" w:cs="宋体"/>
          <w:snapToGrid w:val="0"/>
          <w:color w:val="auto"/>
          <w:kern w:val="0"/>
          <w:highlight w:val="none"/>
        </w:rPr>
        <w:t>条“禁止投标条款”所列出的任何一种情形，并愿意承担因我方就此弄虚作假所引起的一切法律后果。</w:t>
      </w:r>
    </w:p>
    <w:p w14:paraId="50382544">
      <w:pPr>
        <w:wordWrap w:val="0"/>
        <w:adjustRightInd w:val="0"/>
        <w:snapToGrid w:val="0"/>
        <w:spacing w:line="440" w:lineRule="exact"/>
        <w:ind w:firstLine="570"/>
        <w:rPr>
          <w:rFonts w:hAnsi="宋体" w:cs="宋体"/>
          <w:snapToGrid w:val="0"/>
          <w:color w:val="auto"/>
          <w:kern w:val="0"/>
          <w:highlight w:val="none"/>
        </w:rPr>
      </w:pPr>
      <w:r>
        <w:rPr>
          <w:rFonts w:hint="eastAsia" w:hAnsi="宋体" w:cs="宋体"/>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076EB960">
      <w:pPr>
        <w:wordWrap w:val="0"/>
        <w:adjustRightInd w:val="0"/>
        <w:snapToGrid w:val="0"/>
        <w:spacing w:line="440" w:lineRule="exact"/>
        <w:ind w:firstLine="570"/>
        <w:rPr>
          <w:rFonts w:hAnsi="宋体" w:cs="宋体"/>
          <w:snapToGrid w:val="0"/>
          <w:color w:val="auto"/>
          <w:kern w:val="0"/>
          <w:highlight w:val="none"/>
        </w:rPr>
      </w:pPr>
      <w:bookmarkStart w:id="310" w:name="_Hlt68771070"/>
      <w:bookmarkEnd w:id="310"/>
      <w:r>
        <w:rPr>
          <w:rFonts w:hint="eastAsia" w:hAnsi="宋体" w:cs="宋体"/>
          <w:snapToGrid w:val="0"/>
          <w:color w:val="auto"/>
          <w:kern w:val="0"/>
          <w:highlight w:val="none"/>
        </w:rPr>
        <w:t>6. 我方理解你方不一定要接纳收到的最低投标总价或任何投标总价的投标人中标，也不要求你方解释我方是否中标的原因。</w:t>
      </w:r>
    </w:p>
    <w:p w14:paraId="1AF7B45F">
      <w:pPr>
        <w:wordWrap w:val="0"/>
        <w:adjustRightInd w:val="0"/>
        <w:snapToGrid w:val="0"/>
        <w:spacing w:line="440" w:lineRule="exact"/>
        <w:ind w:firstLine="570"/>
        <w:rPr>
          <w:rFonts w:ascii="Times New Roman"/>
          <w:snapToGrid w:val="0"/>
          <w:color w:val="auto"/>
          <w:kern w:val="0"/>
          <w:highlight w:val="none"/>
        </w:rPr>
      </w:pPr>
      <w:r>
        <w:rPr>
          <w:rFonts w:hint="eastAsia" w:ascii="Times New Roman"/>
          <w:snapToGrid w:val="0"/>
          <w:color w:val="auto"/>
          <w:kern w:val="0"/>
          <w:highlight w:val="none"/>
        </w:rPr>
        <w:t xml:space="preserve">  </w:t>
      </w:r>
    </w:p>
    <w:p w14:paraId="428C057D">
      <w:pPr>
        <w:wordWrap w:val="0"/>
        <w:adjustRightInd w:val="0"/>
        <w:snapToGrid w:val="0"/>
        <w:spacing w:line="440" w:lineRule="exact"/>
        <w:rPr>
          <w:rFonts w:ascii="Times New Roman"/>
          <w:snapToGrid w:val="0"/>
          <w:color w:val="auto"/>
          <w:kern w:val="0"/>
          <w:highlight w:val="none"/>
        </w:rPr>
      </w:pPr>
    </w:p>
    <w:p w14:paraId="276EABA1">
      <w:pPr>
        <w:wordWrap w:val="0"/>
        <w:adjustRightInd w:val="0"/>
        <w:snapToGrid w:val="0"/>
        <w:spacing w:line="440" w:lineRule="exact"/>
        <w:jc w:val="right"/>
        <w:rPr>
          <w:rFonts w:ascii="Times New Roman"/>
          <w:snapToGrid w:val="0"/>
          <w:color w:val="auto"/>
          <w:kern w:val="0"/>
          <w:highlight w:val="none"/>
        </w:rPr>
      </w:pPr>
      <w:r>
        <w:rPr>
          <w:rFonts w:hint="eastAsia" w:ascii="Times New Roman"/>
          <w:snapToGrid w:val="0"/>
          <w:color w:val="auto"/>
          <w:kern w:val="0"/>
          <w:highlight w:val="none"/>
        </w:rPr>
        <w:t xml:space="preserve">    投标人：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（盖单位章）</w:t>
      </w:r>
    </w:p>
    <w:p w14:paraId="4CA7B314">
      <w:pPr>
        <w:wordWrap w:val="0"/>
        <w:adjustRightInd w:val="0"/>
        <w:snapToGrid w:val="0"/>
        <w:spacing w:line="440" w:lineRule="exact"/>
        <w:jc w:val="right"/>
        <w:rPr>
          <w:rFonts w:ascii="Times New Roman"/>
          <w:snapToGrid w:val="0"/>
          <w:color w:val="auto"/>
          <w:kern w:val="0"/>
          <w:highlight w:val="none"/>
        </w:rPr>
      </w:pPr>
    </w:p>
    <w:p w14:paraId="387ED88C">
      <w:pPr>
        <w:wordWrap w:val="0"/>
        <w:adjustRightInd w:val="0"/>
        <w:snapToGrid w:val="0"/>
        <w:spacing w:line="440" w:lineRule="exact"/>
        <w:ind w:firstLine="480" w:firstLineChars="200"/>
        <w:jc w:val="right"/>
        <w:rPr>
          <w:rFonts w:ascii="Times New Roman"/>
          <w:snapToGrid w:val="0"/>
          <w:color w:val="auto"/>
          <w:kern w:val="0"/>
          <w:highlight w:val="none"/>
        </w:rPr>
      </w:pPr>
      <w:r>
        <w:rPr>
          <w:rFonts w:hint="eastAsia" w:ascii="Times New Roman"/>
          <w:snapToGrid w:val="0"/>
          <w:color w:val="auto"/>
          <w:kern w:val="0"/>
          <w:highlight w:val="none"/>
        </w:rPr>
        <w:t>法定代表人或其委托代理人：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（签字或盖章）</w:t>
      </w:r>
    </w:p>
    <w:p w14:paraId="54249B59">
      <w:pPr>
        <w:wordWrap w:val="0"/>
        <w:adjustRightInd w:val="0"/>
        <w:snapToGrid w:val="0"/>
        <w:spacing w:line="440" w:lineRule="exact"/>
        <w:ind w:firstLine="480" w:firstLineChars="200"/>
        <w:jc w:val="right"/>
        <w:rPr>
          <w:rFonts w:ascii="Times New Roman"/>
          <w:snapToGrid w:val="0"/>
          <w:color w:val="auto"/>
          <w:kern w:val="0"/>
          <w:highlight w:val="none"/>
        </w:rPr>
      </w:pPr>
    </w:p>
    <w:p w14:paraId="28DC9D94">
      <w:pPr>
        <w:wordWrap w:val="0"/>
        <w:adjustRightInd w:val="0"/>
        <w:snapToGrid w:val="0"/>
        <w:spacing w:line="440" w:lineRule="exact"/>
        <w:jc w:val="left"/>
        <w:rPr>
          <w:rFonts w:ascii="Times New Roman"/>
          <w:snapToGrid w:val="0"/>
          <w:color w:val="auto"/>
          <w:kern w:val="0"/>
          <w:highlight w:val="none"/>
        </w:rPr>
        <w:sectPr>
          <w:endnotePr>
            <w:numFmt w:val="decimal"/>
          </w:endnotePr>
          <w:pgSz w:w="11906" w:h="16838"/>
          <w:pgMar w:top="1417" w:right="1417" w:bottom="1417" w:left="1417" w:header="850" w:footer="992" w:gutter="0"/>
          <w:cols w:space="0" w:num="1"/>
          <w:docGrid w:linePitch="327" w:charSpace="0"/>
        </w:sect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25B8347D">
      <w:pPr>
        <w:pStyle w:val="72"/>
        <w:widowControl w:val="0"/>
        <w:wordWrap w:val="0"/>
        <w:adjustRightInd w:val="0"/>
        <w:snapToGrid w:val="0"/>
        <w:spacing w:line="400" w:lineRule="exact"/>
        <w:ind w:firstLine="0"/>
        <w:outlineLvl w:val="1"/>
        <w:rPr>
          <w:rFonts w:hAnsi="宋体" w:cs="宋体"/>
          <w:b/>
          <w:snapToGrid w:val="0"/>
          <w:color w:val="auto"/>
          <w:sz w:val="24"/>
          <w:highlight w:val="none"/>
        </w:rPr>
      </w:pPr>
      <w:bookmarkStart w:id="311" w:name="_Toc30827"/>
      <w:r>
        <w:rPr>
          <w:rFonts w:hint="eastAsia" w:hAnsi="宋体" w:cs="宋体"/>
          <w:b/>
          <w:snapToGrid w:val="0"/>
          <w:color w:val="auto"/>
          <w:sz w:val="24"/>
          <w:highlight w:val="none"/>
        </w:rPr>
        <w:t>格式三 各项承诺一览表</w:t>
      </w:r>
      <w:bookmarkEnd w:id="311"/>
    </w:p>
    <w:p w14:paraId="20B05016">
      <w:pPr>
        <w:pStyle w:val="71"/>
        <w:keepNext w:val="0"/>
        <w:keepLines w:val="0"/>
        <w:widowControl w:val="0"/>
        <w:wordWrap w:val="0"/>
        <w:adjustRightInd w:val="0"/>
        <w:snapToGrid w:val="0"/>
        <w:spacing w:before="260" w:after="260" w:line="440" w:lineRule="exact"/>
        <w:ind w:firstLine="0"/>
        <w:outlineLvl w:val="9"/>
        <w:rPr>
          <w:rFonts w:hAnsi="宋体" w:cs="宋体"/>
          <w:b/>
          <w:snapToGrid w:val="0"/>
          <w:color w:val="auto"/>
          <w:highlight w:val="none"/>
        </w:rPr>
      </w:pPr>
      <w:bookmarkStart w:id="312" w:name="_Toc7685"/>
      <w:bookmarkStart w:id="313" w:name="_Toc11270"/>
      <w:bookmarkStart w:id="314" w:name="_Toc24548"/>
      <w:bookmarkStart w:id="315" w:name="_Toc18253"/>
      <w:bookmarkStart w:id="316" w:name="_Toc27092"/>
      <w:r>
        <w:rPr>
          <w:rFonts w:hint="eastAsia" w:hAnsi="宋体" w:cs="宋体"/>
          <w:b/>
          <w:snapToGrid w:val="0"/>
          <w:color w:val="auto"/>
          <w:sz w:val="30"/>
          <w:highlight w:val="none"/>
        </w:rPr>
        <w:t>各项承诺一览表</w:t>
      </w:r>
      <w:bookmarkEnd w:id="312"/>
      <w:bookmarkEnd w:id="313"/>
      <w:bookmarkEnd w:id="314"/>
      <w:bookmarkEnd w:id="315"/>
      <w:bookmarkEnd w:id="316"/>
    </w:p>
    <w:tbl>
      <w:tblPr>
        <w:tblStyle w:val="31"/>
        <w:tblW w:w="9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14:paraId="4A97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716" w:type="dxa"/>
            <w:tcBorders>
              <w:tl2br w:val="nil"/>
              <w:tr2bl w:val="nil"/>
            </w:tcBorders>
            <w:vAlign w:val="center"/>
          </w:tcPr>
          <w:p w14:paraId="4B001337">
            <w:pPr>
              <w:pStyle w:val="73"/>
              <w:wordWrap w:val="0"/>
              <w:adjustRightInd w:val="0"/>
              <w:snapToGrid w:val="0"/>
              <w:spacing w:line="380" w:lineRule="exact"/>
              <w:jc w:val="center"/>
              <w:rPr>
                <w:rFonts w:hAnsi="宋体" w:cs="宋体"/>
                <w:b/>
                <w:bCs w:val="0"/>
                <w:snapToGrid w:val="0"/>
                <w:color w:val="auto"/>
                <w:kern w:val="0"/>
                <w:szCs w:val="21"/>
                <w:highlight w:val="none"/>
              </w:rPr>
            </w:pPr>
            <w:r>
              <w:rPr>
                <w:rFonts w:hint="eastAsia" w:hAnsi="宋体" w:cs="宋体"/>
                <w:b/>
                <w:bCs w:val="0"/>
                <w:snapToGrid w:val="0"/>
                <w:color w:val="auto"/>
                <w:kern w:val="0"/>
                <w:szCs w:val="21"/>
                <w:highlight w:val="none"/>
              </w:rPr>
              <w:t>序号</w:t>
            </w:r>
          </w:p>
        </w:tc>
        <w:tc>
          <w:tcPr>
            <w:tcW w:w="1573" w:type="dxa"/>
            <w:tcBorders>
              <w:tl2br w:val="nil"/>
              <w:tr2bl w:val="nil"/>
            </w:tcBorders>
            <w:vAlign w:val="center"/>
          </w:tcPr>
          <w:p w14:paraId="0DD645C3">
            <w:pPr>
              <w:pStyle w:val="73"/>
              <w:wordWrap w:val="0"/>
              <w:adjustRightInd w:val="0"/>
              <w:snapToGrid w:val="0"/>
              <w:spacing w:line="380" w:lineRule="exact"/>
              <w:jc w:val="center"/>
              <w:rPr>
                <w:rFonts w:hAnsi="宋体" w:cs="宋体"/>
                <w:b/>
                <w:bCs w:val="0"/>
                <w:snapToGrid w:val="0"/>
                <w:color w:val="auto"/>
                <w:kern w:val="0"/>
                <w:szCs w:val="21"/>
                <w:highlight w:val="none"/>
              </w:rPr>
            </w:pPr>
            <w:r>
              <w:rPr>
                <w:rFonts w:hint="eastAsia" w:hAnsi="宋体" w:cs="宋体"/>
                <w:b/>
                <w:bCs w:val="0"/>
                <w:snapToGrid w:val="0"/>
                <w:color w:val="auto"/>
                <w:kern w:val="0"/>
                <w:szCs w:val="21"/>
                <w:highlight w:val="none"/>
              </w:rPr>
              <w:t>承诺事项</w:t>
            </w:r>
          </w:p>
        </w:tc>
        <w:tc>
          <w:tcPr>
            <w:tcW w:w="2923" w:type="dxa"/>
            <w:tcBorders>
              <w:tl2br w:val="nil"/>
              <w:tr2bl w:val="nil"/>
            </w:tcBorders>
            <w:vAlign w:val="center"/>
          </w:tcPr>
          <w:p w14:paraId="286917BA">
            <w:pPr>
              <w:pStyle w:val="73"/>
              <w:wordWrap w:val="0"/>
              <w:adjustRightInd w:val="0"/>
              <w:snapToGrid w:val="0"/>
              <w:spacing w:line="380" w:lineRule="exact"/>
              <w:jc w:val="center"/>
              <w:rPr>
                <w:rFonts w:hAnsi="宋体" w:cs="宋体"/>
                <w:b/>
                <w:bCs w:val="0"/>
                <w:snapToGrid w:val="0"/>
                <w:color w:val="auto"/>
                <w:kern w:val="0"/>
                <w:szCs w:val="21"/>
                <w:highlight w:val="none"/>
              </w:rPr>
            </w:pPr>
            <w:r>
              <w:rPr>
                <w:rFonts w:hint="eastAsia" w:hAnsi="宋体" w:cs="宋体"/>
                <w:b/>
                <w:bCs w:val="0"/>
                <w:snapToGrid w:val="0"/>
                <w:color w:val="auto"/>
                <w:kern w:val="0"/>
                <w:szCs w:val="21"/>
                <w:highlight w:val="none"/>
              </w:rPr>
              <w:t>承诺内容</w:t>
            </w:r>
          </w:p>
        </w:tc>
        <w:tc>
          <w:tcPr>
            <w:tcW w:w="4019" w:type="dxa"/>
            <w:tcBorders>
              <w:tl2br w:val="nil"/>
              <w:tr2bl w:val="nil"/>
            </w:tcBorders>
            <w:vAlign w:val="center"/>
          </w:tcPr>
          <w:p w14:paraId="5A051E55">
            <w:pPr>
              <w:pStyle w:val="73"/>
              <w:wordWrap w:val="0"/>
              <w:adjustRightInd w:val="0"/>
              <w:snapToGrid w:val="0"/>
              <w:spacing w:line="380" w:lineRule="exact"/>
              <w:jc w:val="center"/>
              <w:rPr>
                <w:rFonts w:hAnsi="宋体" w:cs="宋体"/>
                <w:b/>
                <w:bCs w:val="0"/>
                <w:snapToGrid w:val="0"/>
                <w:color w:val="auto"/>
                <w:kern w:val="0"/>
                <w:szCs w:val="21"/>
                <w:highlight w:val="none"/>
              </w:rPr>
            </w:pPr>
            <w:r>
              <w:rPr>
                <w:rFonts w:hint="eastAsia" w:hAnsi="宋体" w:cs="宋体"/>
                <w:b/>
                <w:bCs w:val="0"/>
                <w:snapToGrid w:val="0"/>
                <w:color w:val="auto"/>
                <w:kern w:val="0"/>
                <w:szCs w:val="21"/>
                <w:highlight w:val="none"/>
              </w:rPr>
              <w:t>违约承诺</w:t>
            </w:r>
          </w:p>
        </w:tc>
      </w:tr>
      <w:tr w14:paraId="26E7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5" w:hRule="atLeast"/>
          <w:jc w:val="center"/>
        </w:trPr>
        <w:tc>
          <w:tcPr>
            <w:tcW w:w="716" w:type="dxa"/>
            <w:tcBorders>
              <w:tl2br w:val="nil"/>
              <w:tr2bl w:val="nil"/>
            </w:tcBorders>
            <w:vAlign w:val="center"/>
          </w:tcPr>
          <w:p w14:paraId="50B6AAF4">
            <w:pPr>
              <w:pStyle w:val="73"/>
              <w:keepNext w:val="0"/>
              <w:keepLines w:val="0"/>
              <w:pageBreakBefore w:val="0"/>
              <w:widowControl w:val="0"/>
              <w:kinsoku/>
              <w:wordWrap w:val="0"/>
              <w:overflowPunct/>
              <w:topLinePunct w:val="0"/>
              <w:autoSpaceDE/>
              <w:autoSpaceDN/>
              <w:bidi w:val="0"/>
              <w:adjustRightInd w:val="0"/>
              <w:snapToGrid w:val="0"/>
              <w:spacing w:line="420" w:lineRule="exact"/>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1</w:t>
            </w:r>
          </w:p>
        </w:tc>
        <w:tc>
          <w:tcPr>
            <w:tcW w:w="1573" w:type="dxa"/>
            <w:tcBorders>
              <w:tl2br w:val="nil"/>
              <w:tr2bl w:val="nil"/>
            </w:tcBorders>
            <w:vAlign w:val="center"/>
          </w:tcPr>
          <w:p w14:paraId="746B30D1">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0" w:firstLineChars="0"/>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自愿接受招标</w:t>
            </w:r>
          </w:p>
          <w:p w14:paraId="71ED28BC">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0" w:firstLineChars="0"/>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文件条款的承诺</w:t>
            </w:r>
          </w:p>
        </w:tc>
        <w:tc>
          <w:tcPr>
            <w:tcW w:w="2923" w:type="dxa"/>
            <w:tcBorders>
              <w:tl2br w:val="nil"/>
              <w:tr2bl w:val="nil"/>
            </w:tcBorders>
            <w:vAlign w:val="center"/>
          </w:tcPr>
          <w:p w14:paraId="2D307866">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420"/>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我方自愿接受招标文件的所有条款，所递交的投标文件已经充分响应招标文件的实质性要求。</w:t>
            </w:r>
          </w:p>
        </w:tc>
        <w:tc>
          <w:tcPr>
            <w:tcW w:w="4019" w:type="dxa"/>
            <w:tcBorders>
              <w:tl2br w:val="nil"/>
              <w:tr2bl w:val="nil"/>
            </w:tcBorders>
            <w:vAlign w:val="center"/>
          </w:tcPr>
          <w:p w14:paraId="7541C798">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420"/>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2B888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5" w:hRule="atLeast"/>
          <w:jc w:val="center"/>
        </w:trPr>
        <w:tc>
          <w:tcPr>
            <w:tcW w:w="716" w:type="dxa"/>
            <w:tcBorders>
              <w:tl2br w:val="nil"/>
              <w:tr2bl w:val="nil"/>
            </w:tcBorders>
            <w:vAlign w:val="center"/>
          </w:tcPr>
          <w:p w14:paraId="12659488">
            <w:pPr>
              <w:pStyle w:val="73"/>
              <w:keepNext w:val="0"/>
              <w:keepLines w:val="0"/>
              <w:pageBreakBefore w:val="0"/>
              <w:widowControl w:val="0"/>
              <w:kinsoku/>
              <w:wordWrap w:val="0"/>
              <w:overflowPunct/>
              <w:topLinePunct w:val="0"/>
              <w:autoSpaceDE/>
              <w:autoSpaceDN/>
              <w:bidi w:val="0"/>
              <w:adjustRightInd w:val="0"/>
              <w:snapToGrid w:val="0"/>
              <w:spacing w:line="420" w:lineRule="exact"/>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2</w:t>
            </w:r>
          </w:p>
        </w:tc>
        <w:tc>
          <w:tcPr>
            <w:tcW w:w="1573" w:type="dxa"/>
            <w:tcBorders>
              <w:tl2br w:val="nil"/>
              <w:tr2bl w:val="nil"/>
            </w:tcBorders>
            <w:vAlign w:val="center"/>
          </w:tcPr>
          <w:p w14:paraId="4E13328C">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0" w:firstLineChars="0"/>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无禁止投标</w:t>
            </w:r>
          </w:p>
          <w:p w14:paraId="2E04458C">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0" w:firstLineChars="0"/>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情形的承诺</w:t>
            </w:r>
          </w:p>
        </w:tc>
        <w:tc>
          <w:tcPr>
            <w:tcW w:w="2923" w:type="dxa"/>
            <w:tcBorders>
              <w:tl2br w:val="nil"/>
              <w:tr2bl w:val="nil"/>
            </w:tcBorders>
            <w:vAlign w:val="center"/>
          </w:tcPr>
          <w:p w14:paraId="6A2783C9">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420"/>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我方不存在招标文件第一章第三节第</w:t>
            </w:r>
            <w:r>
              <w:rPr>
                <w:rFonts w:hint="eastAsia" w:hAnsi="宋体" w:cs="宋体"/>
                <w:b/>
                <w:bCs/>
                <w:snapToGrid w:val="0"/>
                <w:color w:val="auto"/>
                <w:kern w:val="0"/>
                <w:sz w:val="21"/>
                <w:szCs w:val="21"/>
                <w:highlight w:val="none"/>
              </w:rPr>
              <w:t>2.4</w:t>
            </w:r>
            <w:r>
              <w:rPr>
                <w:rFonts w:hint="eastAsia" w:hAnsi="宋体" w:cs="宋体"/>
                <w:snapToGrid w:val="0"/>
                <w:color w:val="auto"/>
                <w:kern w:val="0"/>
                <w:sz w:val="21"/>
                <w:szCs w:val="21"/>
                <w:highlight w:val="none"/>
              </w:rPr>
              <w:t>条“禁止投标条款”规定的任何一种情形。</w:t>
            </w:r>
          </w:p>
        </w:tc>
        <w:tc>
          <w:tcPr>
            <w:tcW w:w="4019" w:type="dxa"/>
            <w:tcBorders>
              <w:tl2br w:val="nil"/>
              <w:tr2bl w:val="nil"/>
            </w:tcBorders>
            <w:vAlign w:val="center"/>
          </w:tcPr>
          <w:p w14:paraId="60B01B1E">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420"/>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如果我方有招标文件第一章第三节第</w:t>
            </w:r>
            <w:r>
              <w:rPr>
                <w:rFonts w:hint="eastAsia" w:hAnsi="宋体" w:cs="宋体"/>
                <w:b/>
                <w:bCs/>
                <w:snapToGrid w:val="0"/>
                <w:color w:val="auto"/>
                <w:kern w:val="0"/>
                <w:sz w:val="21"/>
                <w:szCs w:val="21"/>
                <w:highlight w:val="none"/>
              </w:rPr>
              <w:t>2.4</w:t>
            </w:r>
            <w:r>
              <w:rPr>
                <w:rFonts w:hint="eastAsia" w:hAnsi="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6E90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0" w:hRule="atLeast"/>
          <w:jc w:val="center"/>
        </w:trPr>
        <w:tc>
          <w:tcPr>
            <w:tcW w:w="716" w:type="dxa"/>
            <w:tcBorders>
              <w:tl2br w:val="nil"/>
              <w:tr2bl w:val="nil"/>
            </w:tcBorders>
            <w:vAlign w:val="center"/>
          </w:tcPr>
          <w:p w14:paraId="04B047BD">
            <w:pPr>
              <w:pStyle w:val="73"/>
              <w:keepNext w:val="0"/>
              <w:keepLines w:val="0"/>
              <w:pageBreakBefore w:val="0"/>
              <w:widowControl w:val="0"/>
              <w:kinsoku/>
              <w:wordWrap w:val="0"/>
              <w:overflowPunct/>
              <w:topLinePunct w:val="0"/>
              <w:autoSpaceDE/>
              <w:autoSpaceDN/>
              <w:bidi w:val="0"/>
              <w:adjustRightInd w:val="0"/>
              <w:snapToGrid w:val="0"/>
              <w:spacing w:line="420" w:lineRule="exact"/>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3</w:t>
            </w:r>
          </w:p>
        </w:tc>
        <w:tc>
          <w:tcPr>
            <w:tcW w:w="1573" w:type="dxa"/>
            <w:tcBorders>
              <w:tl2br w:val="nil"/>
              <w:tr2bl w:val="nil"/>
            </w:tcBorders>
            <w:vAlign w:val="center"/>
          </w:tcPr>
          <w:p w14:paraId="7327796A">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0" w:firstLineChars="0"/>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自觉抵制围标</w:t>
            </w:r>
          </w:p>
          <w:p w14:paraId="6537DAA0">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0" w:firstLineChars="0"/>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串标和弄虚</w:t>
            </w:r>
          </w:p>
          <w:p w14:paraId="3A865B06">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0" w:firstLineChars="0"/>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作假行为的承诺</w:t>
            </w:r>
          </w:p>
        </w:tc>
        <w:tc>
          <w:tcPr>
            <w:tcW w:w="2923" w:type="dxa"/>
            <w:tcBorders>
              <w:tl2br w:val="nil"/>
              <w:tr2bl w:val="nil"/>
            </w:tcBorders>
            <w:vAlign w:val="center"/>
          </w:tcPr>
          <w:p w14:paraId="1074D0F2">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420"/>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我方合法正当、诚实守信地参与投标，不组织、不参加围标串标违法行为，不通过弄虚作假行为骗取中标。</w:t>
            </w:r>
          </w:p>
        </w:tc>
        <w:tc>
          <w:tcPr>
            <w:tcW w:w="4019" w:type="dxa"/>
            <w:tcBorders>
              <w:tl2br w:val="nil"/>
              <w:tr2bl w:val="nil"/>
            </w:tcBorders>
            <w:vAlign w:val="center"/>
          </w:tcPr>
          <w:p w14:paraId="0E604D83">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420"/>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1398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0" w:hRule="atLeast"/>
          <w:jc w:val="center"/>
        </w:trPr>
        <w:tc>
          <w:tcPr>
            <w:tcW w:w="716" w:type="dxa"/>
            <w:tcBorders>
              <w:tl2br w:val="nil"/>
              <w:tr2bl w:val="nil"/>
            </w:tcBorders>
            <w:vAlign w:val="center"/>
          </w:tcPr>
          <w:p w14:paraId="4E26FD04">
            <w:pPr>
              <w:pStyle w:val="73"/>
              <w:keepNext w:val="0"/>
              <w:keepLines w:val="0"/>
              <w:pageBreakBefore w:val="0"/>
              <w:widowControl w:val="0"/>
              <w:kinsoku/>
              <w:wordWrap w:val="0"/>
              <w:overflowPunct/>
              <w:topLinePunct w:val="0"/>
              <w:autoSpaceDE/>
              <w:autoSpaceDN/>
              <w:bidi w:val="0"/>
              <w:adjustRightInd w:val="0"/>
              <w:snapToGrid w:val="0"/>
              <w:spacing w:line="420" w:lineRule="exact"/>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4</w:t>
            </w:r>
          </w:p>
        </w:tc>
        <w:tc>
          <w:tcPr>
            <w:tcW w:w="1573" w:type="dxa"/>
            <w:tcBorders>
              <w:tl2br w:val="nil"/>
              <w:tr2bl w:val="nil"/>
            </w:tcBorders>
            <w:vAlign w:val="center"/>
          </w:tcPr>
          <w:p w14:paraId="754EDB94">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0" w:firstLineChars="0"/>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总监理工程师</w:t>
            </w:r>
          </w:p>
          <w:p w14:paraId="4D5B47CB">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0" w:firstLineChars="0"/>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任职承诺</w:t>
            </w:r>
          </w:p>
        </w:tc>
        <w:tc>
          <w:tcPr>
            <w:tcW w:w="2923" w:type="dxa"/>
            <w:tcBorders>
              <w:tl2br w:val="nil"/>
              <w:tr2bl w:val="nil"/>
            </w:tcBorders>
            <w:vAlign w:val="center"/>
          </w:tcPr>
          <w:p w14:paraId="0015B20B">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0" w:firstLineChars="0"/>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 xml:space="preserve">    我方拟派总监理工程师现阶段担任总监理工程师的在施（包括已中标未开工、已开工未竣工）建设工程项目不超过2个，经任职项目的建设单位同意，参加本项目投标。</w:t>
            </w:r>
          </w:p>
        </w:tc>
        <w:tc>
          <w:tcPr>
            <w:tcW w:w="4019" w:type="dxa"/>
            <w:tcBorders>
              <w:tl2br w:val="nil"/>
              <w:tr2bl w:val="nil"/>
            </w:tcBorders>
            <w:vAlign w:val="center"/>
          </w:tcPr>
          <w:p w14:paraId="25D3446D">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420"/>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如果我方拟派总监理工程师在本项目招标投标活动期间担任总监理工程师的在施（包括已中标未开工、已开工未竣工）建设工程项目超过2个，或其参加本项目投标未得到任职项目的建设单位同意，我方接受招标人或其授权的招标代理机构或其组建的评标委员会依据招标文件作出的相应处理以及有关监督部门作出的行政处罚，并承担由此引起的一切法律后果。</w:t>
            </w:r>
          </w:p>
        </w:tc>
      </w:tr>
      <w:tr w14:paraId="5C95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5" w:hRule="atLeast"/>
          <w:jc w:val="center"/>
        </w:trPr>
        <w:tc>
          <w:tcPr>
            <w:tcW w:w="716" w:type="dxa"/>
            <w:tcBorders>
              <w:tl2br w:val="nil"/>
              <w:tr2bl w:val="nil"/>
            </w:tcBorders>
            <w:vAlign w:val="center"/>
          </w:tcPr>
          <w:p w14:paraId="6161C08F">
            <w:pPr>
              <w:pStyle w:val="73"/>
              <w:keepNext w:val="0"/>
              <w:keepLines w:val="0"/>
              <w:pageBreakBefore w:val="0"/>
              <w:widowControl w:val="0"/>
              <w:kinsoku/>
              <w:wordWrap w:val="0"/>
              <w:overflowPunct/>
              <w:topLinePunct w:val="0"/>
              <w:autoSpaceDE/>
              <w:autoSpaceDN/>
              <w:bidi w:val="0"/>
              <w:adjustRightInd w:val="0"/>
              <w:snapToGrid w:val="0"/>
              <w:spacing w:line="420" w:lineRule="exact"/>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5</w:t>
            </w:r>
          </w:p>
        </w:tc>
        <w:tc>
          <w:tcPr>
            <w:tcW w:w="1573" w:type="dxa"/>
            <w:tcBorders>
              <w:tl2br w:val="nil"/>
              <w:tr2bl w:val="nil"/>
            </w:tcBorders>
            <w:vAlign w:val="center"/>
          </w:tcPr>
          <w:p w14:paraId="003F6C1C">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0" w:firstLineChars="0"/>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投标文件</w:t>
            </w:r>
          </w:p>
          <w:p w14:paraId="56563611">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0" w:firstLineChars="0"/>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真实性承诺</w:t>
            </w:r>
          </w:p>
        </w:tc>
        <w:tc>
          <w:tcPr>
            <w:tcW w:w="2923" w:type="dxa"/>
            <w:tcBorders>
              <w:tl2br w:val="nil"/>
              <w:tr2bl w:val="nil"/>
            </w:tcBorders>
            <w:vAlign w:val="center"/>
          </w:tcPr>
          <w:p w14:paraId="3AAF78A2">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420"/>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我方所递交投标文件的全部内容均为真实、有效、准确的。</w:t>
            </w:r>
          </w:p>
        </w:tc>
        <w:tc>
          <w:tcPr>
            <w:tcW w:w="4019" w:type="dxa"/>
            <w:tcBorders>
              <w:tl2br w:val="nil"/>
              <w:tr2bl w:val="nil"/>
            </w:tcBorders>
            <w:vAlign w:val="center"/>
          </w:tcPr>
          <w:p w14:paraId="537798B9">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420"/>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4EF0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tcBorders>
              <w:tl2br w:val="nil"/>
              <w:tr2bl w:val="nil"/>
            </w:tcBorders>
            <w:vAlign w:val="center"/>
          </w:tcPr>
          <w:p w14:paraId="35D8F9CC">
            <w:pPr>
              <w:pStyle w:val="73"/>
              <w:keepNext w:val="0"/>
              <w:keepLines w:val="0"/>
              <w:pageBreakBefore w:val="0"/>
              <w:widowControl w:val="0"/>
              <w:kinsoku/>
              <w:wordWrap w:val="0"/>
              <w:overflowPunct/>
              <w:topLinePunct w:val="0"/>
              <w:autoSpaceDE/>
              <w:autoSpaceDN/>
              <w:bidi w:val="0"/>
              <w:adjustRightInd w:val="0"/>
              <w:snapToGrid w:val="0"/>
              <w:spacing w:line="420" w:lineRule="exact"/>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6</w:t>
            </w:r>
          </w:p>
        </w:tc>
        <w:tc>
          <w:tcPr>
            <w:tcW w:w="1573" w:type="dxa"/>
            <w:tcBorders>
              <w:tl2br w:val="nil"/>
              <w:tr2bl w:val="nil"/>
            </w:tcBorders>
            <w:vAlign w:val="center"/>
          </w:tcPr>
          <w:p w14:paraId="4626B0C9">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0" w:firstLineChars="0"/>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投标文件</w:t>
            </w:r>
          </w:p>
          <w:p w14:paraId="3294E70E">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0" w:firstLineChars="0"/>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信息公开承诺</w:t>
            </w:r>
          </w:p>
        </w:tc>
        <w:tc>
          <w:tcPr>
            <w:tcW w:w="2923" w:type="dxa"/>
            <w:tcBorders>
              <w:tl2br w:val="nil"/>
              <w:tr2bl w:val="nil"/>
            </w:tcBorders>
            <w:vAlign w:val="center"/>
          </w:tcPr>
          <w:p w14:paraId="0BD5A69B">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420"/>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我方提供完整的电子文件。如果我方成为本招标项目中标候选人，我方同意并授权招标人在评标结果公示期内公开我方商务标书的全部内容。</w:t>
            </w:r>
          </w:p>
        </w:tc>
        <w:tc>
          <w:tcPr>
            <w:tcW w:w="4019" w:type="dxa"/>
            <w:tcBorders>
              <w:tl2br w:val="nil"/>
              <w:tr2bl w:val="nil"/>
            </w:tcBorders>
            <w:vAlign w:val="center"/>
          </w:tcPr>
          <w:p w14:paraId="47B1FADB">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0" w:firstLineChars="0"/>
              <w:jc w:val="left"/>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 xml:space="preserve">    /</w:t>
            </w:r>
          </w:p>
        </w:tc>
      </w:tr>
      <w:tr w14:paraId="5131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tcBorders>
              <w:tl2br w:val="nil"/>
              <w:tr2bl w:val="nil"/>
            </w:tcBorders>
            <w:vAlign w:val="center"/>
          </w:tcPr>
          <w:p w14:paraId="4A4C9368">
            <w:pPr>
              <w:pStyle w:val="73"/>
              <w:keepNext w:val="0"/>
              <w:keepLines w:val="0"/>
              <w:pageBreakBefore w:val="0"/>
              <w:widowControl w:val="0"/>
              <w:kinsoku/>
              <w:wordWrap w:val="0"/>
              <w:overflowPunct/>
              <w:topLinePunct w:val="0"/>
              <w:autoSpaceDE/>
              <w:autoSpaceDN/>
              <w:bidi w:val="0"/>
              <w:adjustRightInd w:val="0"/>
              <w:snapToGrid w:val="0"/>
              <w:spacing w:line="420" w:lineRule="exact"/>
              <w:jc w:val="center"/>
              <w:textAlignment w:val="auto"/>
              <w:rPr>
                <w:rFonts w:hint="eastAsia" w:hAnsi="宋体" w:eastAsia="宋体" w:cs="宋体"/>
                <w:snapToGrid w:val="0"/>
                <w:color w:val="auto"/>
                <w:kern w:val="0"/>
                <w:sz w:val="21"/>
                <w:szCs w:val="21"/>
                <w:highlight w:val="none"/>
                <w:lang w:eastAsia="zh-CN"/>
              </w:rPr>
            </w:pPr>
            <w:r>
              <w:rPr>
                <w:rFonts w:hint="eastAsia" w:hAnsi="宋体" w:cs="宋体"/>
                <w:snapToGrid w:val="0"/>
                <w:color w:val="auto"/>
                <w:kern w:val="0"/>
                <w:sz w:val="21"/>
                <w:szCs w:val="21"/>
                <w:highlight w:val="none"/>
                <w:lang w:val="en-US" w:eastAsia="zh-CN"/>
              </w:rPr>
              <w:t>7</w:t>
            </w:r>
          </w:p>
        </w:tc>
        <w:tc>
          <w:tcPr>
            <w:tcW w:w="1573" w:type="dxa"/>
            <w:tcBorders>
              <w:tl2br w:val="nil"/>
              <w:tr2bl w:val="nil"/>
            </w:tcBorders>
            <w:vAlign w:val="center"/>
          </w:tcPr>
          <w:p w14:paraId="7E0FB442">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0" w:firstLineChars="0"/>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按时签订合同</w:t>
            </w:r>
          </w:p>
          <w:p w14:paraId="3DA87571">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0" w:firstLineChars="0"/>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的承诺</w:t>
            </w:r>
          </w:p>
        </w:tc>
        <w:tc>
          <w:tcPr>
            <w:tcW w:w="2923" w:type="dxa"/>
            <w:tcBorders>
              <w:tl2br w:val="nil"/>
              <w:tr2bl w:val="nil"/>
            </w:tcBorders>
            <w:vAlign w:val="center"/>
          </w:tcPr>
          <w:p w14:paraId="108034DD">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420"/>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tcBorders>
              <w:tl2br w:val="nil"/>
              <w:tr2bl w:val="nil"/>
            </w:tcBorders>
            <w:vAlign w:val="center"/>
          </w:tcPr>
          <w:p w14:paraId="244FAAC1">
            <w:pPr>
              <w:pStyle w:val="76"/>
              <w:keepNext w:val="0"/>
              <w:keepLines w:val="0"/>
              <w:pageBreakBefore w:val="0"/>
              <w:widowControl w:val="0"/>
              <w:kinsoku/>
              <w:wordWrap w:val="0"/>
              <w:overflowPunct/>
              <w:topLinePunct w:val="0"/>
              <w:autoSpaceDE/>
              <w:autoSpaceDN/>
              <w:bidi w:val="0"/>
              <w:adjustRightInd w:val="0"/>
              <w:snapToGrid w:val="0"/>
              <w:spacing w:line="420" w:lineRule="exact"/>
              <w:ind w:firstLine="420"/>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7E4EC132">
      <w:pPr>
        <w:pStyle w:val="73"/>
        <w:wordWrap w:val="0"/>
        <w:adjustRightInd w:val="0"/>
        <w:snapToGrid w:val="0"/>
        <w:spacing w:line="420" w:lineRule="exact"/>
        <w:jc w:val="left"/>
        <w:rPr>
          <w:rFonts w:hAnsi="宋体" w:cs="宋体"/>
          <w:snapToGrid w:val="0"/>
          <w:color w:val="auto"/>
          <w:kern w:val="0"/>
          <w:highlight w:val="none"/>
        </w:rPr>
      </w:pPr>
    </w:p>
    <w:p w14:paraId="4B6FF6DB">
      <w:pPr>
        <w:pStyle w:val="73"/>
        <w:wordWrap w:val="0"/>
        <w:adjustRightInd w:val="0"/>
        <w:snapToGrid w:val="0"/>
        <w:spacing w:line="420" w:lineRule="exact"/>
        <w:jc w:val="left"/>
        <w:rPr>
          <w:rFonts w:hAnsi="宋体" w:cs="宋体"/>
          <w:snapToGrid w:val="0"/>
          <w:color w:val="auto"/>
          <w:kern w:val="0"/>
          <w:highlight w:val="none"/>
        </w:rPr>
      </w:pPr>
    </w:p>
    <w:p w14:paraId="148553C2">
      <w:pPr>
        <w:pStyle w:val="16"/>
        <w:wordWrap w:val="0"/>
        <w:adjustRightInd w:val="0"/>
        <w:snapToGrid w:val="0"/>
        <w:spacing w:line="420" w:lineRule="exact"/>
        <w:ind w:firstLine="480" w:firstLineChars="200"/>
        <w:jc w:val="right"/>
        <w:rPr>
          <w:rFonts w:hAnsi="宋体" w:cs="宋体"/>
          <w:snapToGrid w:val="0"/>
          <w:color w:val="auto"/>
          <w:kern w:val="0"/>
          <w:szCs w:val="24"/>
          <w:highlight w:val="none"/>
        </w:rPr>
      </w:pPr>
      <w:r>
        <w:rPr>
          <w:rFonts w:hint="eastAsia" w:hAnsi="宋体" w:cs="宋体"/>
          <w:snapToGrid w:val="0"/>
          <w:color w:val="auto"/>
          <w:kern w:val="0"/>
          <w:szCs w:val="24"/>
          <w:highlight w:val="none"/>
        </w:rPr>
        <w:t>投标人：</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（盖单位章）</w:t>
      </w:r>
    </w:p>
    <w:p w14:paraId="28CA7502">
      <w:pPr>
        <w:pStyle w:val="16"/>
        <w:wordWrap w:val="0"/>
        <w:adjustRightInd w:val="0"/>
        <w:snapToGrid w:val="0"/>
        <w:spacing w:line="420" w:lineRule="exact"/>
        <w:ind w:firstLine="480" w:firstLineChars="200"/>
        <w:jc w:val="right"/>
        <w:rPr>
          <w:rFonts w:hAnsi="宋体" w:cs="宋体"/>
          <w:snapToGrid w:val="0"/>
          <w:color w:val="auto"/>
          <w:kern w:val="0"/>
          <w:szCs w:val="24"/>
          <w:highlight w:val="none"/>
        </w:rPr>
      </w:pPr>
    </w:p>
    <w:p w14:paraId="0BE8168B">
      <w:pPr>
        <w:pStyle w:val="16"/>
        <w:wordWrap w:val="0"/>
        <w:adjustRightInd w:val="0"/>
        <w:snapToGrid w:val="0"/>
        <w:spacing w:line="420" w:lineRule="exact"/>
        <w:ind w:firstLine="480" w:firstLineChars="200"/>
        <w:jc w:val="right"/>
        <w:rPr>
          <w:rFonts w:hAnsi="宋体" w:cs="宋体"/>
          <w:snapToGrid w:val="0"/>
          <w:color w:val="auto"/>
          <w:kern w:val="0"/>
          <w:szCs w:val="24"/>
          <w:highlight w:val="none"/>
        </w:rPr>
      </w:pPr>
    </w:p>
    <w:p w14:paraId="0172B28D">
      <w:pPr>
        <w:pStyle w:val="16"/>
        <w:wordWrap w:val="0"/>
        <w:adjustRightInd w:val="0"/>
        <w:snapToGrid w:val="0"/>
        <w:spacing w:line="420" w:lineRule="exact"/>
        <w:ind w:firstLine="480" w:firstLineChars="200"/>
        <w:jc w:val="right"/>
        <w:rPr>
          <w:rFonts w:hAnsi="宋体" w:cs="宋体"/>
          <w:snapToGrid w:val="0"/>
          <w:color w:val="auto"/>
          <w:kern w:val="0"/>
          <w:szCs w:val="24"/>
          <w:highlight w:val="none"/>
        </w:rPr>
      </w:pPr>
      <w:r>
        <w:rPr>
          <w:rFonts w:hint="eastAsia" w:hAnsi="宋体" w:cs="宋体"/>
          <w:snapToGrid w:val="0"/>
          <w:color w:val="auto"/>
          <w:kern w:val="0"/>
          <w:szCs w:val="24"/>
          <w:highlight w:val="none"/>
        </w:rPr>
        <w:t>法定代表人或其委托代理人：</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（签字或盖章）</w:t>
      </w:r>
    </w:p>
    <w:p w14:paraId="40FD3ED2">
      <w:pPr>
        <w:pStyle w:val="16"/>
        <w:wordWrap w:val="0"/>
        <w:adjustRightInd w:val="0"/>
        <w:snapToGrid w:val="0"/>
        <w:spacing w:line="420" w:lineRule="exact"/>
        <w:ind w:firstLine="480" w:firstLineChars="200"/>
        <w:rPr>
          <w:rFonts w:hAnsi="宋体" w:cs="宋体"/>
          <w:snapToGrid w:val="0"/>
          <w:color w:val="auto"/>
          <w:kern w:val="0"/>
          <w:szCs w:val="24"/>
          <w:highlight w:val="none"/>
        </w:rPr>
      </w:pPr>
    </w:p>
    <w:p w14:paraId="498998F1">
      <w:pPr>
        <w:pStyle w:val="16"/>
        <w:wordWrap w:val="0"/>
        <w:adjustRightInd w:val="0"/>
        <w:snapToGrid w:val="0"/>
        <w:spacing w:line="420" w:lineRule="exact"/>
        <w:ind w:firstLine="480" w:firstLineChars="200"/>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 xml:space="preserve">                      </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年</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月</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日</w:t>
      </w:r>
    </w:p>
    <w:p w14:paraId="3E8D0F6D">
      <w:pPr>
        <w:wordWrap w:val="0"/>
        <w:adjustRightInd w:val="0"/>
        <w:snapToGrid w:val="0"/>
        <w:spacing w:line="420" w:lineRule="exact"/>
        <w:jc w:val="left"/>
        <w:rPr>
          <w:rFonts w:hAnsi="宋体" w:cs="宋体"/>
          <w:b/>
          <w:snapToGrid w:val="0"/>
          <w:color w:val="auto"/>
          <w:kern w:val="0"/>
          <w:highlight w:val="none"/>
        </w:rPr>
        <w:sectPr>
          <w:endnotePr>
            <w:numFmt w:val="decimal"/>
          </w:endnotePr>
          <w:pgSz w:w="11906" w:h="16838"/>
          <w:pgMar w:top="1417" w:right="1417" w:bottom="1417" w:left="1417" w:header="850" w:footer="992" w:gutter="0"/>
          <w:cols w:space="0" w:num="1"/>
          <w:docGrid w:linePitch="327" w:charSpace="0"/>
        </w:sectPr>
      </w:pPr>
    </w:p>
    <w:p w14:paraId="1E8EBA5D">
      <w:pPr>
        <w:wordWrap w:val="0"/>
        <w:adjustRightInd w:val="0"/>
        <w:snapToGrid w:val="0"/>
        <w:spacing w:line="440" w:lineRule="exact"/>
        <w:outlineLvl w:val="1"/>
        <w:rPr>
          <w:rFonts w:hAnsi="宋体" w:cs="宋体"/>
          <w:b/>
          <w:bCs/>
          <w:snapToGrid w:val="0"/>
          <w:color w:val="auto"/>
          <w:kern w:val="0"/>
          <w:szCs w:val="24"/>
          <w:highlight w:val="none"/>
        </w:rPr>
      </w:pPr>
      <w:bookmarkStart w:id="317" w:name="_Toc22542"/>
      <w:r>
        <w:rPr>
          <w:rFonts w:hint="eastAsia" w:hAnsi="宋体" w:cs="宋体"/>
          <w:b/>
          <w:bCs/>
          <w:snapToGrid w:val="0"/>
          <w:color w:val="auto"/>
          <w:kern w:val="0"/>
          <w:szCs w:val="24"/>
          <w:highlight w:val="none"/>
        </w:rPr>
        <w:t>格式四 授权委托书</w:t>
      </w:r>
      <w:bookmarkEnd w:id="317"/>
    </w:p>
    <w:p w14:paraId="759A7BEF">
      <w:pPr>
        <w:wordWrap w:val="0"/>
        <w:adjustRightInd w:val="0"/>
        <w:snapToGrid w:val="0"/>
        <w:spacing w:line="440" w:lineRule="exact"/>
        <w:rPr>
          <w:rFonts w:hAnsi="宋体" w:cs="宋体"/>
          <w:b/>
          <w:bCs/>
          <w:snapToGrid w:val="0"/>
          <w:color w:val="auto"/>
          <w:kern w:val="0"/>
          <w:szCs w:val="24"/>
          <w:highlight w:val="none"/>
        </w:rPr>
      </w:pPr>
    </w:p>
    <w:p w14:paraId="1D02247C">
      <w:pPr>
        <w:wordWrap w:val="0"/>
        <w:adjustRightInd w:val="0"/>
        <w:snapToGrid w:val="0"/>
        <w:spacing w:before="260" w:after="260" w:line="440" w:lineRule="exact"/>
        <w:jc w:val="center"/>
        <w:rPr>
          <w:rFonts w:hAnsi="宋体" w:cs="宋体"/>
          <w:b/>
          <w:snapToGrid w:val="0"/>
          <w:color w:val="auto"/>
          <w:kern w:val="0"/>
          <w:highlight w:val="none"/>
        </w:rPr>
      </w:pPr>
      <w:r>
        <w:rPr>
          <w:rFonts w:hint="eastAsia" w:hAnsi="宋体" w:cs="宋体"/>
          <w:b/>
          <w:snapToGrid w:val="0"/>
          <w:color w:val="auto"/>
          <w:kern w:val="0"/>
          <w:sz w:val="30"/>
          <w:highlight w:val="none"/>
        </w:rPr>
        <w:t>授权委托书</w:t>
      </w:r>
    </w:p>
    <w:p w14:paraId="2077EBE8">
      <w:pPr>
        <w:wordWrap w:val="0"/>
        <w:adjustRightInd w:val="0"/>
        <w:snapToGrid w:val="0"/>
        <w:spacing w:line="440" w:lineRule="exact"/>
        <w:rPr>
          <w:rFonts w:hAnsi="宋体" w:cs="宋体"/>
          <w:snapToGrid w:val="0"/>
          <w:color w:val="auto"/>
          <w:kern w:val="0"/>
          <w:szCs w:val="28"/>
          <w:highlight w:val="none"/>
        </w:rPr>
      </w:pPr>
    </w:p>
    <w:p w14:paraId="30754A58">
      <w:pPr>
        <w:wordWrap w:val="0"/>
        <w:adjustRightInd w:val="0"/>
        <w:snapToGrid w:val="0"/>
        <w:spacing w:line="440" w:lineRule="exact"/>
        <w:rPr>
          <w:rFonts w:hAnsi="宋体" w:cs="宋体"/>
          <w:snapToGrid w:val="0"/>
          <w:color w:val="auto"/>
          <w:kern w:val="0"/>
          <w:szCs w:val="21"/>
          <w:highlight w:val="none"/>
        </w:rPr>
      </w:pPr>
      <w:r>
        <w:rPr>
          <w:rFonts w:hint="eastAsia" w:hAnsi="宋体" w:cs="宋体"/>
          <w:snapToGrid w:val="0"/>
          <w:color w:val="auto"/>
          <w:kern w:val="0"/>
          <w:szCs w:val="21"/>
          <w:highlight w:val="none"/>
        </w:rPr>
        <w:t xml:space="preserve">    本人</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（姓名）系</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（投标人名称）的法定代表人，现委托</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（姓名）为我方代理人。代理人根据授权，以我方名义签署、澄清、说明、补正、递交、撤回、修改</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（项目名称）监理投标文件、签订合同和处理有关事宜，其法律后果由我方承担。</w:t>
      </w:r>
    </w:p>
    <w:p w14:paraId="3A2A096D">
      <w:pPr>
        <w:wordWrap w:val="0"/>
        <w:adjustRightInd w:val="0"/>
        <w:snapToGrid w:val="0"/>
        <w:spacing w:line="440" w:lineRule="exact"/>
        <w:ind w:firstLine="480" w:firstLineChars="200"/>
        <w:rPr>
          <w:rFonts w:hAnsi="宋体" w:cs="宋体"/>
          <w:snapToGrid w:val="0"/>
          <w:color w:val="auto"/>
          <w:kern w:val="0"/>
          <w:szCs w:val="21"/>
          <w:highlight w:val="none"/>
        </w:rPr>
      </w:pPr>
      <w:r>
        <w:rPr>
          <w:rFonts w:hint="eastAsia" w:hAnsi="宋体" w:cs="宋体"/>
          <w:snapToGrid w:val="0"/>
          <w:color w:val="auto"/>
          <w:kern w:val="0"/>
          <w:szCs w:val="21"/>
          <w:highlight w:val="none"/>
        </w:rPr>
        <w:t>委托期限：至</w:t>
      </w:r>
      <w:r>
        <w:rPr>
          <w:rFonts w:hint="eastAsia" w:hAnsi="宋体" w:cs="宋体"/>
          <w:snapToGrid w:val="0"/>
          <w:color w:val="auto"/>
          <w:kern w:val="0"/>
          <w:szCs w:val="21"/>
          <w:highlight w:val="none"/>
          <w:u w:val="single"/>
        </w:rPr>
        <w:t xml:space="preserve">     年   月   日</w:t>
      </w:r>
      <w:r>
        <w:rPr>
          <w:rFonts w:hint="eastAsia" w:hAnsi="宋体" w:cs="宋体"/>
          <w:i/>
          <w:iCs/>
          <w:snapToGrid w:val="0"/>
          <w:color w:val="auto"/>
          <w:kern w:val="0"/>
          <w:szCs w:val="21"/>
          <w:highlight w:val="none"/>
          <w:u w:val="single"/>
        </w:rPr>
        <w:t>（不得短于招标文件规定的投标有效期）</w:t>
      </w:r>
      <w:r>
        <w:rPr>
          <w:rFonts w:hint="eastAsia" w:hAnsi="宋体" w:cs="宋体"/>
          <w:snapToGrid w:val="0"/>
          <w:color w:val="auto"/>
          <w:kern w:val="0"/>
          <w:szCs w:val="21"/>
          <w:highlight w:val="none"/>
        </w:rPr>
        <w:t xml:space="preserve"> 。</w:t>
      </w:r>
    </w:p>
    <w:p w14:paraId="58D17578">
      <w:pPr>
        <w:wordWrap w:val="0"/>
        <w:adjustRightInd w:val="0"/>
        <w:snapToGrid w:val="0"/>
        <w:spacing w:line="440" w:lineRule="exact"/>
        <w:rPr>
          <w:rFonts w:hAnsi="宋体" w:cs="宋体"/>
          <w:snapToGrid w:val="0"/>
          <w:color w:val="auto"/>
          <w:kern w:val="0"/>
          <w:szCs w:val="21"/>
          <w:highlight w:val="none"/>
        </w:rPr>
      </w:pPr>
      <w:r>
        <w:rPr>
          <w:rFonts w:hint="eastAsia" w:hAnsi="宋体" w:cs="宋体"/>
          <w:snapToGrid w:val="0"/>
          <w:color w:val="auto"/>
          <w:kern w:val="0"/>
          <w:szCs w:val="21"/>
          <w:highlight w:val="none"/>
        </w:rPr>
        <w:t xml:space="preserve">    代理人无转委托权。</w:t>
      </w:r>
    </w:p>
    <w:p w14:paraId="1B59B3DA">
      <w:pPr>
        <w:wordWrap w:val="0"/>
        <w:adjustRightInd w:val="0"/>
        <w:snapToGrid w:val="0"/>
        <w:spacing w:line="440" w:lineRule="exact"/>
        <w:ind w:firstLine="480" w:firstLineChars="200"/>
        <w:rPr>
          <w:rFonts w:hAnsi="宋体" w:cs="宋体"/>
          <w:snapToGrid w:val="0"/>
          <w:color w:val="auto"/>
          <w:kern w:val="0"/>
          <w:szCs w:val="21"/>
          <w:highlight w:val="none"/>
        </w:rPr>
      </w:pPr>
    </w:p>
    <w:p w14:paraId="2168011B">
      <w:pPr>
        <w:wordWrap w:val="0"/>
        <w:adjustRightInd w:val="0"/>
        <w:snapToGrid w:val="0"/>
        <w:spacing w:line="440" w:lineRule="exact"/>
        <w:ind w:firstLine="480" w:firstLineChars="200"/>
        <w:rPr>
          <w:rFonts w:hAnsi="宋体" w:cs="宋体"/>
          <w:snapToGrid w:val="0"/>
          <w:color w:val="auto"/>
          <w:kern w:val="0"/>
          <w:szCs w:val="21"/>
          <w:highlight w:val="none"/>
        </w:rPr>
      </w:pPr>
    </w:p>
    <w:p w14:paraId="5D117B02">
      <w:pPr>
        <w:wordWrap w:val="0"/>
        <w:adjustRightInd w:val="0"/>
        <w:snapToGrid w:val="0"/>
        <w:spacing w:line="440" w:lineRule="exact"/>
        <w:ind w:firstLine="480" w:firstLineChars="200"/>
        <w:rPr>
          <w:rFonts w:hAnsi="宋体" w:cs="宋体"/>
          <w:snapToGrid w:val="0"/>
          <w:color w:val="auto"/>
          <w:kern w:val="0"/>
          <w:szCs w:val="21"/>
          <w:highlight w:val="none"/>
        </w:rPr>
      </w:pPr>
      <w:r>
        <w:rPr>
          <w:rFonts w:hint="eastAsia" w:hAnsi="宋体" w:cs="宋体"/>
          <w:snapToGrid w:val="0"/>
          <w:color w:val="auto"/>
          <w:kern w:val="0"/>
          <w:szCs w:val="21"/>
          <w:highlight w:val="none"/>
        </w:rPr>
        <w:t>　　　　　　　　　　　投  标  人：</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（盖单位章）</w:t>
      </w:r>
    </w:p>
    <w:p w14:paraId="657F48EA">
      <w:pPr>
        <w:wordWrap w:val="0"/>
        <w:adjustRightInd w:val="0"/>
        <w:snapToGrid w:val="0"/>
        <w:spacing w:line="440" w:lineRule="exact"/>
        <w:ind w:firstLine="480" w:firstLineChars="200"/>
        <w:rPr>
          <w:rFonts w:hAnsi="宋体" w:cs="宋体"/>
          <w:snapToGrid w:val="0"/>
          <w:color w:val="auto"/>
          <w:kern w:val="0"/>
          <w:szCs w:val="21"/>
          <w:highlight w:val="none"/>
        </w:rPr>
      </w:pPr>
      <w:r>
        <w:rPr>
          <w:rFonts w:hint="eastAsia" w:hAnsi="宋体" w:cs="宋体"/>
          <w:snapToGrid w:val="0"/>
          <w:color w:val="auto"/>
          <w:kern w:val="0"/>
          <w:szCs w:val="21"/>
          <w:highlight w:val="none"/>
        </w:rPr>
        <w:t>　　　　　　　　　　　　　　　　　</w:t>
      </w:r>
    </w:p>
    <w:p w14:paraId="5A982326">
      <w:pPr>
        <w:wordWrap w:val="0"/>
        <w:adjustRightInd w:val="0"/>
        <w:snapToGrid w:val="0"/>
        <w:spacing w:line="440" w:lineRule="exact"/>
        <w:ind w:firstLine="480" w:firstLineChars="200"/>
        <w:rPr>
          <w:rFonts w:hAnsi="宋体" w:cs="宋体"/>
          <w:snapToGrid w:val="0"/>
          <w:color w:val="auto"/>
          <w:kern w:val="0"/>
          <w:szCs w:val="21"/>
          <w:highlight w:val="none"/>
        </w:rPr>
      </w:pPr>
    </w:p>
    <w:p w14:paraId="47DE65D3">
      <w:pPr>
        <w:wordWrap w:val="0"/>
        <w:adjustRightInd w:val="0"/>
        <w:snapToGrid w:val="0"/>
        <w:spacing w:line="440" w:lineRule="exact"/>
        <w:ind w:firstLine="480" w:firstLineChars="200"/>
        <w:rPr>
          <w:rFonts w:hAnsi="宋体" w:cs="宋体"/>
          <w:snapToGrid w:val="0"/>
          <w:color w:val="auto"/>
          <w:kern w:val="0"/>
          <w:szCs w:val="21"/>
          <w:highlight w:val="none"/>
        </w:rPr>
      </w:pPr>
      <w:r>
        <w:rPr>
          <w:rFonts w:hint="eastAsia" w:hAnsi="宋体" w:cs="宋体"/>
          <w:snapToGrid w:val="0"/>
          <w:color w:val="auto"/>
          <w:kern w:val="0"/>
          <w:szCs w:val="21"/>
          <w:highlight w:val="none"/>
        </w:rPr>
        <w:t>　　　　　　　　　　　法定代表人：</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（签字或盖章）</w:t>
      </w:r>
    </w:p>
    <w:p w14:paraId="6F4080A1">
      <w:pPr>
        <w:wordWrap w:val="0"/>
        <w:adjustRightInd w:val="0"/>
        <w:snapToGrid w:val="0"/>
        <w:spacing w:line="440" w:lineRule="exact"/>
        <w:ind w:firstLine="480" w:firstLineChars="200"/>
        <w:rPr>
          <w:rFonts w:hAnsi="宋体" w:cs="宋体"/>
          <w:snapToGrid w:val="0"/>
          <w:color w:val="auto"/>
          <w:kern w:val="0"/>
          <w:szCs w:val="21"/>
          <w:highlight w:val="none"/>
        </w:rPr>
      </w:pPr>
    </w:p>
    <w:p w14:paraId="636F6053">
      <w:pPr>
        <w:wordWrap w:val="0"/>
        <w:adjustRightInd w:val="0"/>
        <w:snapToGrid w:val="0"/>
        <w:spacing w:line="440" w:lineRule="exact"/>
        <w:ind w:firstLine="480" w:firstLineChars="200"/>
        <w:rPr>
          <w:rFonts w:hAnsi="宋体" w:cs="宋体"/>
          <w:snapToGrid w:val="0"/>
          <w:color w:val="auto"/>
          <w:kern w:val="0"/>
          <w:szCs w:val="21"/>
          <w:highlight w:val="none"/>
        </w:rPr>
      </w:pPr>
      <w:r>
        <w:rPr>
          <w:rFonts w:hint="eastAsia" w:hAnsi="宋体" w:cs="宋体"/>
          <w:snapToGrid w:val="0"/>
          <w:color w:val="auto"/>
          <w:kern w:val="0"/>
          <w:szCs w:val="21"/>
          <w:highlight w:val="none"/>
        </w:rPr>
        <w:t>　　　　　　　　　　　　　　　　　　　　　　　　　　　　　　　　　　　　 　　　　　　　　　　 委托代理人：</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（签字或盖章）</w:t>
      </w:r>
    </w:p>
    <w:p w14:paraId="516C980D">
      <w:pPr>
        <w:wordWrap w:val="0"/>
        <w:adjustRightInd w:val="0"/>
        <w:snapToGrid w:val="0"/>
        <w:spacing w:line="440" w:lineRule="exact"/>
        <w:ind w:firstLine="480" w:firstLineChars="200"/>
        <w:rPr>
          <w:rFonts w:hAnsi="宋体" w:cs="宋体"/>
          <w:snapToGrid w:val="0"/>
          <w:color w:val="auto"/>
          <w:kern w:val="0"/>
          <w:szCs w:val="21"/>
          <w:highlight w:val="none"/>
        </w:rPr>
      </w:pPr>
      <w:r>
        <w:rPr>
          <w:rFonts w:hint="eastAsia" w:hAnsi="宋体" w:cs="宋体"/>
          <w:snapToGrid w:val="0"/>
          <w:color w:val="auto"/>
          <w:kern w:val="0"/>
          <w:szCs w:val="21"/>
          <w:highlight w:val="none"/>
        </w:rPr>
        <w:t>　　　　　　　　　　　　　　　　　　　　　　　　　　　　　　　　　　</w:t>
      </w:r>
    </w:p>
    <w:p w14:paraId="07FCA71E">
      <w:pPr>
        <w:wordWrap w:val="0"/>
        <w:adjustRightInd w:val="0"/>
        <w:snapToGrid w:val="0"/>
        <w:spacing w:line="440" w:lineRule="exact"/>
        <w:ind w:firstLine="480" w:firstLineChars="200"/>
        <w:rPr>
          <w:rFonts w:hAnsi="宋体" w:cs="宋体"/>
          <w:snapToGrid w:val="0"/>
          <w:color w:val="auto"/>
          <w:kern w:val="0"/>
          <w:szCs w:val="21"/>
          <w:highlight w:val="none"/>
        </w:rPr>
      </w:pPr>
      <w:r>
        <w:rPr>
          <w:rFonts w:hint="eastAsia" w:hAnsi="宋体" w:cs="宋体"/>
          <w:snapToGrid w:val="0"/>
          <w:color w:val="auto"/>
          <w:kern w:val="0"/>
          <w:szCs w:val="21"/>
          <w:highlight w:val="none"/>
        </w:rPr>
        <w:t>　　　　　　　　　　　　　 　　</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年</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月</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日</w:t>
      </w:r>
    </w:p>
    <w:p w14:paraId="764F8561">
      <w:pPr>
        <w:wordWrap w:val="0"/>
        <w:adjustRightInd w:val="0"/>
        <w:snapToGrid w:val="0"/>
        <w:spacing w:line="440" w:lineRule="exact"/>
        <w:ind w:firstLine="480" w:firstLineChars="200"/>
        <w:rPr>
          <w:rFonts w:hAnsi="宋体" w:cs="宋体"/>
          <w:snapToGrid w:val="0"/>
          <w:color w:val="auto"/>
          <w:kern w:val="0"/>
          <w:szCs w:val="21"/>
          <w:highlight w:val="none"/>
        </w:rPr>
      </w:pPr>
    </w:p>
    <w:p w14:paraId="79AD2214">
      <w:pPr>
        <w:wordWrap w:val="0"/>
        <w:adjustRightInd w:val="0"/>
        <w:snapToGrid w:val="0"/>
        <w:spacing w:line="440" w:lineRule="exact"/>
        <w:ind w:firstLine="480" w:firstLineChars="200"/>
        <w:rPr>
          <w:rFonts w:hAnsi="宋体" w:cs="宋体"/>
          <w:snapToGrid w:val="0"/>
          <w:color w:val="auto"/>
          <w:kern w:val="0"/>
          <w:szCs w:val="21"/>
          <w:highlight w:val="none"/>
        </w:rPr>
      </w:pPr>
    </w:p>
    <w:p w14:paraId="523F244E">
      <w:pPr>
        <w:wordWrap w:val="0"/>
        <w:adjustRightInd w:val="0"/>
        <w:snapToGrid w:val="0"/>
        <w:ind w:firstLine="6440" w:firstLineChars="2300"/>
        <w:rPr>
          <w:rFonts w:hAnsi="宋体" w:cs="宋体"/>
          <w:snapToGrid w:val="0"/>
          <w:color w:val="auto"/>
          <w:kern w:val="0"/>
          <w:szCs w:val="24"/>
          <w:highlight w:val="none"/>
        </w:rPr>
      </w:pPr>
      <w:r>
        <w:rPr>
          <w:rFonts w:hint="eastAsia" w:hAnsi="宋体" w:cs="宋体"/>
          <w:snapToGrid w:val="0"/>
          <w:color w:val="auto"/>
          <w:kern w:val="0"/>
          <w:sz w:val="28"/>
          <w:szCs w:val="28"/>
          <w:highlight w:val="none"/>
          <w:u w:val="single"/>
        </w:rPr>
        <mc:AlternateContent>
          <mc:Choice Requires="wps">
            <w:drawing>
              <wp:anchor distT="0" distB="0" distL="114300" distR="114300" simplePos="0" relativeHeight="251660288"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3"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09B45C8">
                            <w:pPr>
                              <w:jc w:val="center"/>
                              <w:rPr>
                                <w:szCs w:val="21"/>
                              </w:rPr>
                            </w:pPr>
                          </w:p>
                          <w:p w14:paraId="4D35F59F">
                            <w:pPr>
                              <w:jc w:val="center"/>
                              <w:rPr>
                                <w:szCs w:val="21"/>
                              </w:rPr>
                            </w:pPr>
                          </w:p>
                          <w:p w14:paraId="09C12398">
                            <w:pPr>
                              <w:jc w:val="center"/>
                              <w:rPr>
                                <w:szCs w:val="21"/>
                              </w:rPr>
                            </w:pPr>
                            <w:r>
                              <w:rPr>
                                <w:rFonts w:hint="eastAsia"/>
                                <w:szCs w:val="21"/>
                              </w:rPr>
                              <w:t>委托代理人身份证彩色扫描件正、反面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60288;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BaUS9UJgIAAFQEAAAOAAAAAAAAAAEAIAAAACcBAABkcnMvZTJvRG9jLnhtbFBLBQYAAAAA&#10;BgAGAFkBAAC/BQAAAAA=&#10;">
                <v:fill on="t" focussize="0,0"/>
                <v:stroke color="#000000" joinstyle="miter"/>
                <v:imagedata o:title=""/>
                <o:lock v:ext="edit" aspectratio="f"/>
                <v:textbox>
                  <w:txbxContent>
                    <w:p w14:paraId="609B45C8">
                      <w:pPr>
                        <w:jc w:val="center"/>
                        <w:rPr>
                          <w:szCs w:val="21"/>
                        </w:rPr>
                      </w:pPr>
                    </w:p>
                    <w:p w14:paraId="4D35F59F">
                      <w:pPr>
                        <w:jc w:val="center"/>
                        <w:rPr>
                          <w:szCs w:val="21"/>
                        </w:rPr>
                      </w:pPr>
                    </w:p>
                    <w:p w14:paraId="09C12398">
                      <w:pPr>
                        <w:jc w:val="center"/>
                        <w:rPr>
                          <w:szCs w:val="21"/>
                        </w:rPr>
                      </w:pPr>
                      <w:r>
                        <w:rPr>
                          <w:rFonts w:hint="eastAsia"/>
                          <w:szCs w:val="21"/>
                        </w:rPr>
                        <w:t>委托代理人身份证彩色扫描件正、反面</w:t>
                      </w:r>
                    </w:p>
                  </w:txbxContent>
                </v:textbox>
              </v:shape>
            </w:pict>
          </mc:Fallback>
        </mc:AlternateContent>
      </w:r>
    </w:p>
    <w:p w14:paraId="79563FD3">
      <w:pPr>
        <w:pStyle w:val="10"/>
        <w:wordWrap w:val="0"/>
        <w:adjustRightInd w:val="0"/>
        <w:snapToGrid w:val="0"/>
        <w:rPr>
          <w:rFonts w:hAnsi="宋体" w:cs="宋体"/>
          <w:snapToGrid w:val="0"/>
          <w:color w:val="auto"/>
          <w:kern w:val="0"/>
          <w:szCs w:val="24"/>
          <w:highlight w:val="none"/>
        </w:rPr>
      </w:pPr>
    </w:p>
    <w:p w14:paraId="3DEB4B42">
      <w:pPr>
        <w:bidi w:val="0"/>
        <w:rPr>
          <w:color w:val="auto"/>
          <w:highlight w:val="none"/>
        </w:rPr>
      </w:pPr>
    </w:p>
    <w:p w14:paraId="4EE63B06">
      <w:pPr>
        <w:wordWrap w:val="0"/>
        <w:adjustRightInd w:val="0"/>
        <w:snapToGrid w:val="0"/>
        <w:rPr>
          <w:rFonts w:hAnsi="宋体" w:cs="宋体"/>
          <w:snapToGrid w:val="0"/>
          <w:color w:val="auto"/>
          <w:kern w:val="0"/>
          <w:highlight w:val="none"/>
        </w:rPr>
        <w:sectPr>
          <w:endnotePr>
            <w:numFmt w:val="decimal"/>
          </w:endnotePr>
          <w:pgSz w:w="11906" w:h="16838"/>
          <w:pgMar w:top="1417" w:right="1417" w:bottom="1417" w:left="1417" w:header="850" w:footer="992" w:gutter="0"/>
          <w:cols w:space="0" w:num="1"/>
          <w:docGrid w:linePitch="327" w:charSpace="0"/>
        </w:sectPr>
      </w:pPr>
    </w:p>
    <w:p w14:paraId="047810DC">
      <w:pPr>
        <w:wordWrap w:val="0"/>
        <w:adjustRightInd w:val="0"/>
        <w:snapToGrid w:val="0"/>
        <w:spacing w:line="440" w:lineRule="exact"/>
        <w:outlineLvl w:val="1"/>
        <w:rPr>
          <w:rFonts w:hAnsi="宋体" w:cs="宋体"/>
          <w:b/>
          <w:snapToGrid w:val="0"/>
          <w:color w:val="auto"/>
          <w:kern w:val="0"/>
          <w:highlight w:val="none"/>
        </w:rPr>
      </w:pPr>
      <w:bookmarkStart w:id="318" w:name="_Toc15411"/>
      <w:r>
        <w:rPr>
          <w:rFonts w:hint="eastAsia" w:hAnsi="宋体" w:cs="宋体"/>
          <w:b/>
          <w:snapToGrid w:val="0"/>
          <w:color w:val="auto"/>
          <w:kern w:val="0"/>
          <w:highlight w:val="none"/>
        </w:rPr>
        <w:t>格式五 法定代表人身份证明</w:t>
      </w:r>
      <w:bookmarkEnd w:id="318"/>
    </w:p>
    <w:p w14:paraId="6BB79DDB">
      <w:pPr>
        <w:wordWrap w:val="0"/>
        <w:adjustRightInd w:val="0"/>
        <w:snapToGrid w:val="0"/>
        <w:spacing w:line="440" w:lineRule="exact"/>
        <w:rPr>
          <w:rFonts w:hAnsi="宋体" w:cs="宋体"/>
          <w:b/>
          <w:snapToGrid w:val="0"/>
          <w:color w:val="auto"/>
          <w:kern w:val="0"/>
          <w:highlight w:val="none"/>
        </w:rPr>
      </w:pPr>
    </w:p>
    <w:p w14:paraId="16729C42">
      <w:pPr>
        <w:wordWrap w:val="0"/>
        <w:adjustRightInd w:val="0"/>
        <w:snapToGrid w:val="0"/>
        <w:spacing w:before="260" w:after="260" w:line="440" w:lineRule="exact"/>
        <w:jc w:val="center"/>
        <w:rPr>
          <w:rFonts w:hAnsi="宋体" w:cs="宋体"/>
          <w:b/>
          <w:snapToGrid w:val="0"/>
          <w:color w:val="auto"/>
          <w:kern w:val="0"/>
          <w:highlight w:val="none"/>
        </w:rPr>
      </w:pPr>
      <w:r>
        <w:rPr>
          <w:rFonts w:hint="eastAsia" w:hAnsi="宋体" w:cs="宋体"/>
          <w:b/>
          <w:snapToGrid w:val="0"/>
          <w:color w:val="auto"/>
          <w:kern w:val="0"/>
          <w:sz w:val="30"/>
          <w:highlight w:val="none"/>
        </w:rPr>
        <w:t>法定代表人身份证明</w:t>
      </w:r>
    </w:p>
    <w:p w14:paraId="2FF4BF41">
      <w:pPr>
        <w:wordWrap w:val="0"/>
        <w:adjustRightInd w:val="0"/>
        <w:snapToGrid w:val="0"/>
        <w:spacing w:line="440" w:lineRule="exact"/>
        <w:rPr>
          <w:rFonts w:hAnsi="宋体" w:cs="宋体"/>
          <w:snapToGrid w:val="0"/>
          <w:color w:val="auto"/>
          <w:kern w:val="0"/>
          <w:szCs w:val="21"/>
          <w:highlight w:val="none"/>
        </w:rPr>
      </w:pPr>
    </w:p>
    <w:p w14:paraId="7DB8BCD1">
      <w:pPr>
        <w:wordWrap w:val="0"/>
        <w:adjustRightInd w:val="0"/>
        <w:snapToGrid w:val="0"/>
        <w:spacing w:line="440" w:lineRule="exact"/>
        <w:rPr>
          <w:rFonts w:hAnsi="宋体" w:cs="宋体"/>
          <w:snapToGrid w:val="0"/>
          <w:color w:val="auto"/>
          <w:kern w:val="0"/>
          <w:szCs w:val="21"/>
          <w:highlight w:val="none"/>
          <w:u w:val="single"/>
        </w:rPr>
      </w:pPr>
      <w:r>
        <w:rPr>
          <w:rFonts w:hint="eastAsia" w:hAnsi="宋体" w:cs="宋体"/>
          <w:snapToGrid w:val="0"/>
          <w:color w:val="auto"/>
          <w:kern w:val="0"/>
          <w:szCs w:val="21"/>
          <w:highlight w:val="none"/>
        </w:rPr>
        <w:t>投标人名称：</w:t>
      </w:r>
      <w:r>
        <w:rPr>
          <w:rFonts w:hint="eastAsia" w:hAnsi="宋体" w:cs="宋体"/>
          <w:snapToGrid w:val="0"/>
          <w:color w:val="auto"/>
          <w:kern w:val="0"/>
          <w:szCs w:val="21"/>
          <w:highlight w:val="none"/>
          <w:u w:val="single"/>
        </w:rPr>
        <w:t xml:space="preserve">                  </w:t>
      </w:r>
    </w:p>
    <w:p w14:paraId="5F87A2BE">
      <w:pPr>
        <w:wordWrap w:val="0"/>
        <w:adjustRightInd w:val="0"/>
        <w:snapToGrid w:val="0"/>
        <w:spacing w:line="440" w:lineRule="exact"/>
        <w:rPr>
          <w:rFonts w:hAnsi="宋体" w:cs="宋体"/>
          <w:snapToGrid w:val="0"/>
          <w:color w:val="auto"/>
          <w:kern w:val="0"/>
          <w:szCs w:val="21"/>
          <w:highlight w:val="none"/>
          <w:u w:val="single"/>
        </w:rPr>
      </w:pPr>
      <w:r>
        <w:rPr>
          <w:rFonts w:hint="eastAsia" w:hAnsi="宋体" w:cs="宋体"/>
          <w:snapToGrid w:val="0"/>
          <w:color w:val="auto"/>
          <w:kern w:val="0"/>
          <w:szCs w:val="21"/>
          <w:highlight w:val="none"/>
        </w:rPr>
        <w:t>姓名：</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性别：</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年龄：</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职务：</w:t>
      </w:r>
      <w:r>
        <w:rPr>
          <w:rFonts w:hint="eastAsia" w:hAnsi="宋体" w:cs="宋体"/>
          <w:snapToGrid w:val="0"/>
          <w:color w:val="auto"/>
          <w:kern w:val="0"/>
          <w:szCs w:val="21"/>
          <w:highlight w:val="none"/>
          <w:u w:val="single"/>
        </w:rPr>
        <w:t xml:space="preserve">           </w:t>
      </w:r>
    </w:p>
    <w:p w14:paraId="49E9994E">
      <w:pPr>
        <w:wordWrap w:val="0"/>
        <w:adjustRightInd w:val="0"/>
        <w:snapToGrid w:val="0"/>
        <w:spacing w:line="440" w:lineRule="exact"/>
        <w:rPr>
          <w:rFonts w:hAnsi="宋体" w:cs="宋体"/>
          <w:snapToGrid w:val="0"/>
          <w:color w:val="auto"/>
          <w:kern w:val="0"/>
          <w:szCs w:val="21"/>
          <w:highlight w:val="none"/>
        </w:rPr>
      </w:pPr>
      <w:r>
        <w:rPr>
          <w:rFonts w:hint="eastAsia" w:hAnsi="宋体" w:cs="宋体"/>
          <w:snapToGrid w:val="0"/>
          <w:color w:val="auto"/>
          <w:kern w:val="0"/>
          <w:szCs w:val="21"/>
          <w:highlight w:val="none"/>
        </w:rPr>
        <w:t>系</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（投标人名称）的法定代表人。</w:t>
      </w:r>
    </w:p>
    <w:p w14:paraId="0EC840B0">
      <w:pPr>
        <w:wordWrap w:val="0"/>
        <w:adjustRightInd w:val="0"/>
        <w:snapToGrid w:val="0"/>
        <w:spacing w:line="440" w:lineRule="exact"/>
        <w:rPr>
          <w:rFonts w:hAnsi="宋体" w:cs="宋体"/>
          <w:snapToGrid w:val="0"/>
          <w:color w:val="auto"/>
          <w:kern w:val="0"/>
          <w:szCs w:val="21"/>
          <w:highlight w:val="none"/>
        </w:rPr>
      </w:pPr>
      <w:r>
        <w:rPr>
          <w:rFonts w:hint="eastAsia" w:hAnsi="宋体" w:cs="宋体"/>
          <w:snapToGrid w:val="0"/>
          <w:color w:val="auto"/>
          <w:kern w:val="0"/>
          <w:szCs w:val="21"/>
          <w:highlight w:val="none"/>
        </w:rPr>
        <w:t xml:space="preserve">    特此证明。</w:t>
      </w:r>
    </w:p>
    <w:p w14:paraId="6BD5A741">
      <w:pPr>
        <w:wordWrap w:val="0"/>
        <w:adjustRightInd w:val="0"/>
        <w:snapToGrid w:val="0"/>
        <w:spacing w:line="440" w:lineRule="exact"/>
        <w:rPr>
          <w:rFonts w:hAnsi="宋体" w:cs="宋体"/>
          <w:snapToGrid w:val="0"/>
          <w:color w:val="auto"/>
          <w:kern w:val="0"/>
          <w:szCs w:val="21"/>
          <w:highlight w:val="none"/>
        </w:rPr>
      </w:pPr>
    </w:p>
    <w:p w14:paraId="2E95E920">
      <w:pPr>
        <w:wordWrap w:val="0"/>
        <w:adjustRightInd w:val="0"/>
        <w:snapToGrid w:val="0"/>
        <w:spacing w:line="440" w:lineRule="exact"/>
        <w:rPr>
          <w:rFonts w:hAnsi="宋体" w:cs="宋体"/>
          <w:snapToGrid w:val="0"/>
          <w:color w:val="auto"/>
          <w:kern w:val="0"/>
          <w:szCs w:val="21"/>
          <w:highlight w:val="none"/>
        </w:rPr>
      </w:pPr>
    </w:p>
    <w:p w14:paraId="2BAF37F3">
      <w:pPr>
        <w:wordWrap w:val="0"/>
        <w:adjustRightInd w:val="0"/>
        <w:snapToGrid w:val="0"/>
        <w:spacing w:line="440" w:lineRule="exact"/>
        <w:jc w:val="right"/>
        <w:rPr>
          <w:rFonts w:hAnsi="宋体" w:cs="宋体"/>
          <w:snapToGrid w:val="0"/>
          <w:color w:val="auto"/>
          <w:kern w:val="0"/>
          <w:szCs w:val="21"/>
          <w:highlight w:val="none"/>
        </w:rPr>
      </w:pPr>
      <w:r>
        <w:rPr>
          <w:rFonts w:hint="eastAsia" w:hAnsi="宋体" w:cs="宋体"/>
          <w:snapToGrid w:val="0"/>
          <w:color w:val="auto"/>
          <w:kern w:val="0"/>
          <w:szCs w:val="21"/>
          <w:highlight w:val="none"/>
        </w:rPr>
        <w:t>投标人：</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（盖单位章）</w:t>
      </w:r>
    </w:p>
    <w:p w14:paraId="15931070">
      <w:pPr>
        <w:wordWrap w:val="0"/>
        <w:adjustRightInd w:val="0"/>
        <w:snapToGrid w:val="0"/>
        <w:spacing w:line="440" w:lineRule="exact"/>
        <w:jc w:val="right"/>
        <w:rPr>
          <w:rFonts w:hAnsi="宋体" w:cs="宋体"/>
          <w:snapToGrid w:val="0"/>
          <w:color w:val="auto"/>
          <w:kern w:val="0"/>
          <w:szCs w:val="21"/>
          <w:highlight w:val="none"/>
        </w:rPr>
      </w:pPr>
    </w:p>
    <w:p w14:paraId="4E9E006A">
      <w:pPr>
        <w:wordWrap w:val="0"/>
        <w:adjustRightInd w:val="0"/>
        <w:snapToGrid w:val="0"/>
        <w:spacing w:line="440" w:lineRule="exact"/>
        <w:jc w:val="right"/>
        <w:rPr>
          <w:rFonts w:hAnsi="宋体" w:cs="宋体"/>
          <w:snapToGrid w:val="0"/>
          <w:color w:val="auto"/>
          <w:kern w:val="0"/>
          <w:szCs w:val="21"/>
          <w:highlight w:val="none"/>
        </w:rPr>
      </w:pPr>
    </w:p>
    <w:p w14:paraId="6E1D2B4A">
      <w:pPr>
        <w:wordWrap w:val="0"/>
        <w:adjustRightInd w:val="0"/>
        <w:snapToGrid w:val="0"/>
        <w:spacing w:line="440" w:lineRule="exact"/>
        <w:jc w:val="right"/>
        <w:rPr>
          <w:rFonts w:hAnsi="宋体" w:cs="宋体"/>
          <w:snapToGrid w:val="0"/>
          <w:color w:val="auto"/>
          <w:kern w:val="0"/>
          <w:szCs w:val="21"/>
          <w:highlight w:val="none"/>
        </w:rPr>
      </w:pPr>
      <w:r>
        <w:rPr>
          <w:rFonts w:hint="eastAsia" w:hAnsi="宋体" w:cs="宋体"/>
          <w:snapToGrid w:val="0"/>
          <w:color w:val="auto"/>
          <w:kern w:val="0"/>
          <w:szCs w:val="21"/>
          <w:highlight w:val="none"/>
        </w:rPr>
        <w:t xml:space="preserve">                           法定代表人：</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（签字或盖章）</w:t>
      </w:r>
    </w:p>
    <w:p w14:paraId="7C11D6D8">
      <w:pPr>
        <w:wordWrap w:val="0"/>
        <w:adjustRightInd w:val="0"/>
        <w:snapToGrid w:val="0"/>
        <w:spacing w:line="440" w:lineRule="exact"/>
        <w:jc w:val="center"/>
        <w:rPr>
          <w:rFonts w:hAnsi="宋体" w:cs="宋体"/>
          <w:snapToGrid w:val="0"/>
          <w:color w:val="auto"/>
          <w:kern w:val="0"/>
          <w:szCs w:val="21"/>
          <w:highlight w:val="none"/>
        </w:rPr>
      </w:pPr>
      <w:r>
        <w:rPr>
          <w:rFonts w:hint="eastAsia" w:hAnsi="宋体" w:cs="宋体"/>
          <w:snapToGrid w:val="0"/>
          <w:color w:val="auto"/>
          <w:kern w:val="0"/>
          <w:szCs w:val="21"/>
          <w:highlight w:val="none"/>
        </w:rPr>
        <w:t xml:space="preserve">                        </w:t>
      </w:r>
    </w:p>
    <w:p w14:paraId="4649928B">
      <w:pPr>
        <w:wordWrap w:val="0"/>
        <w:adjustRightInd w:val="0"/>
        <w:snapToGrid w:val="0"/>
        <w:spacing w:line="440" w:lineRule="exact"/>
        <w:jc w:val="center"/>
        <w:rPr>
          <w:rFonts w:hAnsi="宋体" w:cs="宋体"/>
          <w:snapToGrid w:val="0"/>
          <w:color w:val="auto"/>
          <w:kern w:val="0"/>
          <w:szCs w:val="21"/>
          <w:highlight w:val="none"/>
        </w:rPr>
      </w:pPr>
      <w:r>
        <w:rPr>
          <w:rFonts w:hint="eastAsia" w:hAnsi="宋体" w:cs="宋体"/>
          <w:snapToGrid w:val="0"/>
          <w:color w:val="auto"/>
          <w:kern w:val="0"/>
          <w:szCs w:val="21"/>
          <w:highlight w:val="none"/>
        </w:rPr>
        <w:t xml:space="preserve">                            </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年</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月</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 xml:space="preserve">日       </w:t>
      </w:r>
    </w:p>
    <w:p w14:paraId="5AC0A295">
      <w:pPr>
        <w:wordWrap w:val="0"/>
        <w:adjustRightInd w:val="0"/>
        <w:snapToGrid w:val="0"/>
        <w:spacing w:line="440" w:lineRule="exact"/>
        <w:ind w:firstLine="240" w:firstLineChars="100"/>
        <w:rPr>
          <w:rFonts w:hAnsi="宋体" w:cs="宋体"/>
          <w:snapToGrid w:val="0"/>
          <w:color w:val="auto"/>
          <w:kern w:val="0"/>
          <w:szCs w:val="21"/>
          <w:highlight w:val="none"/>
        </w:rPr>
      </w:pPr>
      <w:r>
        <w:rPr>
          <w:rFonts w:hint="eastAsia" w:hAnsi="宋体" w:cs="宋体"/>
          <w:snapToGrid w:val="0"/>
          <w:color w:val="auto"/>
          <w:kern w:val="0"/>
          <w:szCs w:val="21"/>
          <w:highlight w:val="none"/>
        </w:rPr>
        <w:t xml:space="preserve">     </w:t>
      </w:r>
    </w:p>
    <w:p w14:paraId="76CD658E">
      <w:pPr>
        <w:wordWrap w:val="0"/>
        <w:adjustRightInd w:val="0"/>
        <w:snapToGrid w:val="0"/>
        <w:spacing w:line="440" w:lineRule="exact"/>
        <w:ind w:firstLine="240" w:firstLineChars="100"/>
        <w:rPr>
          <w:rFonts w:hAnsi="宋体" w:cs="宋体"/>
          <w:snapToGrid w:val="0"/>
          <w:color w:val="auto"/>
          <w:kern w:val="0"/>
          <w:szCs w:val="21"/>
          <w:highlight w:val="none"/>
        </w:rPr>
      </w:pPr>
    </w:p>
    <w:p w14:paraId="658B356B">
      <w:pPr>
        <w:wordWrap w:val="0"/>
        <w:adjustRightInd w:val="0"/>
        <w:snapToGrid w:val="0"/>
        <w:spacing w:line="440" w:lineRule="exact"/>
        <w:ind w:firstLine="240" w:firstLineChars="100"/>
        <w:rPr>
          <w:rFonts w:hAnsi="宋体" w:cs="宋体"/>
          <w:snapToGrid w:val="0"/>
          <w:color w:val="auto"/>
          <w:kern w:val="0"/>
          <w:szCs w:val="21"/>
          <w:highlight w:val="none"/>
        </w:rPr>
      </w:pPr>
    </w:p>
    <w:p w14:paraId="5B344952">
      <w:pPr>
        <w:wordWrap w:val="0"/>
        <w:adjustRightInd w:val="0"/>
        <w:snapToGrid w:val="0"/>
        <w:spacing w:line="440" w:lineRule="exact"/>
        <w:ind w:firstLine="720" w:firstLineChars="300"/>
        <w:rPr>
          <w:rFonts w:hAnsi="宋体" w:cs="宋体"/>
          <w:b/>
          <w:snapToGrid w:val="0"/>
          <w:color w:val="auto"/>
          <w:kern w:val="0"/>
          <w:szCs w:val="21"/>
          <w:highlight w:val="none"/>
        </w:rPr>
      </w:pPr>
      <w:r>
        <w:rPr>
          <w:rFonts w:hint="eastAsia" w:hAnsi="宋体" w:cs="宋体"/>
          <w:snapToGrid w:val="0"/>
          <w:color w:val="auto"/>
          <w:kern w:val="0"/>
          <w:szCs w:val="21"/>
          <w:highlight w:val="none"/>
        </w:rPr>
        <w:t xml:space="preserve">  </w:t>
      </w:r>
      <w:r>
        <w:rPr>
          <w:rFonts w:hint="eastAsia" w:hAnsi="宋体" w:cs="宋体"/>
          <w:i/>
          <w:iCs/>
          <w:snapToGrid w:val="0"/>
          <w:color w:val="auto"/>
          <w:kern w:val="0"/>
          <w:szCs w:val="21"/>
          <w:highlight w:val="none"/>
        </w:rPr>
        <w:t xml:space="preserve"> </w:t>
      </w:r>
    </w:p>
    <w:p w14:paraId="1F32B462">
      <w:pPr>
        <w:wordWrap w:val="0"/>
        <w:adjustRightInd w:val="0"/>
        <w:snapToGrid w:val="0"/>
        <w:rPr>
          <w:rFonts w:hAnsi="宋体" w:cs="宋体"/>
          <w:b/>
          <w:snapToGrid w:val="0"/>
          <w:color w:val="auto"/>
          <w:kern w:val="0"/>
          <w:szCs w:val="21"/>
          <w:highlight w:val="none"/>
        </w:rPr>
      </w:pPr>
      <w:r>
        <w:rPr>
          <w:rFonts w:hint="eastAsia" w:hAnsi="宋体" w:cs="宋体"/>
          <w:b/>
          <w:snapToGrid w:val="0"/>
          <w:color w:val="auto"/>
          <w:kern w:val="0"/>
          <w:szCs w:val="21"/>
          <w:highlight w:val="none"/>
        </w:rPr>
        <mc:AlternateContent>
          <mc:Choice Requires="wps">
            <w:drawing>
              <wp:anchor distT="0" distB="0" distL="114300" distR="114300" simplePos="0" relativeHeight="251659264" behindDoc="0" locked="0" layoutInCell="1" allowOverlap="1">
                <wp:simplePos x="0" y="0"/>
                <wp:positionH relativeFrom="column">
                  <wp:posOffset>1191260</wp:posOffset>
                </wp:positionH>
                <wp:positionV relativeFrom="paragraph">
                  <wp:posOffset>20320</wp:posOffset>
                </wp:positionV>
                <wp:extent cx="3253105" cy="1584325"/>
                <wp:effectExtent l="4445" t="4445" r="19050" b="11430"/>
                <wp:wrapNone/>
                <wp:docPr id="1" name="自选图形 18"/>
                <wp:cNvGraphicFramePr/>
                <a:graphic xmlns:a="http://schemas.openxmlformats.org/drawingml/2006/main">
                  <a:graphicData uri="http://schemas.microsoft.com/office/word/2010/wordprocessingShape">
                    <wps:wsp>
                      <wps:cNvSpPr/>
                      <wps:spPr>
                        <a:xfrm>
                          <a:off x="0" y="0"/>
                          <a:ext cx="325310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81BDD3D">
                            <w:pPr>
                              <w:jc w:val="center"/>
                              <w:rPr>
                                <w:szCs w:val="21"/>
                              </w:rPr>
                            </w:pPr>
                          </w:p>
                          <w:p w14:paraId="1920F1CC">
                            <w:pPr>
                              <w:jc w:val="center"/>
                              <w:rPr>
                                <w:szCs w:val="21"/>
                              </w:rPr>
                            </w:pPr>
                          </w:p>
                          <w:p w14:paraId="5C1C5126">
                            <w:pPr>
                              <w:jc w:val="center"/>
                              <w:rPr>
                                <w:szCs w:val="21"/>
                              </w:rPr>
                            </w:pPr>
                            <w:r>
                              <w:rPr>
                                <w:rFonts w:hint="eastAsia"/>
                                <w:szCs w:val="21"/>
                              </w:rPr>
                              <w:t>法定代表人身份证彩色扫描件正、反面</w:t>
                            </w:r>
                          </w:p>
                        </w:txbxContent>
                      </wps:txbx>
                      <wps:bodyPr wrap="square" upright="1"/>
                    </wps:wsp>
                  </a:graphicData>
                </a:graphic>
              </wp:anchor>
            </w:drawing>
          </mc:Choice>
          <mc:Fallback>
            <w:pict>
              <v:shape id="自选图形 18" o:spid="_x0000_s1026" o:spt="176" type="#_x0000_t176" style="position:absolute;left:0pt;margin-left:93.8pt;margin-top:1.6pt;height:124.75pt;width:256.15pt;z-index:251659264;mso-width-relative:page;mso-height-relative:page;" fillcolor="#FFFFFF" filled="t" stroked="t" coordsize="21600,21600" o:gfxdata="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Ds&#10;wm7XAAAACQEAAA8AAAAAAAAAAQAgAAAAIgAAAGRycy9kb3ducmV2LnhtbFBLAQIUABQAAAAIAIdO&#10;4kCgE5luJAIAAFQEAAAOAAAAAAAAAAEAIAAAACYBAABkcnMvZTJvRG9jLnhtbFBLBQYAAAAABgAG&#10;AFkBAAC8BQAAAAA=&#10;">
                <v:fill on="t" focussize="0,0"/>
                <v:stroke color="#000000" joinstyle="miter"/>
                <v:imagedata o:title=""/>
                <o:lock v:ext="edit" aspectratio="f"/>
                <v:textbox>
                  <w:txbxContent>
                    <w:p w14:paraId="681BDD3D">
                      <w:pPr>
                        <w:jc w:val="center"/>
                        <w:rPr>
                          <w:szCs w:val="21"/>
                        </w:rPr>
                      </w:pPr>
                    </w:p>
                    <w:p w14:paraId="1920F1CC">
                      <w:pPr>
                        <w:jc w:val="center"/>
                        <w:rPr>
                          <w:szCs w:val="21"/>
                        </w:rPr>
                      </w:pPr>
                    </w:p>
                    <w:p w14:paraId="5C1C5126">
                      <w:pPr>
                        <w:jc w:val="center"/>
                        <w:rPr>
                          <w:szCs w:val="21"/>
                        </w:rPr>
                      </w:pPr>
                      <w:r>
                        <w:rPr>
                          <w:rFonts w:hint="eastAsia"/>
                          <w:szCs w:val="21"/>
                        </w:rPr>
                        <w:t>法定代表人身份证彩色扫描件正、反面</w:t>
                      </w:r>
                    </w:p>
                  </w:txbxContent>
                </v:textbox>
              </v:shape>
            </w:pict>
          </mc:Fallback>
        </mc:AlternateContent>
      </w:r>
    </w:p>
    <w:p w14:paraId="7B058A6C">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Ansi="宋体" w:cs="宋体"/>
          <w:snapToGrid w:val="0"/>
          <w:color w:val="auto"/>
          <w:kern w:val="0"/>
          <w:sz w:val="28"/>
          <w:szCs w:val="28"/>
          <w:highlight w:val="none"/>
        </w:rPr>
      </w:pPr>
    </w:p>
    <w:p w14:paraId="42859630">
      <w:pPr>
        <w:wordWrap w:val="0"/>
        <w:adjustRightInd w:val="0"/>
        <w:snapToGrid w:val="0"/>
        <w:spacing w:line="480" w:lineRule="exact"/>
        <w:jc w:val="center"/>
        <w:rPr>
          <w:rFonts w:hAnsi="宋体" w:cs="宋体"/>
          <w:b/>
          <w:snapToGrid w:val="0"/>
          <w:color w:val="auto"/>
          <w:kern w:val="0"/>
          <w:sz w:val="28"/>
          <w:szCs w:val="28"/>
          <w:highlight w:val="none"/>
        </w:rPr>
      </w:pPr>
    </w:p>
    <w:p w14:paraId="67FF2234">
      <w:pPr>
        <w:wordWrap w:val="0"/>
        <w:adjustRightInd w:val="0"/>
        <w:snapToGrid w:val="0"/>
        <w:spacing w:line="480" w:lineRule="exact"/>
        <w:jc w:val="center"/>
        <w:rPr>
          <w:rFonts w:hAnsi="宋体" w:cs="宋体"/>
          <w:b/>
          <w:snapToGrid w:val="0"/>
          <w:color w:val="auto"/>
          <w:kern w:val="0"/>
          <w:sz w:val="28"/>
          <w:szCs w:val="28"/>
          <w:highlight w:val="none"/>
        </w:rPr>
      </w:pPr>
    </w:p>
    <w:p w14:paraId="75D1150B">
      <w:pPr>
        <w:wordWrap w:val="0"/>
        <w:adjustRightInd w:val="0"/>
        <w:snapToGrid w:val="0"/>
        <w:spacing w:line="480" w:lineRule="exact"/>
        <w:jc w:val="center"/>
        <w:rPr>
          <w:rFonts w:hAnsi="宋体" w:cs="宋体"/>
          <w:b/>
          <w:snapToGrid w:val="0"/>
          <w:color w:val="auto"/>
          <w:kern w:val="0"/>
          <w:sz w:val="28"/>
          <w:szCs w:val="28"/>
          <w:highlight w:val="none"/>
        </w:rPr>
        <w:sectPr>
          <w:endnotePr>
            <w:numFmt w:val="decimal"/>
          </w:endnotePr>
          <w:pgSz w:w="11906" w:h="16838"/>
          <w:pgMar w:top="1417" w:right="1417" w:bottom="1417" w:left="1417" w:header="850" w:footer="992" w:gutter="0"/>
          <w:cols w:space="0" w:num="1"/>
          <w:docGrid w:linePitch="327" w:charSpace="0"/>
        </w:sectPr>
      </w:pPr>
    </w:p>
    <w:p w14:paraId="27DA5F30">
      <w:pPr>
        <w:wordWrap w:val="0"/>
        <w:adjustRightInd w:val="0"/>
        <w:snapToGrid w:val="0"/>
        <w:spacing w:line="440" w:lineRule="exact"/>
        <w:outlineLvl w:val="1"/>
        <w:rPr>
          <w:rFonts w:hAnsi="宋体" w:cs="宋体"/>
          <w:b/>
          <w:bCs/>
          <w:snapToGrid w:val="0"/>
          <w:color w:val="auto"/>
          <w:kern w:val="0"/>
          <w:szCs w:val="24"/>
          <w:highlight w:val="none"/>
        </w:rPr>
      </w:pPr>
      <w:bookmarkStart w:id="319" w:name="_Toc19398"/>
      <w:r>
        <w:rPr>
          <w:rFonts w:hint="eastAsia" w:hAnsi="宋体" w:cs="宋体"/>
          <w:b/>
          <w:bCs/>
          <w:snapToGrid w:val="0"/>
          <w:color w:val="auto"/>
          <w:kern w:val="0"/>
          <w:szCs w:val="24"/>
          <w:highlight w:val="none"/>
        </w:rPr>
        <w:t>格式六 投标人基本情况表</w:t>
      </w:r>
      <w:bookmarkEnd w:id="319"/>
    </w:p>
    <w:p w14:paraId="3C45457B">
      <w:pPr>
        <w:pStyle w:val="72"/>
        <w:widowControl w:val="0"/>
        <w:wordWrap w:val="0"/>
        <w:adjustRightInd w:val="0"/>
        <w:snapToGrid w:val="0"/>
        <w:spacing w:before="260" w:after="260" w:line="400" w:lineRule="exact"/>
        <w:ind w:firstLine="0"/>
        <w:jc w:val="center"/>
        <w:rPr>
          <w:rFonts w:hAnsi="宋体" w:cs="宋体"/>
          <w:snapToGrid w:val="0"/>
          <w:color w:val="auto"/>
          <w:sz w:val="24"/>
          <w:highlight w:val="none"/>
        </w:rPr>
      </w:pPr>
      <w:r>
        <w:rPr>
          <w:rFonts w:hint="eastAsia" w:hAnsi="宋体" w:cs="宋体"/>
          <w:b/>
          <w:snapToGrid w:val="0"/>
          <w:color w:val="auto"/>
          <w:sz w:val="30"/>
          <w:highlight w:val="none"/>
        </w:rPr>
        <w:t>投标人基本情况表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395DE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40F35340">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投标人名称</w:t>
            </w:r>
          </w:p>
        </w:tc>
        <w:tc>
          <w:tcPr>
            <w:tcW w:w="7020" w:type="dxa"/>
            <w:gridSpan w:val="8"/>
            <w:vAlign w:val="center"/>
          </w:tcPr>
          <w:p w14:paraId="29F5C9C3">
            <w:pPr>
              <w:pStyle w:val="136"/>
              <w:wordWrap w:val="0"/>
              <w:adjustRightInd w:val="0"/>
              <w:snapToGrid w:val="0"/>
              <w:jc w:val="center"/>
              <w:rPr>
                <w:rFonts w:ascii="宋体" w:hAnsi="宋体" w:cs="宋体"/>
                <w:snapToGrid w:val="0"/>
                <w:color w:val="auto"/>
                <w:kern w:val="0"/>
                <w:szCs w:val="21"/>
                <w:highlight w:val="none"/>
              </w:rPr>
            </w:pPr>
          </w:p>
        </w:tc>
      </w:tr>
      <w:tr w14:paraId="0C689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356E481A">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注册地址</w:t>
            </w:r>
          </w:p>
        </w:tc>
        <w:tc>
          <w:tcPr>
            <w:tcW w:w="3389" w:type="dxa"/>
            <w:gridSpan w:val="3"/>
            <w:vAlign w:val="center"/>
          </w:tcPr>
          <w:p w14:paraId="41522393">
            <w:pPr>
              <w:pStyle w:val="136"/>
              <w:wordWrap w:val="0"/>
              <w:adjustRightInd w:val="0"/>
              <w:snapToGrid w:val="0"/>
              <w:jc w:val="center"/>
              <w:rPr>
                <w:rFonts w:ascii="宋体" w:hAnsi="宋体" w:cs="宋体"/>
                <w:snapToGrid w:val="0"/>
                <w:color w:val="auto"/>
                <w:kern w:val="0"/>
                <w:szCs w:val="21"/>
                <w:highlight w:val="none"/>
              </w:rPr>
            </w:pPr>
          </w:p>
        </w:tc>
        <w:tc>
          <w:tcPr>
            <w:tcW w:w="1246" w:type="dxa"/>
            <w:gridSpan w:val="2"/>
            <w:vAlign w:val="center"/>
          </w:tcPr>
          <w:p w14:paraId="0BEA5ED6">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邮政编码</w:t>
            </w:r>
          </w:p>
        </w:tc>
        <w:tc>
          <w:tcPr>
            <w:tcW w:w="2385" w:type="dxa"/>
            <w:gridSpan w:val="3"/>
            <w:vAlign w:val="center"/>
          </w:tcPr>
          <w:p w14:paraId="515E2314">
            <w:pPr>
              <w:pStyle w:val="136"/>
              <w:wordWrap w:val="0"/>
              <w:adjustRightInd w:val="0"/>
              <w:snapToGrid w:val="0"/>
              <w:jc w:val="center"/>
              <w:rPr>
                <w:rFonts w:ascii="宋体" w:hAnsi="宋体" w:cs="宋体"/>
                <w:snapToGrid w:val="0"/>
                <w:color w:val="auto"/>
                <w:kern w:val="0"/>
                <w:szCs w:val="21"/>
                <w:highlight w:val="none"/>
              </w:rPr>
            </w:pPr>
          </w:p>
        </w:tc>
      </w:tr>
      <w:tr w14:paraId="53D3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restart"/>
            <w:vAlign w:val="center"/>
          </w:tcPr>
          <w:p w14:paraId="70B2C20F">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联系方式</w:t>
            </w:r>
          </w:p>
        </w:tc>
        <w:tc>
          <w:tcPr>
            <w:tcW w:w="897" w:type="dxa"/>
            <w:vAlign w:val="center"/>
          </w:tcPr>
          <w:p w14:paraId="75946708">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联系人</w:t>
            </w:r>
          </w:p>
        </w:tc>
        <w:tc>
          <w:tcPr>
            <w:tcW w:w="2492" w:type="dxa"/>
            <w:gridSpan w:val="2"/>
            <w:vAlign w:val="center"/>
          </w:tcPr>
          <w:p w14:paraId="164B535F">
            <w:pPr>
              <w:pStyle w:val="136"/>
              <w:wordWrap w:val="0"/>
              <w:adjustRightInd w:val="0"/>
              <w:snapToGrid w:val="0"/>
              <w:jc w:val="center"/>
              <w:rPr>
                <w:rFonts w:ascii="宋体" w:hAnsi="宋体" w:cs="宋体"/>
                <w:snapToGrid w:val="0"/>
                <w:color w:val="auto"/>
                <w:kern w:val="0"/>
                <w:szCs w:val="21"/>
                <w:highlight w:val="none"/>
              </w:rPr>
            </w:pPr>
          </w:p>
        </w:tc>
        <w:tc>
          <w:tcPr>
            <w:tcW w:w="1246" w:type="dxa"/>
            <w:gridSpan w:val="2"/>
            <w:vAlign w:val="center"/>
          </w:tcPr>
          <w:p w14:paraId="67B9898D">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电  话</w:t>
            </w:r>
          </w:p>
        </w:tc>
        <w:tc>
          <w:tcPr>
            <w:tcW w:w="2385" w:type="dxa"/>
            <w:gridSpan w:val="3"/>
            <w:vAlign w:val="center"/>
          </w:tcPr>
          <w:p w14:paraId="137FBF1E">
            <w:pPr>
              <w:pStyle w:val="136"/>
              <w:wordWrap w:val="0"/>
              <w:adjustRightInd w:val="0"/>
              <w:snapToGrid w:val="0"/>
              <w:jc w:val="center"/>
              <w:rPr>
                <w:rFonts w:ascii="宋体" w:hAnsi="宋体" w:cs="宋体"/>
                <w:snapToGrid w:val="0"/>
                <w:color w:val="auto"/>
                <w:kern w:val="0"/>
                <w:szCs w:val="21"/>
                <w:highlight w:val="none"/>
              </w:rPr>
            </w:pPr>
          </w:p>
        </w:tc>
      </w:tr>
      <w:tr w14:paraId="7908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continue"/>
            <w:vAlign w:val="center"/>
          </w:tcPr>
          <w:p w14:paraId="7C95A589">
            <w:pPr>
              <w:pStyle w:val="136"/>
              <w:wordWrap w:val="0"/>
              <w:adjustRightInd w:val="0"/>
              <w:snapToGrid w:val="0"/>
              <w:jc w:val="center"/>
              <w:rPr>
                <w:rFonts w:ascii="宋体" w:hAnsi="宋体" w:cs="宋体"/>
                <w:snapToGrid w:val="0"/>
                <w:color w:val="auto"/>
                <w:kern w:val="0"/>
                <w:szCs w:val="21"/>
                <w:highlight w:val="none"/>
              </w:rPr>
            </w:pPr>
          </w:p>
        </w:tc>
        <w:tc>
          <w:tcPr>
            <w:tcW w:w="897" w:type="dxa"/>
            <w:vAlign w:val="center"/>
          </w:tcPr>
          <w:p w14:paraId="321DEB84">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传  真</w:t>
            </w:r>
          </w:p>
        </w:tc>
        <w:tc>
          <w:tcPr>
            <w:tcW w:w="2492" w:type="dxa"/>
            <w:gridSpan w:val="2"/>
            <w:vAlign w:val="center"/>
          </w:tcPr>
          <w:p w14:paraId="4DCC7DF0">
            <w:pPr>
              <w:pStyle w:val="136"/>
              <w:wordWrap w:val="0"/>
              <w:adjustRightInd w:val="0"/>
              <w:snapToGrid w:val="0"/>
              <w:jc w:val="center"/>
              <w:rPr>
                <w:rFonts w:ascii="宋体" w:hAnsi="宋体" w:cs="宋体"/>
                <w:snapToGrid w:val="0"/>
                <w:color w:val="auto"/>
                <w:kern w:val="0"/>
                <w:szCs w:val="21"/>
                <w:highlight w:val="none"/>
              </w:rPr>
            </w:pPr>
          </w:p>
        </w:tc>
        <w:tc>
          <w:tcPr>
            <w:tcW w:w="1246" w:type="dxa"/>
            <w:gridSpan w:val="2"/>
            <w:vAlign w:val="center"/>
          </w:tcPr>
          <w:p w14:paraId="60A861B3">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电子邮箱</w:t>
            </w:r>
          </w:p>
        </w:tc>
        <w:tc>
          <w:tcPr>
            <w:tcW w:w="2385" w:type="dxa"/>
            <w:gridSpan w:val="3"/>
            <w:vAlign w:val="center"/>
          </w:tcPr>
          <w:p w14:paraId="2B81EB7B">
            <w:pPr>
              <w:pStyle w:val="136"/>
              <w:wordWrap w:val="0"/>
              <w:adjustRightInd w:val="0"/>
              <w:snapToGrid w:val="0"/>
              <w:jc w:val="center"/>
              <w:rPr>
                <w:rFonts w:ascii="宋体" w:hAnsi="宋体" w:cs="宋体"/>
                <w:snapToGrid w:val="0"/>
                <w:color w:val="auto"/>
                <w:kern w:val="0"/>
                <w:szCs w:val="21"/>
                <w:highlight w:val="none"/>
              </w:rPr>
            </w:pPr>
          </w:p>
        </w:tc>
      </w:tr>
      <w:tr w14:paraId="2879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21DA3CAA">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法定代表人</w:t>
            </w:r>
          </w:p>
        </w:tc>
        <w:tc>
          <w:tcPr>
            <w:tcW w:w="897" w:type="dxa"/>
            <w:vAlign w:val="center"/>
          </w:tcPr>
          <w:p w14:paraId="7308E285">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姓名</w:t>
            </w:r>
          </w:p>
        </w:tc>
        <w:tc>
          <w:tcPr>
            <w:tcW w:w="1689" w:type="dxa"/>
            <w:vAlign w:val="center"/>
          </w:tcPr>
          <w:p w14:paraId="01032AE9">
            <w:pPr>
              <w:pStyle w:val="136"/>
              <w:wordWrap w:val="0"/>
              <w:adjustRightInd w:val="0"/>
              <w:snapToGrid w:val="0"/>
              <w:jc w:val="center"/>
              <w:rPr>
                <w:rFonts w:ascii="宋体" w:hAnsi="宋体" w:cs="宋体"/>
                <w:snapToGrid w:val="0"/>
                <w:color w:val="auto"/>
                <w:kern w:val="0"/>
                <w:szCs w:val="21"/>
                <w:highlight w:val="none"/>
              </w:rPr>
            </w:pPr>
          </w:p>
        </w:tc>
        <w:tc>
          <w:tcPr>
            <w:tcW w:w="1089" w:type="dxa"/>
            <w:gridSpan w:val="2"/>
            <w:vAlign w:val="center"/>
          </w:tcPr>
          <w:p w14:paraId="07229148">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技术职称</w:t>
            </w:r>
          </w:p>
        </w:tc>
        <w:tc>
          <w:tcPr>
            <w:tcW w:w="1220" w:type="dxa"/>
            <w:gridSpan w:val="2"/>
            <w:vAlign w:val="center"/>
          </w:tcPr>
          <w:p w14:paraId="7AD6FF43">
            <w:pPr>
              <w:pStyle w:val="136"/>
              <w:wordWrap w:val="0"/>
              <w:adjustRightInd w:val="0"/>
              <w:snapToGrid w:val="0"/>
              <w:jc w:val="center"/>
              <w:rPr>
                <w:rFonts w:ascii="宋体" w:hAnsi="宋体" w:cs="宋体"/>
                <w:snapToGrid w:val="0"/>
                <w:color w:val="auto"/>
                <w:kern w:val="0"/>
                <w:szCs w:val="21"/>
                <w:highlight w:val="none"/>
              </w:rPr>
            </w:pPr>
          </w:p>
        </w:tc>
        <w:tc>
          <w:tcPr>
            <w:tcW w:w="709" w:type="dxa"/>
            <w:vAlign w:val="center"/>
          </w:tcPr>
          <w:p w14:paraId="6E7CBB9E">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电话</w:t>
            </w:r>
          </w:p>
        </w:tc>
        <w:tc>
          <w:tcPr>
            <w:tcW w:w="1416" w:type="dxa"/>
            <w:vAlign w:val="center"/>
          </w:tcPr>
          <w:p w14:paraId="44831199">
            <w:pPr>
              <w:pStyle w:val="136"/>
              <w:wordWrap w:val="0"/>
              <w:adjustRightInd w:val="0"/>
              <w:snapToGrid w:val="0"/>
              <w:jc w:val="center"/>
              <w:rPr>
                <w:rFonts w:ascii="宋体" w:hAnsi="宋体" w:cs="宋体"/>
                <w:snapToGrid w:val="0"/>
                <w:color w:val="auto"/>
                <w:kern w:val="0"/>
                <w:szCs w:val="21"/>
                <w:highlight w:val="none"/>
              </w:rPr>
            </w:pPr>
          </w:p>
        </w:tc>
      </w:tr>
      <w:tr w14:paraId="220E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15C530F8">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技术负责人</w:t>
            </w:r>
          </w:p>
        </w:tc>
        <w:tc>
          <w:tcPr>
            <w:tcW w:w="897" w:type="dxa"/>
            <w:vAlign w:val="center"/>
          </w:tcPr>
          <w:p w14:paraId="2CF40332">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姓名</w:t>
            </w:r>
          </w:p>
        </w:tc>
        <w:tc>
          <w:tcPr>
            <w:tcW w:w="1689" w:type="dxa"/>
            <w:vAlign w:val="center"/>
          </w:tcPr>
          <w:p w14:paraId="4F32A38E">
            <w:pPr>
              <w:pStyle w:val="136"/>
              <w:wordWrap w:val="0"/>
              <w:adjustRightInd w:val="0"/>
              <w:snapToGrid w:val="0"/>
              <w:jc w:val="center"/>
              <w:rPr>
                <w:rFonts w:ascii="宋体" w:hAnsi="宋体" w:cs="宋体"/>
                <w:snapToGrid w:val="0"/>
                <w:color w:val="auto"/>
                <w:kern w:val="0"/>
                <w:szCs w:val="21"/>
                <w:highlight w:val="none"/>
              </w:rPr>
            </w:pPr>
          </w:p>
        </w:tc>
        <w:tc>
          <w:tcPr>
            <w:tcW w:w="1089" w:type="dxa"/>
            <w:gridSpan w:val="2"/>
            <w:vAlign w:val="center"/>
          </w:tcPr>
          <w:p w14:paraId="76373BE1">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技术职称</w:t>
            </w:r>
          </w:p>
        </w:tc>
        <w:tc>
          <w:tcPr>
            <w:tcW w:w="1220" w:type="dxa"/>
            <w:gridSpan w:val="2"/>
            <w:vAlign w:val="center"/>
          </w:tcPr>
          <w:p w14:paraId="414D5E8B">
            <w:pPr>
              <w:pStyle w:val="136"/>
              <w:wordWrap w:val="0"/>
              <w:adjustRightInd w:val="0"/>
              <w:snapToGrid w:val="0"/>
              <w:jc w:val="center"/>
              <w:rPr>
                <w:rFonts w:ascii="宋体" w:hAnsi="宋体" w:cs="宋体"/>
                <w:snapToGrid w:val="0"/>
                <w:color w:val="auto"/>
                <w:kern w:val="0"/>
                <w:szCs w:val="21"/>
                <w:highlight w:val="none"/>
              </w:rPr>
            </w:pPr>
          </w:p>
        </w:tc>
        <w:tc>
          <w:tcPr>
            <w:tcW w:w="709" w:type="dxa"/>
            <w:vAlign w:val="center"/>
          </w:tcPr>
          <w:p w14:paraId="25D85234">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电话</w:t>
            </w:r>
          </w:p>
        </w:tc>
        <w:tc>
          <w:tcPr>
            <w:tcW w:w="1416" w:type="dxa"/>
            <w:vAlign w:val="center"/>
          </w:tcPr>
          <w:p w14:paraId="300E4877">
            <w:pPr>
              <w:pStyle w:val="136"/>
              <w:wordWrap w:val="0"/>
              <w:adjustRightInd w:val="0"/>
              <w:snapToGrid w:val="0"/>
              <w:jc w:val="center"/>
              <w:rPr>
                <w:rFonts w:ascii="宋体" w:hAnsi="宋体" w:cs="宋体"/>
                <w:snapToGrid w:val="0"/>
                <w:color w:val="auto"/>
                <w:kern w:val="0"/>
                <w:szCs w:val="21"/>
                <w:highlight w:val="none"/>
              </w:rPr>
            </w:pPr>
          </w:p>
        </w:tc>
      </w:tr>
      <w:tr w14:paraId="16E5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116ADC64">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成立日期</w:t>
            </w:r>
          </w:p>
        </w:tc>
        <w:tc>
          <w:tcPr>
            <w:tcW w:w="2586" w:type="dxa"/>
            <w:gridSpan w:val="2"/>
            <w:vAlign w:val="center"/>
          </w:tcPr>
          <w:p w14:paraId="31845C08">
            <w:pPr>
              <w:pStyle w:val="136"/>
              <w:wordWrap w:val="0"/>
              <w:adjustRightInd w:val="0"/>
              <w:snapToGrid w:val="0"/>
              <w:jc w:val="center"/>
              <w:rPr>
                <w:rFonts w:ascii="宋体" w:hAnsi="宋体" w:cs="宋体"/>
                <w:snapToGrid w:val="0"/>
                <w:color w:val="auto"/>
                <w:kern w:val="0"/>
                <w:szCs w:val="21"/>
                <w:highlight w:val="none"/>
              </w:rPr>
            </w:pPr>
          </w:p>
        </w:tc>
        <w:tc>
          <w:tcPr>
            <w:tcW w:w="4434" w:type="dxa"/>
            <w:gridSpan w:val="6"/>
            <w:vAlign w:val="center"/>
          </w:tcPr>
          <w:p w14:paraId="5488CAEC">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员工总人数（个）：</w:t>
            </w:r>
          </w:p>
        </w:tc>
      </w:tr>
      <w:tr w14:paraId="24FF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5" w:type="dxa"/>
            <w:vAlign w:val="center"/>
          </w:tcPr>
          <w:p w14:paraId="5F649C41">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企业资质</w:t>
            </w:r>
          </w:p>
          <w:p w14:paraId="70FDE49A">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类型和等级</w:t>
            </w:r>
          </w:p>
        </w:tc>
        <w:tc>
          <w:tcPr>
            <w:tcW w:w="2586" w:type="dxa"/>
            <w:gridSpan w:val="2"/>
            <w:vAlign w:val="center"/>
          </w:tcPr>
          <w:p w14:paraId="3FBBCF9F">
            <w:pPr>
              <w:pStyle w:val="136"/>
              <w:wordWrap w:val="0"/>
              <w:adjustRightInd w:val="0"/>
              <w:snapToGrid w:val="0"/>
              <w:jc w:val="left"/>
              <w:rPr>
                <w:rFonts w:ascii="宋体" w:hAnsi="宋体" w:cs="宋体"/>
                <w:snapToGrid w:val="0"/>
                <w:color w:val="auto"/>
                <w:kern w:val="0"/>
                <w:szCs w:val="21"/>
                <w:highlight w:val="none"/>
              </w:rPr>
            </w:pPr>
          </w:p>
        </w:tc>
        <w:tc>
          <w:tcPr>
            <w:tcW w:w="1089" w:type="dxa"/>
            <w:gridSpan w:val="2"/>
            <w:vMerge w:val="restart"/>
            <w:vAlign w:val="center"/>
          </w:tcPr>
          <w:p w14:paraId="53F8BA96">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其中</w:t>
            </w:r>
          </w:p>
        </w:tc>
        <w:tc>
          <w:tcPr>
            <w:tcW w:w="1929" w:type="dxa"/>
            <w:gridSpan w:val="3"/>
            <w:vAlign w:val="center"/>
          </w:tcPr>
          <w:p w14:paraId="13106D98">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各类注册人员</w:t>
            </w:r>
          </w:p>
        </w:tc>
        <w:tc>
          <w:tcPr>
            <w:tcW w:w="1416" w:type="dxa"/>
            <w:vAlign w:val="center"/>
          </w:tcPr>
          <w:p w14:paraId="66A45836">
            <w:pPr>
              <w:pStyle w:val="136"/>
              <w:wordWrap w:val="0"/>
              <w:adjustRightInd w:val="0"/>
              <w:snapToGrid w:val="0"/>
              <w:jc w:val="center"/>
              <w:rPr>
                <w:rFonts w:ascii="宋体" w:hAnsi="宋体" w:cs="宋体"/>
                <w:snapToGrid w:val="0"/>
                <w:color w:val="auto"/>
                <w:kern w:val="0"/>
                <w:szCs w:val="21"/>
                <w:highlight w:val="none"/>
              </w:rPr>
            </w:pPr>
          </w:p>
        </w:tc>
      </w:tr>
      <w:tr w14:paraId="1356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5" w:type="dxa"/>
            <w:vAlign w:val="center"/>
          </w:tcPr>
          <w:p w14:paraId="75484E10">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营业执照号</w:t>
            </w:r>
          </w:p>
        </w:tc>
        <w:tc>
          <w:tcPr>
            <w:tcW w:w="2586" w:type="dxa"/>
            <w:gridSpan w:val="2"/>
            <w:vAlign w:val="center"/>
          </w:tcPr>
          <w:p w14:paraId="537F167F">
            <w:pPr>
              <w:pStyle w:val="136"/>
              <w:wordWrap w:val="0"/>
              <w:adjustRightInd w:val="0"/>
              <w:snapToGrid w:val="0"/>
              <w:jc w:val="center"/>
              <w:rPr>
                <w:rFonts w:ascii="宋体" w:hAnsi="宋体" w:cs="宋体"/>
                <w:snapToGrid w:val="0"/>
                <w:color w:val="auto"/>
                <w:kern w:val="0"/>
                <w:szCs w:val="21"/>
                <w:highlight w:val="none"/>
              </w:rPr>
            </w:pPr>
          </w:p>
        </w:tc>
        <w:tc>
          <w:tcPr>
            <w:tcW w:w="1089" w:type="dxa"/>
            <w:gridSpan w:val="2"/>
            <w:vMerge w:val="continue"/>
            <w:vAlign w:val="center"/>
          </w:tcPr>
          <w:p w14:paraId="2FE95C77">
            <w:pPr>
              <w:pStyle w:val="136"/>
              <w:wordWrap w:val="0"/>
              <w:adjustRightInd w:val="0"/>
              <w:snapToGrid w:val="0"/>
              <w:jc w:val="center"/>
              <w:rPr>
                <w:rFonts w:ascii="宋体" w:hAnsi="宋体" w:cs="宋体"/>
                <w:snapToGrid w:val="0"/>
                <w:color w:val="auto"/>
                <w:kern w:val="0"/>
                <w:szCs w:val="21"/>
                <w:highlight w:val="none"/>
              </w:rPr>
            </w:pPr>
          </w:p>
        </w:tc>
        <w:tc>
          <w:tcPr>
            <w:tcW w:w="1929" w:type="dxa"/>
            <w:gridSpan w:val="3"/>
            <w:vAlign w:val="center"/>
          </w:tcPr>
          <w:p w14:paraId="58F77C7C">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高级职称人员</w:t>
            </w:r>
          </w:p>
        </w:tc>
        <w:tc>
          <w:tcPr>
            <w:tcW w:w="1416" w:type="dxa"/>
            <w:vAlign w:val="center"/>
          </w:tcPr>
          <w:p w14:paraId="6727EBCF">
            <w:pPr>
              <w:pStyle w:val="136"/>
              <w:wordWrap w:val="0"/>
              <w:adjustRightInd w:val="0"/>
              <w:snapToGrid w:val="0"/>
              <w:jc w:val="center"/>
              <w:rPr>
                <w:rFonts w:ascii="宋体" w:hAnsi="宋体" w:cs="宋体"/>
                <w:snapToGrid w:val="0"/>
                <w:color w:val="auto"/>
                <w:kern w:val="0"/>
                <w:szCs w:val="21"/>
                <w:highlight w:val="none"/>
              </w:rPr>
            </w:pPr>
          </w:p>
        </w:tc>
      </w:tr>
      <w:tr w14:paraId="5AFA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5" w:type="dxa"/>
            <w:vAlign w:val="center"/>
          </w:tcPr>
          <w:p w14:paraId="70FF2694">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注册资金</w:t>
            </w:r>
          </w:p>
        </w:tc>
        <w:tc>
          <w:tcPr>
            <w:tcW w:w="2586" w:type="dxa"/>
            <w:gridSpan w:val="2"/>
            <w:vAlign w:val="center"/>
          </w:tcPr>
          <w:p w14:paraId="6B4F28EE">
            <w:pPr>
              <w:pStyle w:val="136"/>
              <w:wordWrap w:val="0"/>
              <w:adjustRightInd w:val="0"/>
              <w:snapToGrid w:val="0"/>
              <w:jc w:val="center"/>
              <w:rPr>
                <w:rFonts w:ascii="宋体" w:hAnsi="宋体" w:cs="宋体"/>
                <w:snapToGrid w:val="0"/>
                <w:color w:val="auto"/>
                <w:kern w:val="0"/>
                <w:szCs w:val="21"/>
                <w:highlight w:val="none"/>
              </w:rPr>
            </w:pPr>
          </w:p>
        </w:tc>
        <w:tc>
          <w:tcPr>
            <w:tcW w:w="1089" w:type="dxa"/>
            <w:gridSpan w:val="2"/>
            <w:vMerge w:val="continue"/>
            <w:vAlign w:val="center"/>
          </w:tcPr>
          <w:p w14:paraId="339F6456">
            <w:pPr>
              <w:pStyle w:val="136"/>
              <w:wordWrap w:val="0"/>
              <w:adjustRightInd w:val="0"/>
              <w:snapToGrid w:val="0"/>
              <w:jc w:val="center"/>
              <w:rPr>
                <w:rFonts w:ascii="宋体" w:hAnsi="宋体" w:cs="宋体"/>
                <w:snapToGrid w:val="0"/>
                <w:color w:val="auto"/>
                <w:kern w:val="0"/>
                <w:szCs w:val="21"/>
                <w:highlight w:val="none"/>
              </w:rPr>
            </w:pPr>
          </w:p>
        </w:tc>
        <w:tc>
          <w:tcPr>
            <w:tcW w:w="1929" w:type="dxa"/>
            <w:gridSpan w:val="3"/>
            <w:vAlign w:val="center"/>
          </w:tcPr>
          <w:p w14:paraId="099C1C60">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中级职称人员</w:t>
            </w:r>
          </w:p>
        </w:tc>
        <w:tc>
          <w:tcPr>
            <w:tcW w:w="1416" w:type="dxa"/>
            <w:vAlign w:val="center"/>
          </w:tcPr>
          <w:p w14:paraId="5467645F">
            <w:pPr>
              <w:pStyle w:val="136"/>
              <w:wordWrap w:val="0"/>
              <w:adjustRightInd w:val="0"/>
              <w:snapToGrid w:val="0"/>
              <w:jc w:val="center"/>
              <w:rPr>
                <w:rFonts w:ascii="宋体" w:hAnsi="宋体" w:cs="宋体"/>
                <w:snapToGrid w:val="0"/>
                <w:color w:val="auto"/>
                <w:kern w:val="0"/>
                <w:szCs w:val="21"/>
                <w:highlight w:val="none"/>
              </w:rPr>
            </w:pPr>
          </w:p>
        </w:tc>
      </w:tr>
      <w:tr w14:paraId="2979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5" w:type="dxa"/>
            <w:vAlign w:val="center"/>
          </w:tcPr>
          <w:p w14:paraId="55C3C131">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基本账户</w:t>
            </w:r>
          </w:p>
          <w:p w14:paraId="66D98136">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开户银行</w:t>
            </w:r>
          </w:p>
        </w:tc>
        <w:tc>
          <w:tcPr>
            <w:tcW w:w="2586" w:type="dxa"/>
            <w:gridSpan w:val="2"/>
            <w:vAlign w:val="center"/>
          </w:tcPr>
          <w:p w14:paraId="531EB950">
            <w:pPr>
              <w:pStyle w:val="136"/>
              <w:wordWrap w:val="0"/>
              <w:adjustRightInd w:val="0"/>
              <w:snapToGrid w:val="0"/>
              <w:jc w:val="center"/>
              <w:rPr>
                <w:rFonts w:ascii="宋体" w:hAnsi="宋体" w:cs="宋体"/>
                <w:snapToGrid w:val="0"/>
                <w:color w:val="auto"/>
                <w:kern w:val="0"/>
                <w:szCs w:val="21"/>
                <w:highlight w:val="none"/>
              </w:rPr>
            </w:pPr>
          </w:p>
        </w:tc>
        <w:tc>
          <w:tcPr>
            <w:tcW w:w="1089" w:type="dxa"/>
            <w:gridSpan w:val="2"/>
            <w:vMerge w:val="continue"/>
            <w:vAlign w:val="center"/>
          </w:tcPr>
          <w:p w14:paraId="6FB92093">
            <w:pPr>
              <w:pStyle w:val="136"/>
              <w:wordWrap w:val="0"/>
              <w:adjustRightInd w:val="0"/>
              <w:snapToGrid w:val="0"/>
              <w:jc w:val="center"/>
              <w:rPr>
                <w:rFonts w:ascii="宋体" w:hAnsi="宋体" w:cs="宋体"/>
                <w:snapToGrid w:val="0"/>
                <w:color w:val="auto"/>
                <w:kern w:val="0"/>
                <w:szCs w:val="21"/>
                <w:highlight w:val="none"/>
              </w:rPr>
            </w:pPr>
          </w:p>
        </w:tc>
        <w:tc>
          <w:tcPr>
            <w:tcW w:w="1929" w:type="dxa"/>
            <w:gridSpan w:val="3"/>
            <w:vAlign w:val="center"/>
          </w:tcPr>
          <w:p w14:paraId="7786B5B6">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初级职称人员</w:t>
            </w:r>
          </w:p>
        </w:tc>
        <w:tc>
          <w:tcPr>
            <w:tcW w:w="1416" w:type="dxa"/>
            <w:vAlign w:val="center"/>
          </w:tcPr>
          <w:p w14:paraId="5AAF3BA2">
            <w:pPr>
              <w:pStyle w:val="136"/>
              <w:wordWrap w:val="0"/>
              <w:adjustRightInd w:val="0"/>
              <w:snapToGrid w:val="0"/>
              <w:jc w:val="center"/>
              <w:rPr>
                <w:rFonts w:ascii="宋体" w:hAnsi="宋体" w:cs="宋体"/>
                <w:snapToGrid w:val="0"/>
                <w:color w:val="auto"/>
                <w:kern w:val="0"/>
                <w:szCs w:val="21"/>
                <w:highlight w:val="none"/>
              </w:rPr>
            </w:pPr>
          </w:p>
        </w:tc>
      </w:tr>
      <w:tr w14:paraId="5D7F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5" w:type="dxa"/>
            <w:vAlign w:val="center"/>
          </w:tcPr>
          <w:p w14:paraId="01ACC4B2">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基本账户</w:t>
            </w:r>
          </w:p>
          <w:p w14:paraId="41FAD386">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银行账号</w:t>
            </w:r>
          </w:p>
        </w:tc>
        <w:tc>
          <w:tcPr>
            <w:tcW w:w="2586" w:type="dxa"/>
            <w:gridSpan w:val="2"/>
            <w:vAlign w:val="center"/>
          </w:tcPr>
          <w:p w14:paraId="5F82E5BB">
            <w:pPr>
              <w:pStyle w:val="136"/>
              <w:wordWrap w:val="0"/>
              <w:adjustRightInd w:val="0"/>
              <w:snapToGrid w:val="0"/>
              <w:jc w:val="center"/>
              <w:rPr>
                <w:rFonts w:ascii="宋体" w:hAnsi="宋体" w:cs="宋体"/>
                <w:snapToGrid w:val="0"/>
                <w:color w:val="auto"/>
                <w:kern w:val="0"/>
                <w:szCs w:val="21"/>
                <w:highlight w:val="none"/>
              </w:rPr>
            </w:pPr>
          </w:p>
        </w:tc>
        <w:tc>
          <w:tcPr>
            <w:tcW w:w="1089" w:type="dxa"/>
            <w:gridSpan w:val="2"/>
            <w:vMerge w:val="continue"/>
            <w:vAlign w:val="center"/>
          </w:tcPr>
          <w:p w14:paraId="4376DF60">
            <w:pPr>
              <w:pStyle w:val="136"/>
              <w:wordWrap w:val="0"/>
              <w:adjustRightInd w:val="0"/>
              <w:snapToGrid w:val="0"/>
              <w:jc w:val="center"/>
              <w:rPr>
                <w:rFonts w:ascii="宋体" w:hAnsi="宋体" w:cs="宋体"/>
                <w:snapToGrid w:val="0"/>
                <w:color w:val="auto"/>
                <w:kern w:val="0"/>
                <w:szCs w:val="21"/>
                <w:highlight w:val="none"/>
              </w:rPr>
            </w:pPr>
          </w:p>
        </w:tc>
        <w:tc>
          <w:tcPr>
            <w:tcW w:w="1929" w:type="dxa"/>
            <w:gridSpan w:val="3"/>
            <w:vAlign w:val="center"/>
          </w:tcPr>
          <w:p w14:paraId="4671252B">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技术员</w:t>
            </w:r>
          </w:p>
        </w:tc>
        <w:tc>
          <w:tcPr>
            <w:tcW w:w="1416" w:type="dxa"/>
            <w:vAlign w:val="center"/>
          </w:tcPr>
          <w:p w14:paraId="5F52F934">
            <w:pPr>
              <w:pStyle w:val="136"/>
              <w:wordWrap w:val="0"/>
              <w:adjustRightInd w:val="0"/>
              <w:snapToGrid w:val="0"/>
              <w:jc w:val="center"/>
              <w:rPr>
                <w:rFonts w:ascii="宋体" w:hAnsi="宋体" w:cs="宋体"/>
                <w:snapToGrid w:val="0"/>
                <w:color w:val="auto"/>
                <w:kern w:val="0"/>
                <w:szCs w:val="21"/>
                <w:highlight w:val="none"/>
              </w:rPr>
            </w:pPr>
          </w:p>
        </w:tc>
      </w:tr>
      <w:tr w14:paraId="1615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exact"/>
          <w:jc w:val="center"/>
        </w:trPr>
        <w:tc>
          <w:tcPr>
            <w:tcW w:w="1485" w:type="dxa"/>
            <w:vAlign w:val="center"/>
          </w:tcPr>
          <w:p w14:paraId="6E2692A4">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经营范围</w:t>
            </w:r>
          </w:p>
        </w:tc>
        <w:tc>
          <w:tcPr>
            <w:tcW w:w="7020" w:type="dxa"/>
            <w:gridSpan w:val="8"/>
            <w:vAlign w:val="center"/>
          </w:tcPr>
          <w:p w14:paraId="28B3173C">
            <w:pPr>
              <w:pStyle w:val="136"/>
              <w:wordWrap w:val="0"/>
              <w:adjustRightInd w:val="0"/>
              <w:snapToGrid w:val="0"/>
              <w:jc w:val="center"/>
              <w:rPr>
                <w:rFonts w:ascii="宋体" w:hAnsi="宋体" w:cs="宋体"/>
                <w:snapToGrid w:val="0"/>
                <w:color w:val="auto"/>
                <w:kern w:val="0"/>
                <w:szCs w:val="21"/>
                <w:highlight w:val="none"/>
              </w:rPr>
            </w:pPr>
          </w:p>
        </w:tc>
      </w:tr>
      <w:tr w14:paraId="3CF2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exact"/>
          <w:jc w:val="center"/>
        </w:trPr>
        <w:tc>
          <w:tcPr>
            <w:tcW w:w="1485" w:type="dxa"/>
            <w:vAlign w:val="center"/>
          </w:tcPr>
          <w:p w14:paraId="6F334C7C">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关联企业情况</w:t>
            </w:r>
          </w:p>
        </w:tc>
        <w:tc>
          <w:tcPr>
            <w:tcW w:w="7020" w:type="dxa"/>
            <w:gridSpan w:val="8"/>
            <w:vAlign w:val="center"/>
          </w:tcPr>
          <w:p w14:paraId="627CBE37">
            <w:pPr>
              <w:pStyle w:val="136"/>
              <w:wordWrap w:val="0"/>
              <w:adjustRightInd w:val="0"/>
              <w:snapToGrid w:val="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包括但不限于与投标人存在以下关系的不同单位：</w:t>
            </w:r>
          </w:p>
          <w:p w14:paraId="78866B0F">
            <w:pPr>
              <w:pStyle w:val="136"/>
              <w:wordWrap w:val="0"/>
              <w:adjustRightInd w:val="0"/>
              <w:snapToGrid w:val="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1．法定代表人为同一人的。</w:t>
            </w:r>
          </w:p>
          <w:p w14:paraId="2B8DF13B">
            <w:pPr>
              <w:pStyle w:val="136"/>
              <w:wordWrap w:val="0"/>
              <w:adjustRightInd w:val="0"/>
              <w:snapToGrid w:val="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2．存在控股、管理关系的。</w:t>
            </w:r>
          </w:p>
          <w:p w14:paraId="78C5A631">
            <w:pPr>
              <w:pStyle w:val="136"/>
              <w:wordWrap w:val="0"/>
              <w:adjustRightInd w:val="0"/>
              <w:snapToGrid w:val="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3．主要人员相互任职的。</w:t>
            </w:r>
          </w:p>
        </w:tc>
      </w:tr>
      <w:tr w14:paraId="0DFFB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exact"/>
          <w:jc w:val="center"/>
        </w:trPr>
        <w:tc>
          <w:tcPr>
            <w:tcW w:w="1485" w:type="dxa"/>
            <w:vAlign w:val="center"/>
          </w:tcPr>
          <w:p w14:paraId="66B1DD7A">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备注</w:t>
            </w:r>
          </w:p>
        </w:tc>
        <w:tc>
          <w:tcPr>
            <w:tcW w:w="7020" w:type="dxa"/>
            <w:gridSpan w:val="8"/>
            <w:vAlign w:val="center"/>
          </w:tcPr>
          <w:p w14:paraId="0B7A9410">
            <w:pPr>
              <w:pStyle w:val="136"/>
              <w:wordWrap w:val="0"/>
              <w:adjustRightInd w:val="0"/>
              <w:snapToGrid w:val="0"/>
              <w:jc w:val="center"/>
              <w:rPr>
                <w:rFonts w:ascii="宋体" w:hAnsi="宋体" w:cs="宋体"/>
                <w:snapToGrid w:val="0"/>
                <w:color w:val="auto"/>
                <w:kern w:val="0"/>
                <w:szCs w:val="21"/>
                <w:highlight w:val="none"/>
              </w:rPr>
            </w:pPr>
          </w:p>
        </w:tc>
      </w:tr>
    </w:tbl>
    <w:p w14:paraId="31CF04E5">
      <w:pPr>
        <w:pStyle w:val="136"/>
        <w:wordWrap w:val="0"/>
        <w:adjustRightInd w:val="0"/>
        <w:snapToGrid w:val="0"/>
        <w:spacing w:line="400" w:lineRule="exact"/>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说明：</w:t>
      </w:r>
    </w:p>
    <w:p w14:paraId="48B0DF88">
      <w:pPr>
        <w:pStyle w:val="136"/>
        <w:wordWrap w:val="0"/>
        <w:adjustRightInd w:val="0"/>
        <w:snapToGrid w:val="0"/>
        <w:spacing w:line="400" w:lineRule="exact"/>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1．《投标人基本情况表》后应附以下资料：</w:t>
      </w:r>
    </w:p>
    <w:p w14:paraId="77700285">
      <w:pPr>
        <w:pStyle w:val="136"/>
        <w:wordWrap w:val="0"/>
        <w:adjustRightInd w:val="0"/>
        <w:snapToGrid w:val="0"/>
        <w:spacing w:line="400" w:lineRule="exact"/>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（1）企业营业执照、资质证书</w:t>
      </w:r>
      <w:r>
        <w:rPr>
          <w:rFonts w:hint="eastAsia" w:ascii="宋体" w:hAnsi="宋体" w:cs="宋体"/>
          <w:snapToGrid w:val="0"/>
          <w:color w:val="auto"/>
          <w:kern w:val="0"/>
          <w:szCs w:val="21"/>
          <w:highlight w:val="none"/>
          <w:lang w:val="en-US" w:eastAsia="zh-CN"/>
        </w:rPr>
        <w:t>彩色</w:t>
      </w:r>
      <w:r>
        <w:rPr>
          <w:rFonts w:hint="eastAsia" w:ascii="宋体" w:hAnsi="宋体" w:cs="宋体"/>
          <w:snapToGrid w:val="0"/>
          <w:color w:val="auto"/>
          <w:kern w:val="0"/>
          <w:szCs w:val="21"/>
          <w:highlight w:val="none"/>
        </w:rPr>
        <w:t>扫描件（因推行电子证照，企业的营业执照、资质证书等可以提供电子证照）；</w:t>
      </w:r>
    </w:p>
    <w:p w14:paraId="3B9DB170">
      <w:pPr>
        <w:pStyle w:val="136"/>
        <w:wordWrap w:val="0"/>
        <w:adjustRightInd w:val="0"/>
        <w:snapToGrid w:val="0"/>
        <w:spacing w:line="400" w:lineRule="exact"/>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w:t>
      </w:r>
      <w:r>
        <w:rPr>
          <w:rFonts w:hint="eastAsia" w:ascii="宋体" w:hAnsi="宋体" w:cs="宋体"/>
          <w:snapToGrid w:val="0"/>
          <w:color w:val="auto"/>
          <w:kern w:val="0"/>
          <w:highlight w:val="none"/>
        </w:rPr>
        <w:t>“进粤企业和人员诚信信息登记平台”企业信息情况打印页。（适用于省外企业）</w:t>
      </w:r>
      <w:r>
        <w:rPr>
          <w:rFonts w:hint="eastAsia" w:ascii="宋体" w:hAnsi="宋体" w:cs="宋体"/>
          <w:snapToGrid w:val="0"/>
          <w:color w:val="auto"/>
          <w:kern w:val="0"/>
          <w:szCs w:val="21"/>
          <w:highlight w:val="none"/>
        </w:rPr>
        <w:t>。</w:t>
      </w:r>
    </w:p>
    <w:p w14:paraId="6A573612">
      <w:pPr>
        <w:pStyle w:val="72"/>
        <w:widowControl w:val="0"/>
        <w:wordWrap w:val="0"/>
        <w:adjustRightInd w:val="0"/>
        <w:snapToGrid w:val="0"/>
        <w:spacing w:line="400" w:lineRule="exact"/>
        <w:rPr>
          <w:rFonts w:hAnsi="宋体" w:cs="宋体"/>
          <w:snapToGrid w:val="0"/>
          <w:color w:val="auto"/>
          <w:sz w:val="21"/>
          <w:szCs w:val="21"/>
          <w:highlight w:val="none"/>
        </w:rPr>
      </w:pPr>
      <w:r>
        <w:rPr>
          <w:rFonts w:hint="eastAsia" w:hAnsi="宋体" w:cs="宋体"/>
          <w:snapToGrid w:val="0"/>
          <w:color w:val="auto"/>
          <w:sz w:val="21"/>
          <w:szCs w:val="21"/>
          <w:highlight w:val="none"/>
        </w:rPr>
        <w:t>（3）《法人和非法人组织公共信用信息报告》打印件(在“信用中国”网站企业查询界面中下载) 。</w:t>
      </w:r>
    </w:p>
    <w:p w14:paraId="286E4BB9">
      <w:pPr>
        <w:wordWrap w:val="0"/>
        <w:adjustRightInd w:val="0"/>
        <w:snapToGrid w:val="0"/>
        <w:spacing w:line="440" w:lineRule="exact"/>
        <w:jc w:val="left"/>
        <w:outlineLvl w:val="1"/>
        <w:rPr>
          <w:rFonts w:hAnsi="宋体" w:cs="宋体"/>
          <w:b/>
          <w:snapToGrid w:val="0"/>
          <w:color w:val="auto"/>
          <w:kern w:val="0"/>
          <w:highlight w:val="none"/>
        </w:rPr>
      </w:pPr>
      <w:bookmarkStart w:id="320" w:name="_Toc22906"/>
      <w:r>
        <w:rPr>
          <w:rFonts w:hint="eastAsia" w:hAnsi="宋体" w:cs="宋体"/>
          <w:b/>
          <w:snapToGrid w:val="0"/>
          <w:color w:val="auto"/>
          <w:kern w:val="0"/>
          <w:highlight w:val="none"/>
        </w:rPr>
        <w:t>格式七 总监理工程师任职声明（适用于无任职项目）</w:t>
      </w:r>
      <w:bookmarkEnd w:id="320"/>
    </w:p>
    <w:p w14:paraId="6FD021E2">
      <w:pPr>
        <w:wordWrap w:val="0"/>
        <w:adjustRightInd w:val="0"/>
        <w:snapToGrid w:val="0"/>
        <w:spacing w:line="440" w:lineRule="exact"/>
        <w:jc w:val="left"/>
        <w:rPr>
          <w:rFonts w:hAnsi="宋体" w:cs="宋体"/>
          <w:b/>
          <w:snapToGrid w:val="0"/>
          <w:color w:val="auto"/>
          <w:kern w:val="0"/>
          <w:highlight w:val="none"/>
        </w:rPr>
      </w:pPr>
    </w:p>
    <w:p w14:paraId="7734BDAC">
      <w:pPr>
        <w:wordWrap w:val="0"/>
        <w:adjustRightInd w:val="0"/>
        <w:snapToGrid w:val="0"/>
        <w:spacing w:before="260" w:after="260" w:line="440" w:lineRule="exact"/>
        <w:jc w:val="center"/>
        <w:rPr>
          <w:rFonts w:hAnsi="宋体" w:cs="宋体"/>
          <w:snapToGrid w:val="0"/>
          <w:color w:val="auto"/>
          <w:kern w:val="0"/>
          <w:szCs w:val="28"/>
          <w:highlight w:val="none"/>
        </w:rPr>
      </w:pPr>
      <w:r>
        <w:rPr>
          <w:rFonts w:hint="eastAsia" w:hAnsi="宋体" w:cs="宋体"/>
          <w:b/>
          <w:snapToGrid w:val="0"/>
          <w:color w:val="auto"/>
          <w:kern w:val="0"/>
          <w:sz w:val="30"/>
          <w:highlight w:val="none"/>
        </w:rPr>
        <w:t>总监理工程师任职声明</w:t>
      </w:r>
    </w:p>
    <w:p w14:paraId="2F3A4633">
      <w:pPr>
        <w:wordWrap w:val="0"/>
        <w:adjustRightInd w:val="0"/>
        <w:snapToGrid w:val="0"/>
        <w:spacing w:line="440" w:lineRule="exact"/>
        <w:jc w:val="center"/>
        <w:rPr>
          <w:rFonts w:hAnsi="宋体" w:cs="宋体"/>
          <w:snapToGrid w:val="0"/>
          <w:color w:val="auto"/>
          <w:kern w:val="0"/>
          <w:szCs w:val="28"/>
          <w:highlight w:val="none"/>
        </w:rPr>
      </w:pPr>
    </w:p>
    <w:p w14:paraId="14B6B195">
      <w:pPr>
        <w:wordWrap w:val="0"/>
        <w:adjustRightInd w:val="0"/>
        <w:snapToGrid w:val="0"/>
        <w:spacing w:line="440" w:lineRule="exact"/>
        <w:rPr>
          <w:rFonts w:hAnsi="宋体" w:cs="宋体"/>
          <w:snapToGrid w:val="0"/>
          <w:color w:val="auto"/>
          <w:kern w:val="0"/>
          <w:szCs w:val="28"/>
          <w:highlight w:val="none"/>
        </w:rPr>
      </w:pPr>
      <w:r>
        <w:rPr>
          <w:rFonts w:hint="eastAsia" w:hAnsi="宋体" w:cs="宋体"/>
          <w:snapToGrid w:val="0"/>
          <w:color w:val="auto"/>
          <w:kern w:val="0"/>
          <w:szCs w:val="28"/>
          <w:highlight w:val="none"/>
        </w:rPr>
        <w:t>致：</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（招标人名称）：</w:t>
      </w:r>
    </w:p>
    <w:p w14:paraId="392868E0">
      <w:pPr>
        <w:wordWrap w:val="0"/>
        <w:adjustRightInd w:val="0"/>
        <w:snapToGrid w:val="0"/>
        <w:spacing w:line="440" w:lineRule="exact"/>
        <w:ind w:firstLine="480" w:firstLineChars="200"/>
        <w:rPr>
          <w:rFonts w:hAnsi="宋体" w:cs="宋体"/>
          <w:snapToGrid w:val="0"/>
          <w:color w:val="auto"/>
          <w:kern w:val="0"/>
          <w:szCs w:val="28"/>
          <w:highlight w:val="none"/>
        </w:rPr>
      </w:pPr>
      <w:r>
        <w:rPr>
          <w:rFonts w:hint="eastAsia" w:hAnsi="宋体" w:cs="宋体"/>
          <w:snapToGrid w:val="0"/>
          <w:color w:val="auto"/>
          <w:kern w:val="0"/>
          <w:szCs w:val="28"/>
          <w:highlight w:val="none"/>
        </w:rPr>
        <w:t>我方在此声明，我方拟派往</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（项目名称）的总监理工程师</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（总监理工程师姓名）现阶段未担任任何在施（包括已中标未开工、已开工未竣工）建设工程项目的总监理工程师。</w:t>
      </w:r>
    </w:p>
    <w:p w14:paraId="5C57411E">
      <w:pPr>
        <w:wordWrap w:val="0"/>
        <w:adjustRightInd w:val="0"/>
        <w:snapToGrid w:val="0"/>
        <w:spacing w:line="440" w:lineRule="exact"/>
        <w:ind w:firstLine="480"/>
        <w:rPr>
          <w:rFonts w:hAnsi="宋体" w:cs="宋体"/>
          <w:snapToGrid w:val="0"/>
          <w:color w:val="auto"/>
          <w:kern w:val="0"/>
          <w:szCs w:val="28"/>
          <w:highlight w:val="none"/>
        </w:rPr>
      </w:pPr>
      <w:r>
        <w:rPr>
          <w:rFonts w:hint="eastAsia" w:hAnsi="宋体" w:cs="宋体"/>
          <w:snapToGrid w:val="0"/>
          <w:color w:val="auto"/>
          <w:kern w:val="0"/>
          <w:szCs w:val="28"/>
          <w:highlight w:val="none"/>
        </w:rPr>
        <w:t>我方保证上述信息的真实和准确，并愿意承担因我方就此弄虚作假所引起的一切法律后果。</w:t>
      </w:r>
    </w:p>
    <w:p w14:paraId="568537D9">
      <w:pPr>
        <w:wordWrap w:val="0"/>
        <w:adjustRightInd w:val="0"/>
        <w:snapToGrid w:val="0"/>
        <w:spacing w:line="440" w:lineRule="exact"/>
        <w:ind w:firstLine="480"/>
        <w:rPr>
          <w:rFonts w:hAnsi="宋体" w:cs="宋体"/>
          <w:snapToGrid w:val="0"/>
          <w:color w:val="auto"/>
          <w:kern w:val="0"/>
          <w:szCs w:val="28"/>
          <w:highlight w:val="none"/>
        </w:rPr>
      </w:pPr>
      <w:r>
        <w:rPr>
          <w:rFonts w:hint="eastAsia" w:hAnsi="宋体" w:cs="宋体"/>
          <w:snapToGrid w:val="0"/>
          <w:color w:val="auto"/>
          <w:kern w:val="0"/>
          <w:szCs w:val="28"/>
          <w:highlight w:val="none"/>
        </w:rPr>
        <w:t>　　</w:t>
      </w:r>
    </w:p>
    <w:p w14:paraId="36EB755F">
      <w:pPr>
        <w:wordWrap w:val="0"/>
        <w:adjustRightInd w:val="0"/>
        <w:snapToGrid w:val="0"/>
        <w:spacing w:line="440" w:lineRule="exact"/>
        <w:rPr>
          <w:rFonts w:hAnsi="宋体" w:cs="宋体"/>
          <w:snapToGrid w:val="0"/>
          <w:color w:val="auto"/>
          <w:kern w:val="0"/>
          <w:szCs w:val="28"/>
          <w:highlight w:val="none"/>
        </w:rPr>
      </w:pPr>
      <w:r>
        <w:rPr>
          <w:rFonts w:hint="eastAsia" w:hAnsi="宋体" w:cs="宋体"/>
          <w:snapToGrid w:val="0"/>
          <w:color w:val="auto"/>
          <w:kern w:val="0"/>
          <w:szCs w:val="28"/>
          <w:highlight w:val="none"/>
        </w:rPr>
        <w:t>　　特此承诺　　</w:t>
      </w:r>
    </w:p>
    <w:p w14:paraId="699B7C56">
      <w:pPr>
        <w:wordWrap w:val="0"/>
        <w:adjustRightInd w:val="0"/>
        <w:snapToGrid w:val="0"/>
        <w:spacing w:line="440" w:lineRule="exact"/>
        <w:rPr>
          <w:rFonts w:hAnsi="宋体" w:cs="宋体"/>
          <w:snapToGrid w:val="0"/>
          <w:color w:val="auto"/>
          <w:kern w:val="0"/>
          <w:szCs w:val="28"/>
          <w:highlight w:val="none"/>
        </w:rPr>
      </w:pPr>
      <w:r>
        <w:rPr>
          <w:rFonts w:hint="eastAsia" w:hAnsi="宋体" w:cs="宋体"/>
          <w:snapToGrid w:val="0"/>
          <w:color w:val="auto"/>
          <w:kern w:val="0"/>
          <w:szCs w:val="28"/>
          <w:highlight w:val="none"/>
        </w:rPr>
        <w:t>　　</w:t>
      </w:r>
    </w:p>
    <w:p w14:paraId="5244A9EE">
      <w:pPr>
        <w:wordWrap w:val="0"/>
        <w:adjustRightInd w:val="0"/>
        <w:snapToGrid w:val="0"/>
        <w:spacing w:line="440" w:lineRule="exact"/>
        <w:rPr>
          <w:rFonts w:hAnsi="宋体" w:cs="宋体"/>
          <w:snapToGrid w:val="0"/>
          <w:color w:val="auto"/>
          <w:kern w:val="0"/>
          <w:szCs w:val="28"/>
          <w:highlight w:val="none"/>
        </w:rPr>
      </w:pPr>
      <w:r>
        <w:rPr>
          <w:rFonts w:hint="eastAsia" w:hAnsi="宋体" w:cs="宋体"/>
          <w:snapToGrid w:val="0"/>
          <w:color w:val="auto"/>
          <w:kern w:val="0"/>
          <w:szCs w:val="28"/>
          <w:highlight w:val="none"/>
        </w:rPr>
        <w:t>　　</w:t>
      </w:r>
    </w:p>
    <w:p w14:paraId="5FB105EA">
      <w:pPr>
        <w:wordWrap w:val="0"/>
        <w:adjustRightInd w:val="0"/>
        <w:snapToGrid w:val="0"/>
        <w:spacing w:line="440" w:lineRule="exact"/>
        <w:jc w:val="right"/>
        <w:rPr>
          <w:rFonts w:hAnsi="宋体" w:cs="宋体"/>
          <w:snapToGrid w:val="0"/>
          <w:color w:val="auto"/>
          <w:kern w:val="0"/>
          <w:szCs w:val="28"/>
          <w:highlight w:val="none"/>
        </w:rPr>
      </w:pPr>
      <w:r>
        <w:rPr>
          <w:rFonts w:hint="eastAsia" w:hAnsi="宋体" w:cs="宋体"/>
          <w:snapToGrid w:val="0"/>
          <w:color w:val="auto"/>
          <w:kern w:val="0"/>
          <w:szCs w:val="28"/>
          <w:highlight w:val="none"/>
        </w:rPr>
        <w:t>投标人：</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（盖单位章）</w:t>
      </w:r>
    </w:p>
    <w:p w14:paraId="2A604D50">
      <w:pPr>
        <w:wordWrap w:val="0"/>
        <w:adjustRightInd w:val="0"/>
        <w:snapToGrid w:val="0"/>
        <w:spacing w:line="440" w:lineRule="exact"/>
        <w:jc w:val="right"/>
        <w:rPr>
          <w:rFonts w:hAnsi="宋体" w:cs="宋体"/>
          <w:snapToGrid w:val="0"/>
          <w:color w:val="auto"/>
          <w:kern w:val="0"/>
          <w:szCs w:val="28"/>
          <w:highlight w:val="none"/>
        </w:rPr>
      </w:pPr>
    </w:p>
    <w:p w14:paraId="71BB53AD">
      <w:pPr>
        <w:wordWrap w:val="0"/>
        <w:adjustRightInd w:val="0"/>
        <w:snapToGrid w:val="0"/>
        <w:spacing w:line="440" w:lineRule="exact"/>
        <w:jc w:val="right"/>
        <w:rPr>
          <w:rFonts w:hAnsi="宋体" w:cs="宋体"/>
          <w:snapToGrid w:val="0"/>
          <w:color w:val="auto"/>
          <w:kern w:val="0"/>
          <w:szCs w:val="28"/>
          <w:highlight w:val="none"/>
        </w:rPr>
      </w:pPr>
    </w:p>
    <w:p w14:paraId="0C3A73EA">
      <w:pPr>
        <w:wordWrap w:val="0"/>
        <w:adjustRightInd w:val="0"/>
        <w:snapToGrid w:val="0"/>
        <w:spacing w:line="440" w:lineRule="exact"/>
        <w:jc w:val="right"/>
        <w:rPr>
          <w:rFonts w:hAnsi="宋体" w:cs="宋体"/>
          <w:snapToGrid w:val="0"/>
          <w:color w:val="auto"/>
          <w:kern w:val="0"/>
          <w:szCs w:val="28"/>
          <w:highlight w:val="none"/>
        </w:rPr>
      </w:pPr>
      <w:r>
        <w:rPr>
          <w:rFonts w:hint="eastAsia" w:hAnsi="宋体" w:cs="宋体"/>
          <w:snapToGrid w:val="0"/>
          <w:color w:val="auto"/>
          <w:kern w:val="0"/>
          <w:szCs w:val="28"/>
          <w:highlight w:val="none"/>
        </w:rPr>
        <w:t>法定代表人或其委托代理人：</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（签字或盖章）</w:t>
      </w:r>
    </w:p>
    <w:p w14:paraId="7AE6CC90">
      <w:pPr>
        <w:wordWrap w:val="0"/>
        <w:adjustRightInd w:val="0"/>
        <w:snapToGrid w:val="0"/>
        <w:spacing w:line="440" w:lineRule="exact"/>
        <w:jc w:val="right"/>
        <w:rPr>
          <w:rFonts w:hAnsi="宋体" w:cs="宋体"/>
          <w:snapToGrid w:val="0"/>
          <w:color w:val="auto"/>
          <w:kern w:val="0"/>
          <w:szCs w:val="28"/>
          <w:highlight w:val="none"/>
        </w:rPr>
      </w:pPr>
    </w:p>
    <w:p w14:paraId="3C9B11CD">
      <w:pPr>
        <w:wordWrap w:val="0"/>
        <w:adjustRightInd w:val="0"/>
        <w:snapToGrid w:val="0"/>
        <w:spacing w:line="440" w:lineRule="exact"/>
        <w:jc w:val="center"/>
        <w:rPr>
          <w:rFonts w:hAnsi="宋体" w:cs="宋体"/>
          <w:snapToGrid w:val="0"/>
          <w:color w:val="auto"/>
          <w:kern w:val="0"/>
          <w:szCs w:val="28"/>
          <w:highlight w:val="none"/>
        </w:rPr>
      </w:pPr>
      <w:r>
        <w:rPr>
          <w:rFonts w:hint="eastAsia" w:hAnsi="宋体" w:cs="宋体"/>
          <w:snapToGrid w:val="0"/>
          <w:color w:val="auto"/>
          <w:kern w:val="0"/>
          <w:szCs w:val="28"/>
          <w:highlight w:val="none"/>
        </w:rPr>
        <w:t xml:space="preserve">                            </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年</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月</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日</w:t>
      </w:r>
    </w:p>
    <w:p w14:paraId="7BA2FE9F">
      <w:pPr>
        <w:wordWrap w:val="0"/>
        <w:adjustRightInd w:val="0"/>
        <w:snapToGrid w:val="0"/>
        <w:spacing w:line="400" w:lineRule="exact"/>
        <w:ind w:firstLine="420"/>
        <w:rPr>
          <w:rFonts w:hAnsi="宋体" w:cs="宋体"/>
          <w:snapToGrid w:val="0"/>
          <w:color w:val="auto"/>
          <w:kern w:val="0"/>
          <w:sz w:val="21"/>
          <w:szCs w:val="28"/>
          <w:highlight w:val="none"/>
        </w:rPr>
        <w:sectPr>
          <w:endnotePr>
            <w:numFmt w:val="decimal"/>
          </w:endnotePr>
          <w:pgSz w:w="11906" w:h="16838"/>
          <w:pgMar w:top="1417" w:right="1417" w:bottom="1417" w:left="1417" w:header="850" w:footer="992" w:gutter="0"/>
          <w:cols w:space="0" w:num="1"/>
          <w:docGrid w:linePitch="327" w:charSpace="0"/>
        </w:sectPr>
      </w:pPr>
    </w:p>
    <w:p w14:paraId="44A5B4BF">
      <w:pPr>
        <w:wordWrap w:val="0"/>
        <w:adjustRightInd w:val="0"/>
        <w:snapToGrid w:val="0"/>
        <w:spacing w:line="440" w:lineRule="exact"/>
        <w:jc w:val="left"/>
        <w:outlineLvl w:val="1"/>
        <w:rPr>
          <w:rFonts w:hAnsi="宋体" w:cs="宋体"/>
          <w:b/>
          <w:snapToGrid w:val="0"/>
          <w:color w:val="auto"/>
          <w:kern w:val="0"/>
          <w:highlight w:val="none"/>
        </w:rPr>
      </w:pPr>
      <w:bookmarkStart w:id="321" w:name="_Toc27081"/>
      <w:r>
        <w:rPr>
          <w:rFonts w:hint="eastAsia" w:hAnsi="宋体" w:cs="宋体"/>
          <w:b/>
          <w:snapToGrid w:val="0"/>
          <w:color w:val="auto"/>
          <w:kern w:val="0"/>
          <w:highlight w:val="none"/>
        </w:rPr>
        <w:t>格式八 总监理工程师任职声明（适用于有任职项目）</w:t>
      </w:r>
      <w:bookmarkEnd w:id="321"/>
    </w:p>
    <w:p w14:paraId="449B4FD5">
      <w:pPr>
        <w:wordWrap w:val="0"/>
        <w:adjustRightInd w:val="0"/>
        <w:snapToGrid w:val="0"/>
        <w:spacing w:line="440" w:lineRule="exact"/>
        <w:jc w:val="left"/>
        <w:rPr>
          <w:rFonts w:hAnsi="宋体" w:cs="宋体"/>
          <w:b/>
          <w:snapToGrid w:val="0"/>
          <w:color w:val="auto"/>
          <w:kern w:val="0"/>
          <w:highlight w:val="none"/>
        </w:rPr>
      </w:pPr>
    </w:p>
    <w:p w14:paraId="14A50C1D">
      <w:pPr>
        <w:wordWrap w:val="0"/>
        <w:adjustRightInd w:val="0"/>
        <w:snapToGrid w:val="0"/>
        <w:spacing w:before="260" w:after="260" w:line="440" w:lineRule="exact"/>
        <w:jc w:val="center"/>
        <w:rPr>
          <w:rFonts w:hAnsi="宋体" w:cs="宋体"/>
          <w:snapToGrid w:val="0"/>
          <w:color w:val="auto"/>
          <w:kern w:val="0"/>
          <w:szCs w:val="28"/>
          <w:highlight w:val="none"/>
        </w:rPr>
      </w:pPr>
      <w:r>
        <w:rPr>
          <w:rFonts w:hint="eastAsia" w:hAnsi="宋体" w:cs="宋体"/>
          <w:b/>
          <w:snapToGrid w:val="0"/>
          <w:color w:val="auto"/>
          <w:kern w:val="0"/>
          <w:sz w:val="30"/>
          <w:highlight w:val="none"/>
        </w:rPr>
        <w:t>总监理工程师任职声明</w:t>
      </w:r>
    </w:p>
    <w:p w14:paraId="2B3ED8C9">
      <w:pPr>
        <w:wordWrap w:val="0"/>
        <w:adjustRightInd w:val="0"/>
        <w:snapToGrid w:val="0"/>
        <w:spacing w:line="440" w:lineRule="exact"/>
        <w:jc w:val="center"/>
        <w:rPr>
          <w:rFonts w:hAnsi="宋体" w:cs="宋体"/>
          <w:snapToGrid w:val="0"/>
          <w:color w:val="auto"/>
          <w:kern w:val="0"/>
          <w:szCs w:val="28"/>
          <w:highlight w:val="none"/>
        </w:rPr>
      </w:pPr>
    </w:p>
    <w:p w14:paraId="45489580">
      <w:pPr>
        <w:wordWrap w:val="0"/>
        <w:adjustRightInd w:val="0"/>
        <w:snapToGrid w:val="0"/>
        <w:spacing w:line="440" w:lineRule="exact"/>
        <w:rPr>
          <w:rFonts w:hAnsi="宋体" w:cs="宋体"/>
          <w:snapToGrid w:val="0"/>
          <w:color w:val="auto"/>
          <w:kern w:val="0"/>
          <w:szCs w:val="28"/>
          <w:highlight w:val="none"/>
        </w:rPr>
      </w:pPr>
      <w:r>
        <w:rPr>
          <w:rFonts w:hint="eastAsia" w:hAnsi="宋体" w:cs="宋体"/>
          <w:snapToGrid w:val="0"/>
          <w:color w:val="auto"/>
          <w:kern w:val="0"/>
          <w:szCs w:val="28"/>
          <w:highlight w:val="none"/>
        </w:rPr>
        <w:t>致：</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（招标人名称）：</w:t>
      </w:r>
    </w:p>
    <w:p w14:paraId="191C5186">
      <w:pPr>
        <w:wordWrap w:val="0"/>
        <w:adjustRightInd w:val="0"/>
        <w:snapToGrid w:val="0"/>
        <w:spacing w:line="440" w:lineRule="exact"/>
        <w:ind w:firstLine="480" w:firstLineChars="200"/>
        <w:rPr>
          <w:rFonts w:hAnsi="宋体" w:cs="宋体"/>
          <w:snapToGrid w:val="0"/>
          <w:color w:val="auto"/>
          <w:kern w:val="0"/>
          <w:szCs w:val="28"/>
          <w:highlight w:val="none"/>
        </w:rPr>
      </w:pPr>
      <w:r>
        <w:rPr>
          <w:rFonts w:hint="eastAsia" w:hAnsi="宋体" w:cs="宋体"/>
          <w:snapToGrid w:val="0"/>
          <w:color w:val="auto"/>
          <w:kern w:val="0"/>
          <w:szCs w:val="28"/>
          <w:highlight w:val="none"/>
        </w:rPr>
        <w:t>我方在此声明，我方拟派往</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（项目名称）的总监理工程师</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（总监理工程师姓名）现阶段正在担任</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个在施（包括已中标未开工、已开工未竣工）建设工程项目的总监理工程师，具体情况详见《总监理工程师任职项目情况表》。</w:t>
      </w:r>
    </w:p>
    <w:p w14:paraId="7C6A7DE6">
      <w:pPr>
        <w:wordWrap w:val="0"/>
        <w:adjustRightInd w:val="0"/>
        <w:snapToGrid w:val="0"/>
        <w:spacing w:line="440" w:lineRule="exact"/>
        <w:ind w:firstLine="480"/>
        <w:rPr>
          <w:rFonts w:hAnsi="宋体" w:cs="宋体"/>
          <w:snapToGrid w:val="0"/>
          <w:color w:val="auto"/>
          <w:kern w:val="0"/>
          <w:szCs w:val="28"/>
          <w:highlight w:val="none"/>
        </w:rPr>
      </w:pPr>
      <w:r>
        <w:rPr>
          <w:rFonts w:hint="eastAsia" w:hAnsi="宋体" w:cs="宋体"/>
          <w:snapToGrid w:val="0"/>
          <w:color w:val="auto"/>
          <w:kern w:val="0"/>
          <w:szCs w:val="28"/>
          <w:highlight w:val="none"/>
        </w:rPr>
        <w:t>我方保证上述信息的真实和准确，并愿意承担因我方就此弄虚作假所引起的一切法律后果。</w:t>
      </w:r>
    </w:p>
    <w:p w14:paraId="5683D055">
      <w:pPr>
        <w:wordWrap w:val="0"/>
        <w:adjustRightInd w:val="0"/>
        <w:snapToGrid w:val="0"/>
        <w:spacing w:line="440" w:lineRule="exact"/>
        <w:ind w:firstLine="480"/>
        <w:rPr>
          <w:rFonts w:hAnsi="宋体" w:cs="宋体"/>
          <w:snapToGrid w:val="0"/>
          <w:color w:val="auto"/>
          <w:kern w:val="0"/>
          <w:szCs w:val="28"/>
          <w:highlight w:val="none"/>
        </w:rPr>
      </w:pPr>
      <w:r>
        <w:rPr>
          <w:rFonts w:hint="eastAsia" w:hAnsi="宋体" w:cs="宋体"/>
          <w:snapToGrid w:val="0"/>
          <w:color w:val="auto"/>
          <w:kern w:val="0"/>
          <w:szCs w:val="28"/>
          <w:highlight w:val="none"/>
        </w:rPr>
        <w:t>　　</w:t>
      </w:r>
    </w:p>
    <w:p w14:paraId="1FA625A2">
      <w:pPr>
        <w:wordWrap w:val="0"/>
        <w:adjustRightInd w:val="0"/>
        <w:snapToGrid w:val="0"/>
        <w:spacing w:line="440" w:lineRule="exact"/>
        <w:ind w:firstLine="480"/>
        <w:rPr>
          <w:rFonts w:hAnsi="宋体" w:cs="宋体"/>
          <w:snapToGrid w:val="0"/>
          <w:color w:val="auto"/>
          <w:kern w:val="0"/>
          <w:szCs w:val="28"/>
          <w:highlight w:val="none"/>
        </w:rPr>
      </w:pPr>
      <w:r>
        <w:rPr>
          <w:rFonts w:hint="eastAsia" w:hAnsi="宋体" w:cs="宋体"/>
          <w:snapToGrid w:val="0"/>
          <w:color w:val="auto"/>
          <w:kern w:val="0"/>
          <w:szCs w:val="28"/>
          <w:highlight w:val="none"/>
        </w:rPr>
        <w:t>特此承诺</w:t>
      </w:r>
    </w:p>
    <w:p w14:paraId="46BFCB72">
      <w:pPr>
        <w:wordWrap w:val="0"/>
        <w:adjustRightInd w:val="0"/>
        <w:snapToGrid w:val="0"/>
        <w:spacing w:line="440" w:lineRule="exact"/>
        <w:ind w:firstLine="480"/>
        <w:rPr>
          <w:rFonts w:hAnsi="宋体" w:cs="宋体"/>
          <w:snapToGrid w:val="0"/>
          <w:color w:val="auto"/>
          <w:kern w:val="0"/>
          <w:szCs w:val="28"/>
          <w:highlight w:val="none"/>
        </w:rPr>
      </w:pPr>
    </w:p>
    <w:p w14:paraId="627F814D">
      <w:pPr>
        <w:wordWrap w:val="0"/>
        <w:adjustRightInd w:val="0"/>
        <w:snapToGrid w:val="0"/>
        <w:spacing w:line="440" w:lineRule="exact"/>
        <w:rPr>
          <w:rFonts w:hAnsi="宋体" w:cs="宋体"/>
          <w:snapToGrid w:val="0"/>
          <w:color w:val="auto"/>
          <w:kern w:val="0"/>
          <w:szCs w:val="28"/>
          <w:highlight w:val="none"/>
        </w:rPr>
      </w:pPr>
      <w:r>
        <w:rPr>
          <w:rFonts w:hint="eastAsia" w:hAnsi="宋体" w:cs="宋体"/>
          <w:snapToGrid w:val="0"/>
          <w:color w:val="auto"/>
          <w:kern w:val="0"/>
          <w:szCs w:val="28"/>
          <w:highlight w:val="none"/>
        </w:rPr>
        <w:t>　　</w:t>
      </w:r>
    </w:p>
    <w:p w14:paraId="47D291EC">
      <w:pPr>
        <w:wordWrap w:val="0"/>
        <w:adjustRightInd w:val="0"/>
        <w:snapToGrid w:val="0"/>
        <w:spacing w:line="440" w:lineRule="exact"/>
        <w:jc w:val="right"/>
        <w:rPr>
          <w:rFonts w:hAnsi="宋体" w:cs="宋体"/>
          <w:snapToGrid w:val="0"/>
          <w:color w:val="auto"/>
          <w:kern w:val="0"/>
          <w:szCs w:val="28"/>
          <w:highlight w:val="none"/>
        </w:rPr>
      </w:pPr>
      <w:r>
        <w:rPr>
          <w:rFonts w:hint="eastAsia" w:hAnsi="宋体" w:cs="宋体"/>
          <w:snapToGrid w:val="0"/>
          <w:color w:val="auto"/>
          <w:kern w:val="0"/>
          <w:szCs w:val="28"/>
          <w:highlight w:val="none"/>
        </w:rPr>
        <w:t>投标人：</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（盖单位章）</w:t>
      </w:r>
    </w:p>
    <w:p w14:paraId="1B4B0533">
      <w:pPr>
        <w:wordWrap w:val="0"/>
        <w:adjustRightInd w:val="0"/>
        <w:snapToGrid w:val="0"/>
        <w:spacing w:line="440" w:lineRule="exact"/>
        <w:jc w:val="right"/>
        <w:rPr>
          <w:rFonts w:hAnsi="宋体" w:cs="宋体"/>
          <w:snapToGrid w:val="0"/>
          <w:color w:val="auto"/>
          <w:kern w:val="0"/>
          <w:szCs w:val="28"/>
          <w:highlight w:val="none"/>
        </w:rPr>
      </w:pPr>
    </w:p>
    <w:p w14:paraId="487F86BE">
      <w:pPr>
        <w:wordWrap w:val="0"/>
        <w:adjustRightInd w:val="0"/>
        <w:snapToGrid w:val="0"/>
        <w:spacing w:line="440" w:lineRule="exact"/>
        <w:jc w:val="right"/>
        <w:rPr>
          <w:rFonts w:hAnsi="宋体" w:cs="宋体"/>
          <w:snapToGrid w:val="0"/>
          <w:color w:val="auto"/>
          <w:kern w:val="0"/>
          <w:szCs w:val="28"/>
          <w:highlight w:val="none"/>
        </w:rPr>
      </w:pPr>
    </w:p>
    <w:p w14:paraId="7D65E6AD">
      <w:pPr>
        <w:wordWrap w:val="0"/>
        <w:adjustRightInd w:val="0"/>
        <w:snapToGrid w:val="0"/>
        <w:spacing w:line="440" w:lineRule="exact"/>
        <w:jc w:val="right"/>
        <w:rPr>
          <w:rFonts w:hAnsi="宋体" w:cs="宋体"/>
          <w:snapToGrid w:val="0"/>
          <w:color w:val="auto"/>
          <w:kern w:val="0"/>
          <w:szCs w:val="28"/>
          <w:highlight w:val="none"/>
        </w:rPr>
      </w:pPr>
      <w:r>
        <w:rPr>
          <w:rFonts w:hint="eastAsia" w:hAnsi="宋体" w:cs="宋体"/>
          <w:snapToGrid w:val="0"/>
          <w:color w:val="auto"/>
          <w:kern w:val="0"/>
          <w:szCs w:val="28"/>
          <w:highlight w:val="none"/>
        </w:rPr>
        <w:t>法定代表人或其委托代理人：</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（签字或盖章）</w:t>
      </w:r>
    </w:p>
    <w:p w14:paraId="029F2B4C">
      <w:pPr>
        <w:wordWrap w:val="0"/>
        <w:adjustRightInd w:val="0"/>
        <w:snapToGrid w:val="0"/>
        <w:spacing w:line="440" w:lineRule="exact"/>
        <w:jc w:val="right"/>
        <w:rPr>
          <w:rFonts w:hAnsi="宋体" w:cs="宋体"/>
          <w:snapToGrid w:val="0"/>
          <w:color w:val="auto"/>
          <w:kern w:val="0"/>
          <w:szCs w:val="28"/>
          <w:highlight w:val="none"/>
        </w:rPr>
      </w:pPr>
    </w:p>
    <w:p w14:paraId="1E734F3E">
      <w:pPr>
        <w:wordWrap w:val="0"/>
        <w:adjustRightInd w:val="0"/>
        <w:snapToGrid w:val="0"/>
        <w:spacing w:line="440" w:lineRule="exact"/>
        <w:jc w:val="center"/>
        <w:rPr>
          <w:rFonts w:hAnsi="宋体" w:cs="宋体"/>
          <w:snapToGrid w:val="0"/>
          <w:color w:val="auto"/>
          <w:kern w:val="0"/>
          <w:szCs w:val="28"/>
          <w:highlight w:val="none"/>
        </w:rPr>
      </w:pPr>
      <w:r>
        <w:rPr>
          <w:rFonts w:hint="eastAsia" w:hAnsi="宋体" w:cs="宋体"/>
          <w:snapToGrid w:val="0"/>
          <w:color w:val="auto"/>
          <w:kern w:val="0"/>
          <w:szCs w:val="28"/>
          <w:highlight w:val="none"/>
        </w:rPr>
        <w:t xml:space="preserve">                            </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年</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月</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日</w:t>
      </w:r>
    </w:p>
    <w:p w14:paraId="19DAFB93">
      <w:pPr>
        <w:wordWrap w:val="0"/>
        <w:adjustRightInd w:val="0"/>
        <w:snapToGrid w:val="0"/>
        <w:spacing w:line="440" w:lineRule="exact"/>
        <w:jc w:val="center"/>
        <w:rPr>
          <w:rFonts w:hAnsi="宋体" w:cs="宋体"/>
          <w:snapToGrid w:val="0"/>
          <w:color w:val="auto"/>
          <w:kern w:val="0"/>
          <w:szCs w:val="28"/>
          <w:highlight w:val="none"/>
        </w:rPr>
      </w:pPr>
    </w:p>
    <w:p w14:paraId="77D57279">
      <w:pPr>
        <w:wordWrap w:val="0"/>
        <w:adjustRightInd w:val="0"/>
        <w:snapToGrid w:val="0"/>
        <w:spacing w:line="400" w:lineRule="exact"/>
        <w:ind w:firstLine="420"/>
        <w:rPr>
          <w:rFonts w:hAnsi="宋体" w:cs="宋体"/>
          <w:snapToGrid w:val="0"/>
          <w:color w:val="auto"/>
          <w:kern w:val="0"/>
          <w:sz w:val="21"/>
          <w:szCs w:val="28"/>
          <w:highlight w:val="none"/>
        </w:rPr>
        <w:sectPr>
          <w:endnotePr>
            <w:numFmt w:val="decimal"/>
          </w:endnotePr>
          <w:pgSz w:w="11906" w:h="16838"/>
          <w:pgMar w:top="1417" w:right="1417" w:bottom="1417" w:left="1417" w:header="850" w:footer="992" w:gutter="0"/>
          <w:cols w:space="0" w:num="1"/>
          <w:docGrid w:linePitch="327" w:charSpace="0"/>
        </w:sectPr>
      </w:pPr>
    </w:p>
    <w:p w14:paraId="3488CF33">
      <w:pPr>
        <w:wordWrap w:val="0"/>
        <w:adjustRightInd w:val="0"/>
        <w:snapToGrid w:val="0"/>
        <w:spacing w:line="440" w:lineRule="exact"/>
        <w:outlineLvl w:val="1"/>
        <w:rPr>
          <w:rFonts w:hAnsi="宋体" w:cs="宋体"/>
          <w:b/>
          <w:bCs/>
          <w:snapToGrid w:val="0"/>
          <w:color w:val="auto"/>
          <w:kern w:val="0"/>
          <w:szCs w:val="24"/>
          <w:highlight w:val="none"/>
        </w:rPr>
      </w:pPr>
      <w:bookmarkStart w:id="322" w:name="_Toc136"/>
      <w:r>
        <w:rPr>
          <w:rFonts w:hint="eastAsia" w:hAnsi="宋体" w:cs="宋体"/>
          <w:b/>
          <w:bCs/>
          <w:snapToGrid w:val="0"/>
          <w:color w:val="auto"/>
          <w:kern w:val="0"/>
          <w:szCs w:val="24"/>
          <w:highlight w:val="none"/>
        </w:rPr>
        <w:t>格式九 总监理工程师任职项目情况表</w:t>
      </w:r>
      <w:bookmarkEnd w:id="322"/>
    </w:p>
    <w:p w14:paraId="1C05E0FA">
      <w:pPr>
        <w:wordWrap w:val="0"/>
        <w:adjustRightInd w:val="0"/>
        <w:snapToGrid w:val="0"/>
        <w:spacing w:line="440" w:lineRule="exact"/>
        <w:rPr>
          <w:rFonts w:hAnsi="宋体" w:cs="宋体"/>
          <w:b/>
          <w:bCs/>
          <w:snapToGrid w:val="0"/>
          <w:color w:val="auto"/>
          <w:kern w:val="0"/>
          <w:szCs w:val="24"/>
          <w:highlight w:val="none"/>
        </w:rPr>
      </w:pPr>
    </w:p>
    <w:p w14:paraId="1E110BE9">
      <w:pPr>
        <w:pStyle w:val="72"/>
        <w:widowControl w:val="0"/>
        <w:wordWrap w:val="0"/>
        <w:adjustRightInd w:val="0"/>
        <w:snapToGrid w:val="0"/>
        <w:spacing w:before="260" w:after="260" w:line="400" w:lineRule="exact"/>
        <w:ind w:firstLine="0"/>
        <w:jc w:val="center"/>
        <w:rPr>
          <w:rFonts w:hAnsi="宋体" w:cs="宋体"/>
          <w:snapToGrid w:val="0"/>
          <w:color w:val="auto"/>
          <w:sz w:val="24"/>
          <w:highlight w:val="none"/>
        </w:rPr>
      </w:pPr>
      <w:r>
        <w:rPr>
          <w:rFonts w:hint="eastAsia" w:hAnsi="宋体" w:cs="宋体"/>
          <w:b/>
          <w:snapToGrid w:val="0"/>
          <w:color w:val="auto"/>
          <w:sz w:val="30"/>
          <w:highlight w:val="none"/>
        </w:rPr>
        <w:t xml:space="preserve"> 总监理工程师任职项目情况表（）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2771"/>
        <w:gridCol w:w="1635"/>
        <w:gridCol w:w="2594"/>
      </w:tblGrid>
      <w:tr w14:paraId="665DB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5" w:type="dxa"/>
            <w:vAlign w:val="center"/>
          </w:tcPr>
          <w:p w14:paraId="007620DC">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项目名称</w:t>
            </w:r>
          </w:p>
        </w:tc>
        <w:tc>
          <w:tcPr>
            <w:tcW w:w="2771" w:type="dxa"/>
            <w:vAlign w:val="center"/>
          </w:tcPr>
          <w:p w14:paraId="2DFCFA84">
            <w:pPr>
              <w:pStyle w:val="136"/>
              <w:wordWrap w:val="0"/>
              <w:adjustRightInd w:val="0"/>
              <w:snapToGrid w:val="0"/>
              <w:jc w:val="center"/>
              <w:rPr>
                <w:rFonts w:ascii="宋体" w:hAnsi="宋体" w:cs="宋体"/>
                <w:snapToGrid w:val="0"/>
                <w:color w:val="auto"/>
                <w:kern w:val="0"/>
                <w:szCs w:val="21"/>
                <w:highlight w:val="none"/>
              </w:rPr>
            </w:pPr>
          </w:p>
        </w:tc>
        <w:tc>
          <w:tcPr>
            <w:tcW w:w="1635" w:type="dxa"/>
            <w:vAlign w:val="center"/>
          </w:tcPr>
          <w:p w14:paraId="6AC2BA15">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项目所在地</w:t>
            </w:r>
          </w:p>
        </w:tc>
        <w:tc>
          <w:tcPr>
            <w:tcW w:w="2594" w:type="dxa"/>
            <w:vAlign w:val="center"/>
          </w:tcPr>
          <w:p w14:paraId="24CD9F05">
            <w:pPr>
              <w:pStyle w:val="136"/>
              <w:wordWrap w:val="0"/>
              <w:adjustRightInd w:val="0"/>
              <w:snapToGrid w:val="0"/>
              <w:jc w:val="center"/>
              <w:rPr>
                <w:rFonts w:ascii="宋体" w:hAnsi="宋体" w:cs="宋体"/>
                <w:snapToGrid w:val="0"/>
                <w:color w:val="auto"/>
                <w:kern w:val="0"/>
                <w:szCs w:val="21"/>
                <w:highlight w:val="none"/>
              </w:rPr>
            </w:pPr>
          </w:p>
        </w:tc>
      </w:tr>
      <w:tr w14:paraId="2AA2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5" w:type="dxa"/>
            <w:vAlign w:val="center"/>
          </w:tcPr>
          <w:p w14:paraId="28E74488">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委托人名称</w:t>
            </w:r>
          </w:p>
        </w:tc>
        <w:tc>
          <w:tcPr>
            <w:tcW w:w="2771" w:type="dxa"/>
            <w:vAlign w:val="center"/>
          </w:tcPr>
          <w:p w14:paraId="5F8E80CE">
            <w:pPr>
              <w:pStyle w:val="136"/>
              <w:wordWrap w:val="0"/>
              <w:adjustRightInd w:val="0"/>
              <w:snapToGrid w:val="0"/>
              <w:jc w:val="center"/>
              <w:rPr>
                <w:rFonts w:ascii="宋体" w:hAnsi="宋体" w:cs="宋体"/>
                <w:snapToGrid w:val="0"/>
                <w:color w:val="auto"/>
                <w:kern w:val="0"/>
                <w:szCs w:val="21"/>
                <w:highlight w:val="none"/>
              </w:rPr>
            </w:pPr>
          </w:p>
        </w:tc>
        <w:tc>
          <w:tcPr>
            <w:tcW w:w="1635" w:type="dxa"/>
            <w:vAlign w:val="center"/>
          </w:tcPr>
          <w:p w14:paraId="1BC9377E">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委托人地址</w:t>
            </w:r>
          </w:p>
        </w:tc>
        <w:tc>
          <w:tcPr>
            <w:tcW w:w="2594" w:type="dxa"/>
            <w:vAlign w:val="center"/>
          </w:tcPr>
          <w:p w14:paraId="334897D3">
            <w:pPr>
              <w:pStyle w:val="136"/>
              <w:wordWrap w:val="0"/>
              <w:adjustRightInd w:val="0"/>
              <w:snapToGrid w:val="0"/>
              <w:jc w:val="center"/>
              <w:rPr>
                <w:rFonts w:ascii="宋体" w:hAnsi="宋体" w:cs="宋体"/>
                <w:snapToGrid w:val="0"/>
                <w:color w:val="auto"/>
                <w:kern w:val="0"/>
                <w:szCs w:val="21"/>
                <w:highlight w:val="none"/>
              </w:rPr>
            </w:pPr>
          </w:p>
        </w:tc>
      </w:tr>
      <w:tr w14:paraId="7B36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5" w:type="dxa"/>
            <w:vAlign w:val="center"/>
          </w:tcPr>
          <w:p w14:paraId="14D79615">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委托人电话</w:t>
            </w:r>
          </w:p>
        </w:tc>
        <w:tc>
          <w:tcPr>
            <w:tcW w:w="2771" w:type="dxa"/>
            <w:vAlign w:val="center"/>
          </w:tcPr>
          <w:p w14:paraId="2AAC336B">
            <w:pPr>
              <w:pStyle w:val="136"/>
              <w:wordWrap w:val="0"/>
              <w:adjustRightInd w:val="0"/>
              <w:snapToGrid w:val="0"/>
              <w:jc w:val="center"/>
              <w:rPr>
                <w:rFonts w:ascii="宋体" w:hAnsi="宋体" w:cs="宋体"/>
                <w:snapToGrid w:val="0"/>
                <w:color w:val="auto"/>
                <w:kern w:val="0"/>
                <w:szCs w:val="21"/>
                <w:highlight w:val="none"/>
              </w:rPr>
            </w:pPr>
          </w:p>
        </w:tc>
        <w:tc>
          <w:tcPr>
            <w:tcW w:w="1635" w:type="dxa"/>
            <w:vAlign w:val="center"/>
          </w:tcPr>
          <w:p w14:paraId="530B3B45">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总监理工程师</w:t>
            </w:r>
          </w:p>
        </w:tc>
        <w:tc>
          <w:tcPr>
            <w:tcW w:w="2594" w:type="dxa"/>
            <w:vAlign w:val="center"/>
          </w:tcPr>
          <w:p w14:paraId="2993C8DD">
            <w:pPr>
              <w:pStyle w:val="136"/>
              <w:wordWrap w:val="0"/>
              <w:adjustRightInd w:val="0"/>
              <w:snapToGrid w:val="0"/>
              <w:jc w:val="center"/>
              <w:rPr>
                <w:rFonts w:ascii="宋体" w:hAnsi="宋体" w:cs="宋体"/>
                <w:snapToGrid w:val="0"/>
                <w:color w:val="auto"/>
                <w:kern w:val="0"/>
                <w:szCs w:val="21"/>
                <w:highlight w:val="none"/>
              </w:rPr>
            </w:pPr>
          </w:p>
        </w:tc>
      </w:tr>
      <w:tr w14:paraId="43D0F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5" w:type="dxa"/>
            <w:vAlign w:val="center"/>
          </w:tcPr>
          <w:p w14:paraId="5120285D">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监理服务期限</w:t>
            </w:r>
          </w:p>
        </w:tc>
        <w:tc>
          <w:tcPr>
            <w:tcW w:w="2771" w:type="dxa"/>
            <w:vAlign w:val="center"/>
          </w:tcPr>
          <w:p w14:paraId="253ECA3C">
            <w:pPr>
              <w:pStyle w:val="136"/>
              <w:wordWrap w:val="0"/>
              <w:adjustRightInd w:val="0"/>
              <w:snapToGrid w:val="0"/>
              <w:jc w:val="center"/>
              <w:rPr>
                <w:rFonts w:ascii="宋体" w:hAnsi="宋体" w:cs="宋体"/>
                <w:snapToGrid w:val="0"/>
                <w:color w:val="auto"/>
                <w:kern w:val="0"/>
                <w:szCs w:val="21"/>
                <w:highlight w:val="none"/>
              </w:rPr>
            </w:pPr>
          </w:p>
        </w:tc>
        <w:tc>
          <w:tcPr>
            <w:tcW w:w="1635" w:type="dxa"/>
            <w:vAlign w:val="center"/>
          </w:tcPr>
          <w:p w14:paraId="5379C804">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监理内容</w:t>
            </w:r>
          </w:p>
        </w:tc>
        <w:tc>
          <w:tcPr>
            <w:tcW w:w="2594" w:type="dxa"/>
            <w:vAlign w:val="center"/>
          </w:tcPr>
          <w:p w14:paraId="1EEFB69A">
            <w:pPr>
              <w:pStyle w:val="136"/>
              <w:wordWrap w:val="0"/>
              <w:adjustRightInd w:val="0"/>
              <w:snapToGrid w:val="0"/>
              <w:jc w:val="center"/>
              <w:rPr>
                <w:rFonts w:ascii="宋体" w:hAnsi="宋体" w:cs="宋体"/>
                <w:snapToGrid w:val="0"/>
                <w:color w:val="auto"/>
                <w:kern w:val="0"/>
                <w:szCs w:val="21"/>
                <w:highlight w:val="none"/>
              </w:rPr>
            </w:pPr>
          </w:p>
        </w:tc>
      </w:tr>
      <w:tr w14:paraId="0C3C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exact"/>
          <w:jc w:val="center"/>
        </w:trPr>
        <w:tc>
          <w:tcPr>
            <w:tcW w:w="1505" w:type="dxa"/>
            <w:vAlign w:val="center"/>
          </w:tcPr>
          <w:p w14:paraId="700B107C">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项目描述</w:t>
            </w:r>
          </w:p>
        </w:tc>
        <w:tc>
          <w:tcPr>
            <w:tcW w:w="7000" w:type="dxa"/>
            <w:gridSpan w:val="3"/>
            <w:vAlign w:val="center"/>
          </w:tcPr>
          <w:p w14:paraId="21A54D72">
            <w:pPr>
              <w:pStyle w:val="136"/>
              <w:wordWrap w:val="0"/>
              <w:adjustRightInd w:val="0"/>
              <w:snapToGrid w:val="0"/>
              <w:jc w:val="left"/>
              <w:rPr>
                <w:rFonts w:ascii="宋体" w:hAnsi="宋体" w:cs="宋体"/>
                <w:snapToGrid w:val="0"/>
                <w:color w:val="auto"/>
                <w:kern w:val="0"/>
                <w:szCs w:val="21"/>
                <w:highlight w:val="none"/>
              </w:rPr>
            </w:pPr>
          </w:p>
        </w:tc>
      </w:tr>
      <w:tr w14:paraId="0194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vAlign w:val="center"/>
          </w:tcPr>
          <w:p w14:paraId="055191C9">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委托人声明</w:t>
            </w:r>
          </w:p>
        </w:tc>
        <w:tc>
          <w:tcPr>
            <w:tcW w:w="7000" w:type="dxa"/>
            <w:gridSpan w:val="3"/>
            <w:vAlign w:val="center"/>
          </w:tcPr>
          <w:p w14:paraId="418BE4BE">
            <w:pPr>
              <w:pStyle w:val="136"/>
              <w:adjustRightInd w:val="0"/>
              <w:snapToGrid w:val="0"/>
              <w:spacing w:line="360" w:lineRule="auto"/>
              <w:rPr>
                <w:rFonts w:ascii="宋体" w:hAnsi="宋体" w:cs="宋体"/>
                <w:snapToGrid w:val="0"/>
                <w:color w:val="auto"/>
                <w:kern w:val="0"/>
                <w:szCs w:val="21"/>
                <w:highlight w:val="none"/>
              </w:rPr>
            </w:pPr>
          </w:p>
          <w:p w14:paraId="602D8050">
            <w:pPr>
              <w:pStyle w:val="136"/>
              <w:adjustRightInd w:val="0"/>
              <w:snapToGrid w:val="0"/>
              <w:spacing w:line="360" w:lineRule="auto"/>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致：</w:t>
            </w:r>
            <w:r>
              <w:rPr>
                <w:rFonts w:hint="eastAsia" w:ascii="宋体" w:hAnsi="宋体" w:cs="宋体"/>
                <w:snapToGrid w:val="0"/>
                <w:color w:val="auto"/>
                <w:kern w:val="0"/>
                <w:szCs w:val="21"/>
                <w:highlight w:val="none"/>
                <w:u w:val="single"/>
              </w:rPr>
              <w:t>（本招标项目招标人名称）</w:t>
            </w:r>
          </w:p>
          <w:p w14:paraId="37F7ABA7">
            <w:pPr>
              <w:pStyle w:val="136"/>
              <w:adjustRightInd w:val="0"/>
              <w:snapToGrid w:val="0"/>
              <w:spacing w:line="360" w:lineRule="auto"/>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xml:space="preserve">    我方在此声明：</w:t>
            </w:r>
          </w:p>
          <w:p w14:paraId="221BF42B">
            <w:pPr>
              <w:pStyle w:val="136"/>
              <w:adjustRightInd w:val="0"/>
              <w:snapToGrid w:val="0"/>
              <w:spacing w:line="360" w:lineRule="auto"/>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xml:space="preserve">    一、在</w:t>
            </w:r>
            <w:r>
              <w:rPr>
                <w:rFonts w:hint="eastAsia" w:ascii="宋体" w:hAnsi="宋体" w:cs="宋体"/>
                <w:snapToGrid w:val="0"/>
                <w:color w:val="auto"/>
                <w:kern w:val="0"/>
                <w:szCs w:val="21"/>
                <w:highlight w:val="none"/>
                <w:u w:val="single"/>
              </w:rPr>
              <w:t xml:space="preserve"> （拟派总监姓名） </w:t>
            </w:r>
            <w:r>
              <w:rPr>
                <w:rFonts w:hint="eastAsia" w:ascii="宋体" w:hAnsi="宋体" w:cs="宋体"/>
                <w:snapToGrid w:val="0"/>
                <w:color w:val="auto"/>
                <w:kern w:val="0"/>
                <w:szCs w:val="21"/>
                <w:highlight w:val="none"/>
              </w:rPr>
              <w:t>同志任我方在施项目总监理工程师期间，如果</w:t>
            </w:r>
            <w:r>
              <w:rPr>
                <w:rFonts w:hint="eastAsia" w:ascii="宋体" w:hAnsi="宋体" w:cs="宋体"/>
                <w:snapToGrid w:val="0"/>
                <w:color w:val="auto"/>
                <w:kern w:val="0"/>
                <w:szCs w:val="21"/>
                <w:highlight w:val="none"/>
                <w:u w:val="single"/>
              </w:rPr>
              <w:t xml:space="preserve"> （投标人名称） </w:t>
            </w:r>
            <w:r>
              <w:rPr>
                <w:rFonts w:hint="eastAsia" w:ascii="宋体" w:hAnsi="宋体" w:cs="宋体"/>
                <w:snapToGrid w:val="0"/>
                <w:color w:val="auto"/>
                <w:kern w:val="0"/>
                <w:szCs w:val="21"/>
                <w:highlight w:val="none"/>
              </w:rPr>
              <w:t>中标你方招标项目监理业务，在</w:t>
            </w:r>
            <w:r>
              <w:rPr>
                <w:rFonts w:hint="eastAsia" w:ascii="宋体" w:hAnsi="宋体" w:cs="宋体"/>
                <w:snapToGrid w:val="0"/>
                <w:color w:val="auto"/>
                <w:kern w:val="0"/>
                <w:szCs w:val="21"/>
                <w:highlight w:val="none"/>
                <w:u w:val="single"/>
              </w:rPr>
              <w:t xml:space="preserve"> （拟派总监姓名） </w:t>
            </w:r>
            <w:r>
              <w:rPr>
                <w:rFonts w:hint="eastAsia" w:ascii="宋体" w:hAnsi="宋体" w:cs="宋体"/>
                <w:snapToGrid w:val="0"/>
                <w:color w:val="auto"/>
                <w:kern w:val="0"/>
                <w:szCs w:val="21"/>
                <w:highlight w:val="none"/>
              </w:rPr>
              <w:t>同志目前担任总监理工程师职务的项目总数不超过两个（含我方在施项目）的前提下，我方同意其同时担任你方招标项目的总监理工程师；如果未中标，以上声明自动失效。</w:t>
            </w:r>
          </w:p>
          <w:p w14:paraId="6DBCA6A9">
            <w:pPr>
              <w:pStyle w:val="136"/>
              <w:adjustRightInd w:val="0"/>
              <w:snapToGrid w:val="0"/>
              <w:spacing w:line="360" w:lineRule="auto"/>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xml:space="preserve">    二、无论</w:t>
            </w:r>
            <w:r>
              <w:rPr>
                <w:rFonts w:hint="eastAsia" w:ascii="宋体" w:hAnsi="宋体" w:cs="宋体"/>
                <w:snapToGrid w:val="0"/>
                <w:color w:val="auto"/>
                <w:kern w:val="0"/>
                <w:szCs w:val="21"/>
                <w:highlight w:val="none"/>
                <w:u w:val="single"/>
              </w:rPr>
              <w:t xml:space="preserve"> （拟派总监姓名） </w:t>
            </w:r>
            <w:r>
              <w:rPr>
                <w:rFonts w:hint="eastAsia" w:ascii="宋体" w:hAnsi="宋体" w:cs="宋体"/>
                <w:snapToGrid w:val="0"/>
                <w:color w:val="auto"/>
                <w:kern w:val="0"/>
                <w:szCs w:val="21"/>
                <w:highlight w:val="none"/>
              </w:rPr>
              <w:t>同志是否担任其他建设项目的总监理工程师，</w:t>
            </w:r>
            <w:r>
              <w:rPr>
                <w:rFonts w:hint="eastAsia" w:ascii="宋体" w:hAnsi="宋体" w:cs="宋体"/>
                <w:snapToGrid w:val="0"/>
                <w:color w:val="auto"/>
                <w:kern w:val="0"/>
                <w:szCs w:val="21"/>
                <w:highlight w:val="none"/>
                <w:u w:val="single"/>
              </w:rPr>
              <w:t xml:space="preserve"> （投标人名称） </w:t>
            </w:r>
            <w:r>
              <w:rPr>
                <w:rFonts w:hint="eastAsia" w:ascii="宋体" w:hAnsi="宋体" w:cs="宋体"/>
                <w:snapToGrid w:val="0"/>
                <w:color w:val="auto"/>
                <w:kern w:val="0"/>
                <w:szCs w:val="21"/>
                <w:highlight w:val="none"/>
              </w:rPr>
              <w:t>都必须完全、严格履行我方在施项目监理合同中约定的所有义务，并确保服务内容、服务质量不得有任何减少或降低。</w:t>
            </w:r>
          </w:p>
          <w:p w14:paraId="092F9495">
            <w:pPr>
              <w:pStyle w:val="136"/>
              <w:adjustRightInd w:val="0"/>
              <w:snapToGrid w:val="0"/>
              <w:spacing w:line="360" w:lineRule="auto"/>
              <w:rPr>
                <w:rFonts w:ascii="宋体" w:hAnsi="宋体" w:cs="宋体"/>
                <w:snapToGrid w:val="0"/>
                <w:color w:val="auto"/>
                <w:kern w:val="0"/>
                <w:szCs w:val="21"/>
                <w:highlight w:val="none"/>
              </w:rPr>
            </w:pPr>
          </w:p>
          <w:p w14:paraId="2DED7437">
            <w:pPr>
              <w:pStyle w:val="136"/>
              <w:adjustRightInd w:val="0"/>
              <w:snapToGrid w:val="0"/>
              <w:spacing w:line="360" w:lineRule="auto"/>
              <w:rPr>
                <w:rFonts w:ascii="宋体" w:hAnsi="宋体" w:cs="宋体"/>
                <w:snapToGrid w:val="0"/>
                <w:color w:val="auto"/>
                <w:kern w:val="0"/>
                <w:szCs w:val="21"/>
                <w:highlight w:val="none"/>
              </w:rPr>
            </w:pPr>
          </w:p>
          <w:p w14:paraId="599D977E">
            <w:pPr>
              <w:pStyle w:val="136"/>
              <w:adjustRightInd w:val="0"/>
              <w:snapToGrid w:val="0"/>
              <w:spacing w:line="360" w:lineRule="auto"/>
              <w:jc w:val="righ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建设单位名称：</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（盖单位章）</w:t>
            </w:r>
          </w:p>
          <w:p w14:paraId="1047DB8F">
            <w:pPr>
              <w:pStyle w:val="136"/>
              <w:adjustRightInd w:val="0"/>
              <w:snapToGrid w:val="0"/>
              <w:spacing w:line="360" w:lineRule="auto"/>
              <w:jc w:val="right"/>
              <w:rPr>
                <w:rFonts w:ascii="宋体" w:hAnsi="宋体" w:cs="宋体"/>
                <w:snapToGrid w:val="0"/>
                <w:color w:val="auto"/>
                <w:kern w:val="0"/>
                <w:szCs w:val="21"/>
                <w:highlight w:val="none"/>
              </w:rPr>
            </w:pPr>
          </w:p>
          <w:p w14:paraId="36196D25">
            <w:pPr>
              <w:pStyle w:val="136"/>
              <w:adjustRightInd w:val="0"/>
              <w:snapToGrid w:val="0"/>
              <w:spacing w:line="360"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xml:space="preserve">                            XXXX年XX月XX日</w:t>
            </w:r>
          </w:p>
        </w:tc>
      </w:tr>
    </w:tbl>
    <w:p w14:paraId="01E57326">
      <w:pPr>
        <w:pStyle w:val="136"/>
        <w:wordWrap w:val="0"/>
        <w:adjustRightInd w:val="0"/>
        <w:snapToGrid w:val="0"/>
        <w:spacing w:line="400" w:lineRule="exact"/>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说明：</w:t>
      </w:r>
    </w:p>
    <w:p w14:paraId="4621617A">
      <w:pPr>
        <w:pStyle w:val="136"/>
        <w:wordWrap w:val="0"/>
        <w:adjustRightInd w:val="0"/>
        <w:snapToGrid w:val="0"/>
        <w:spacing w:line="400" w:lineRule="exact"/>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w:t>
      </w:r>
      <w:r>
        <w:rPr>
          <w:rFonts w:hint="eastAsia" w:ascii="宋体" w:hAnsi="宋体" w:cs="宋体"/>
          <w:snapToGrid w:val="0"/>
          <w:color w:val="auto"/>
          <w:kern w:val="0"/>
          <w:szCs w:val="28"/>
          <w:highlight w:val="none"/>
        </w:rPr>
        <w:t>．</w:t>
      </w:r>
      <w:r>
        <w:rPr>
          <w:rFonts w:hint="eastAsia" w:ascii="宋体" w:hAnsi="宋体" w:cs="宋体"/>
          <w:snapToGrid w:val="0"/>
          <w:color w:val="auto"/>
          <w:kern w:val="0"/>
          <w:szCs w:val="21"/>
          <w:highlight w:val="none"/>
        </w:rPr>
        <w:t>“任职项目”指拟派总监理工程师正在担任总监理工程师职务的在施（包括已中标未开工、已开工未竣工）建设工程项目。任职项目多于一宗的，一项目一表，并标明序号。</w:t>
      </w:r>
    </w:p>
    <w:p w14:paraId="3AD580BD">
      <w:pPr>
        <w:pStyle w:val="136"/>
        <w:wordWrap w:val="0"/>
        <w:adjustRightInd w:val="0"/>
        <w:snapToGrid w:val="0"/>
        <w:spacing w:line="400" w:lineRule="exact"/>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w:t>
      </w:r>
      <w:r>
        <w:rPr>
          <w:rFonts w:hint="eastAsia" w:ascii="宋体" w:hAnsi="宋体" w:cs="宋体"/>
          <w:snapToGrid w:val="0"/>
          <w:color w:val="auto"/>
          <w:kern w:val="0"/>
          <w:szCs w:val="28"/>
          <w:highlight w:val="none"/>
        </w:rPr>
        <w:t>．</w:t>
      </w:r>
      <w:r>
        <w:rPr>
          <w:rFonts w:hint="eastAsia" w:ascii="宋体" w:hAnsi="宋体" w:cs="宋体"/>
          <w:snapToGrid w:val="0"/>
          <w:color w:val="auto"/>
          <w:kern w:val="0"/>
          <w:szCs w:val="21"/>
          <w:highlight w:val="none"/>
        </w:rPr>
        <w:t>每份情况表后应附该项目的合同协议书彩色扫描件。</w:t>
      </w:r>
    </w:p>
    <w:p w14:paraId="5D509C1C">
      <w:pPr>
        <w:pStyle w:val="136"/>
        <w:wordWrap w:val="0"/>
        <w:adjustRightInd w:val="0"/>
        <w:snapToGrid w:val="0"/>
        <w:spacing w:line="400" w:lineRule="exact"/>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w:t>
      </w:r>
      <w:r>
        <w:rPr>
          <w:rFonts w:hint="eastAsia" w:ascii="宋体" w:hAnsi="宋体" w:cs="宋体"/>
          <w:snapToGrid w:val="0"/>
          <w:color w:val="auto"/>
          <w:kern w:val="0"/>
          <w:szCs w:val="28"/>
          <w:highlight w:val="none"/>
        </w:rPr>
        <w:t>．投标人填写本</w:t>
      </w:r>
      <w:r>
        <w:rPr>
          <w:rFonts w:hint="eastAsia" w:ascii="宋体" w:hAnsi="宋体" w:cs="宋体"/>
          <w:snapToGrid w:val="0"/>
          <w:color w:val="auto"/>
          <w:kern w:val="0"/>
          <w:szCs w:val="21"/>
          <w:highlight w:val="none"/>
        </w:rPr>
        <w:t>表后交任职项目建设单位审核同意后盖章。任职项目建设单位另行出具书面同意意见的，投标人应将该书面意见附在本表后，同时在“委托人声明”栏目注明“另附”即可。</w:t>
      </w:r>
    </w:p>
    <w:p w14:paraId="2E6E0BBD">
      <w:pPr>
        <w:wordWrap w:val="0"/>
        <w:adjustRightInd w:val="0"/>
        <w:snapToGrid w:val="0"/>
        <w:spacing w:line="400" w:lineRule="exact"/>
        <w:rPr>
          <w:rFonts w:hAnsi="宋体" w:cs="宋体"/>
          <w:snapToGrid w:val="0"/>
          <w:color w:val="auto"/>
          <w:kern w:val="0"/>
          <w:sz w:val="21"/>
          <w:szCs w:val="21"/>
          <w:highlight w:val="none"/>
        </w:rPr>
        <w:sectPr>
          <w:endnotePr>
            <w:numFmt w:val="decimal"/>
          </w:endnotePr>
          <w:pgSz w:w="11906" w:h="16838"/>
          <w:pgMar w:top="1417" w:right="1417" w:bottom="1417" w:left="1417" w:header="850" w:footer="992" w:gutter="0"/>
          <w:cols w:space="0" w:num="1"/>
          <w:docGrid w:linePitch="327" w:charSpace="0"/>
        </w:sectPr>
      </w:pPr>
    </w:p>
    <w:p w14:paraId="248A4AB0">
      <w:pPr>
        <w:wordWrap w:val="0"/>
        <w:adjustRightInd w:val="0"/>
        <w:snapToGrid w:val="0"/>
        <w:spacing w:line="440" w:lineRule="exact"/>
        <w:ind w:left="2609" w:leftChars="15" w:hanging="2573" w:hangingChars="1068"/>
        <w:outlineLvl w:val="1"/>
        <w:rPr>
          <w:rFonts w:hAnsi="宋体" w:cs="宋体"/>
          <w:b/>
          <w:bCs/>
          <w:snapToGrid w:val="0"/>
          <w:color w:val="auto"/>
          <w:kern w:val="0"/>
          <w:szCs w:val="24"/>
          <w:highlight w:val="none"/>
        </w:rPr>
      </w:pPr>
      <w:bookmarkStart w:id="323" w:name="_Toc18807"/>
      <w:bookmarkStart w:id="324" w:name="_Toc8264"/>
      <w:bookmarkStart w:id="325" w:name="_Toc200338098"/>
      <w:r>
        <w:rPr>
          <w:rFonts w:hint="eastAsia" w:hAnsi="宋体" w:cs="宋体"/>
          <w:b/>
          <w:snapToGrid w:val="0"/>
          <w:color w:val="auto"/>
          <w:kern w:val="0"/>
          <w:highlight w:val="none"/>
        </w:rPr>
        <w:t>格式</w:t>
      </w:r>
      <w:bookmarkStart w:id="326" w:name="_Hlt287950384"/>
      <w:bookmarkEnd w:id="326"/>
      <w:r>
        <w:rPr>
          <w:rFonts w:hint="eastAsia" w:hAnsi="宋体" w:cs="宋体"/>
          <w:b/>
          <w:bCs/>
          <w:snapToGrid w:val="0"/>
          <w:color w:val="auto"/>
          <w:kern w:val="0"/>
          <w:szCs w:val="24"/>
          <w:highlight w:val="none"/>
        </w:rPr>
        <w:t>十 项目监理机构组成人员汇总表</w:t>
      </w:r>
      <w:bookmarkEnd w:id="323"/>
    </w:p>
    <w:p w14:paraId="58540D5A">
      <w:pPr>
        <w:wordWrap w:val="0"/>
        <w:adjustRightInd w:val="0"/>
        <w:snapToGrid w:val="0"/>
        <w:spacing w:before="260" w:after="260" w:line="440" w:lineRule="exact"/>
        <w:jc w:val="center"/>
        <w:rPr>
          <w:rFonts w:hAnsi="宋体" w:cs="宋体"/>
          <w:b/>
          <w:snapToGrid w:val="0"/>
          <w:color w:val="auto"/>
          <w:kern w:val="0"/>
          <w:highlight w:val="none"/>
        </w:rPr>
      </w:pPr>
      <w:r>
        <w:rPr>
          <w:rFonts w:hint="eastAsia" w:hAnsi="宋体" w:cs="宋体"/>
          <w:b/>
          <w:snapToGrid w:val="0"/>
          <w:color w:val="auto"/>
          <w:kern w:val="0"/>
          <w:sz w:val="30"/>
          <w:highlight w:val="none"/>
        </w:rPr>
        <w:t xml:space="preserve"> 项目监理机构组成人员汇总表</w:t>
      </w:r>
    </w:p>
    <w:tbl>
      <w:tblPr>
        <w:tblStyle w:val="3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326"/>
        <w:gridCol w:w="1425"/>
        <w:gridCol w:w="840"/>
        <w:gridCol w:w="1485"/>
        <w:gridCol w:w="615"/>
        <w:gridCol w:w="1680"/>
        <w:gridCol w:w="1425"/>
        <w:gridCol w:w="660"/>
        <w:gridCol w:w="1695"/>
        <w:gridCol w:w="1455"/>
        <w:gridCol w:w="645"/>
        <w:gridCol w:w="1680"/>
      </w:tblGrid>
      <w:tr w14:paraId="43CBDA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4" w:hRule="exact"/>
        </w:trPr>
        <w:tc>
          <w:tcPr>
            <w:tcW w:w="326" w:type="dxa"/>
            <w:vMerge w:val="restart"/>
            <w:tcBorders>
              <w:top w:val="single" w:color="auto" w:sz="6" w:space="0"/>
              <w:left w:val="single" w:color="auto" w:sz="6" w:space="0"/>
              <w:right w:val="single" w:color="auto" w:sz="6" w:space="0"/>
            </w:tcBorders>
            <w:vAlign w:val="center"/>
          </w:tcPr>
          <w:p w14:paraId="232B9A99">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序号</w:t>
            </w:r>
          </w:p>
        </w:tc>
        <w:tc>
          <w:tcPr>
            <w:tcW w:w="1425" w:type="dxa"/>
            <w:vMerge w:val="restart"/>
            <w:tcBorders>
              <w:top w:val="single" w:color="auto" w:sz="6" w:space="0"/>
              <w:left w:val="single" w:color="auto" w:sz="6" w:space="0"/>
              <w:right w:val="single" w:color="auto" w:sz="6" w:space="0"/>
            </w:tcBorders>
            <w:vAlign w:val="center"/>
          </w:tcPr>
          <w:p w14:paraId="1520B1B9">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拟担任职务</w:t>
            </w:r>
          </w:p>
        </w:tc>
        <w:tc>
          <w:tcPr>
            <w:tcW w:w="840" w:type="dxa"/>
            <w:vMerge w:val="restart"/>
            <w:tcBorders>
              <w:top w:val="single" w:color="auto" w:sz="6" w:space="0"/>
              <w:left w:val="single" w:color="auto" w:sz="6" w:space="0"/>
              <w:right w:val="single" w:color="auto" w:sz="4" w:space="0"/>
            </w:tcBorders>
            <w:vAlign w:val="center"/>
          </w:tcPr>
          <w:p w14:paraId="33D419CB">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姓  名</w:t>
            </w:r>
          </w:p>
        </w:tc>
        <w:tc>
          <w:tcPr>
            <w:tcW w:w="3780" w:type="dxa"/>
            <w:gridSpan w:val="3"/>
            <w:tcBorders>
              <w:top w:val="single" w:color="auto" w:sz="4" w:space="0"/>
              <w:left w:val="single" w:color="auto" w:sz="4" w:space="0"/>
              <w:bottom w:val="single" w:color="auto" w:sz="4" w:space="0"/>
              <w:right w:val="single" w:color="auto" w:sz="4" w:space="0"/>
            </w:tcBorders>
            <w:vAlign w:val="center"/>
          </w:tcPr>
          <w:p w14:paraId="116ADF27">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职称证书</w:t>
            </w:r>
          </w:p>
        </w:tc>
        <w:tc>
          <w:tcPr>
            <w:tcW w:w="3780" w:type="dxa"/>
            <w:gridSpan w:val="3"/>
            <w:tcBorders>
              <w:top w:val="single" w:color="auto" w:sz="6" w:space="0"/>
              <w:left w:val="single" w:color="auto" w:sz="4" w:space="0"/>
              <w:bottom w:val="single" w:color="auto" w:sz="6" w:space="0"/>
              <w:right w:val="single" w:color="auto" w:sz="6" w:space="0"/>
            </w:tcBorders>
            <w:vAlign w:val="center"/>
          </w:tcPr>
          <w:p w14:paraId="42F7B6BD">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注册证书</w:t>
            </w:r>
          </w:p>
        </w:tc>
        <w:tc>
          <w:tcPr>
            <w:tcW w:w="3780" w:type="dxa"/>
            <w:gridSpan w:val="3"/>
            <w:tcBorders>
              <w:top w:val="single" w:color="auto" w:sz="6" w:space="0"/>
              <w:left w:val="single" w:color="auto" w:sz="6" w:space="0"/>
              <w:bottom w:val="single" w:color="auto" w:sz="6" w:space="0"/>
              <w:right w:val="single" w:color="auto" w:sz="6" w:space="0"/>
            </w:tcBorders>
            <w:vAlign w:val="center"/>
          </w:tcPr>
          <w:p w14:paraId="039926B7">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岗位证书</w:t>
            </w:r>
          </w:p>
        </w:tc>
      </w:tr>
      <w:tr w14:paraId="535A2E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4" w:hRule="exact"/>
        </w:trPr>
        <w:tc>
          <w:tcPr>
            <w:tcW w:w="326" w:type="dxa"/>
            <w:vMerge w:val="continue"/>
            <w:tcBorders>
              <w:left w:val="single" w:color="auto" w:sz="6" w:space="0"/>
              <w:bottom w:val="single" w:color="auto" w:sz="6" w:space="0"/>
              <w:right w:val="single" w:color="auto" w:sz="6" w:space="0"/>
            </w:tcBorders>
            <w:vAlign w:val="center"/>
          </w:tcPr>
          <w:p w14:paraId="6546614E">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vMerge w:val="continue"/>
            <w:tcBorders>
              <w:left w:val="single" w:color="auto" w:sz="6" w:space="0"/>
              <w:bottom w:val="single" w:color="auto" w:sz="6" w:space="0"/>
              <w:right w:val="single" w:color="auto" w:sz="6" w:space="0"/>
            </w:tcBorders>
            <w:vAlign w:val="center"/>
          </w:tcPr>
          <w:p w14:paraId="6731DA81">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vMerge w:val="continue"/>
            <w:tcBorders>
              <w:left w:val="single" w:color="auto" w:sz="6" w:space="0"/>
              <w:bottom w:val="single" w:color="auto" w:sz="6" w:space="0"/>
              <w:right w:val="single" w:color="auto" w:sz="4" w:space="0"/>
            </w:tcBorders>
            <w:vAlign w:val="center"/>
          </w:tcPr>
          <w:p w14:paraId="6EA10DF7">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4" w:space="0"/>
              <w:left w:val="single" w:color="auto" w:sz="4" w:space="0"/>
              <w:bottom w:val="single" w:color="auto" w:sz="4" w:space="0"/>
              <w:right w:val="single" w:color="auto" w:sz="4" w:space="0"/>
            </w:tcBorders>
            <w:vAlign w:val="center"/>
          </w:tcPr>
          <w:p w14:paraId="6FEC0E5F">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专业名称</w:t>
            </w:r>
          </w:p>
        </w:tc>
        <w:tc>
          <w:tcPr>
            <w:tcW w:w="615" w:type="dxa"/>
            <w:tcBorders>
              <w:top w:val="single" w:color="auto" w:sz="4" w:space="0"/>
              <w:left w:val="single" w:color="auto" w:sz="4" w:space="0"/>
              <w:bottom w:val="single" w:color="auto" w:sz="4" w:space="0"/>
              <w:right w:val="single" w:color="auto" w:sz="4" w:space="0"/>
            </w:tcBorders>
            <w:vAlign w:val="center"/>
          </w:tcPr>
          <w:p w14:paraId="70059119">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级别</w:t>
            </w:r>
          </w:p>
        </w:tc>
        <w:tc>
          <w:tcPr>
            <w:tcW w:w="1680" w:type="dxa"/>
            <w:tcBorders>
              <w:top w:val="single" w:color="auto" w:sz="4" w:space="0"/>
              <w:left w:val="single" w:color="auto" w:sz="4" w:space="0"/>
              <w:bottom w:val="single" w:color="auto" w:sz="4" w:space="0"/>
              <w:right w:val="single" w:color="auto" w:sz="4" w:space="0"/>
            </w:tcBorders>
            <w:vAlign w:val="center"/>
          </w:tcPr>
          <w:p w14:paraId="4DD93C5B">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证号</w:t>
            </w:r>
          </w:p>
        </w:tc>
        <w:tc>
          <w:tcPr>
            <w:tcW w:w="1425" w:type="dxa"/>
            <w:tcBorders>
              <w:top w:val="single" w:color="auto" w:sz="6" w:space="0"/>
              <w:left w:val="single" w:color="auto" w:sz="4" w:space="0"/>
              <w:bottom w:val="single" w:color="auto" w:sz="6" w:space="0"/>
              <w:right w:val="single" w:color="auto" w:sz="6" w:space="0"/>
            </w:tcBorders>
            <w:vAlign w:val="center"/>
          </w:tcPr>
          <w:p w14:paraId="6EF8DFE9">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资格名称</w:t>
            </w:r>
          </w:p>
        </w:tc>
        <w:tc>
          <w:tcPr>
            <w:tcW w:w="660" w:type="dxa"/>
            <w:tcBorders>
              <w:top w:val="single" w:color="auto" w:sz="6" w:space="0"/>
              <w:left w:val="single" w:color="auto" w:sz="6" w:space="0"/>
              <w:bottom w:val="single" w:color="auto" w:sz="6" w:space="0"/>
              <w:right w:val="single" w:color="auto" w:sz="6" w:space="0"/>
            </w:tcBorders>
            <w:vAlign w:val="center"/>
          </w:tcPr>
          <w:p w14:paraId="7D190E1F">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级别</w:t>
            </w:r>
          </w:p>
        </w:tc>
        <w:tc>
          <w:tcPr>
            <w:tcW w:w="1695" w:type="dxa"/>
            <w:tcBorders>
              <w:top w:val="single" w:color="auto" w:sz="6" w:space="0"/>
              <w:left w:val="single" w:color="auto" w:sz="6" w:space="0"/>
              <w:bottom w:val="single" w:color="auto" w:sz="6" w:space="0"/>
              <w:right w:val="single" w:color="auto" w:sz="6" w:space="0"/>
            </w:tcBorders>
            <w:vAlign w:val="center"/>
          </w:tcPr>
          <w:p w14:paraId="18ED2062">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证号</w:t>
            </w:r>
          </w:p>
        </w:tc>
        <w:tc>
          <w:tcPr>
            <w:tcW w:w="1455" w:type="dxa"/>
            <w:tcBorders>
              <w:top w:val="single" w:color="auto" w:sz="6" w:space="0"/>
              <w:left w:val="single" w:color="auto" w:sz="6" w:space="0"/>
              <w:bottom w:val="single" w:color="auto" w:sz="6" w:space="0"/>
              <w:right w:val="single" w:color="auto" w:sz="6" w:space="0"/>
            </w:tcBorders>
            <w:vAlign w:val="center"/>
          </w:tcPr>
          <w:p w14:paraId="74F8933B">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岗位名称</w:t>
            </w:r>
          </w:p>
        </w:tc>
        <w:tc>
          <w:tcPr>
            <w:tcW w:w="645" w:type="dxa"/>
            <w:tcBorders>
              <w:top w:val="single" w:color="auto" w:sz="6" w:space="0"/>
              <w:left w:val="single" w:color="auto" w:sz="6" w:space="0"/>
              <w:bottom w:val="single" w:color="auto" w:sz="6" w:space="0"/>
              <w:right w:val="single" w:color="auto" w:sz="6" w:space="0"/>
            </w:tcBorders>
            <w:vAlign w:val="center"/>
          </w:tcPr>
          <w:p w14:paraId="07D4D1F8">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级别</w:t>
            </w:r>
          </w:p>
        </w:tc>
        <w:tc>
          <w:tcPr>
            <w:tcW w:w="1680" w:type="dxa"/>
            <w:tcBorders>
              <w:top w:val="single" w:color="auto" w:sz="6" w:space="0"/>
              <w:left w:val="single" w:color="auto" w:sz="6" w:space="0"/>
              <w:bottom w:val="single" w:color="auto" w:sz="6" w:space="0"/>
              <w:right w:val="single" w:color="auto" w:sz="6" w:space="0"/>
            </w:tcBorders>
            <w:vAlign w:val="center"/>
          </w:tcPr>
          <w:p w14:paraId="28797E4B">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证号</w:t>
            </w:r>
          </w:p>
        </w:tc>
      </w:tr>
      <w:tr w14:paraId="29DEF0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326" w:type="dxa"/>
            <w:tcBorders>
              <w:top w:val="single" w:color="auto" w:sz="6" w:space="0"/>
              <w:left w:val="single" w:color="auto" w:sz="6" w:space="0"/>
              <w:bottom w:val="single" w:color="auto" w:sz="6" w:space="0"/>
              <w:right w:val="single" w:color="auto" w:sz="6" w:space="0"/>
            </w:tcBorders>
            <w:vAlign w:val="center"/>
          </w:tcPr>
          <w:p w14:paraId="61E46582">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1</w:t>
            </w:r>
          </w:p>
        </w:tc>
        <w:tc>
          <w:tcPr>
            <w:tcW w:w="1425" w:type="dxa"/>
            <w:tcBorders>
              <w:top w:val="single" w:color="auto" w:sz="6" w:space="0"/>
              <w:left w:val="single" w:color="auto" w:sz="6" w:space="0"/>
              <w:bottom w:val="single" w:color="auto" w:sz="6" w:space="0"/>
              <w:right w:val="single" w:color="auto" w:sz="6" w:space="0"/>
            </w:tcBorders>
            <w:vAlign w:val="center"/>
          </w:tcPr>
          <w:p w14:paraId="50FB5A12">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tcBorders>
              <w:top w:val="single" w:color="auto" w:sz="6" w:space="0"/>
              <w:left w:val="single" w:color="auto" w:sz="6" w:space="0"/>
              <w:bottom w:val="single" w:color="auto" w:sz="6" w:space="0"/>
              <w:right w:val="single" w:color="auto" w:sz="6" w:space="0"/>
            </w:tcBorders>
            <w:vAlign w:val="center"/>
          </w:tcPr>
          <w:p w14:paraId="6C40A156">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4" w:space="0"/>
              <w:left w:val="single" w:color="auto" w:sz="6" w:space="0"/>
              <w:bottom w:val="single" w:color="auto" w:sz="6" w:space="0"/>
              <w:right w:val="single" w:color="auto" w:sz="6" w:space="0"/>
            </w:tcBorders>
            <w:vAlign w:val="center"/>
          </w:tcPr>
          <w:p w14:paraId="5DB6D1A2">
            <w:pPr>
              <w:wordWrap w:val="0"/>
              <w:adjustRightInd w:val="0"/>
              <w:snapToGrid w:val="0"/>
              <w:spacing w:line="240" w:lineRule="auto"/>
              <w:jc w:val="center"/>
              <w:rPr>
                <w:rFonts w:hAnsi="宋体" w:cs="宋体"/>
                <w:snapToGrid w:val="0"/>
                <w:color w:val="auto"/>
                <w:kern w:val="0"/>
                <w:sz w:val="21"/>
                <w:szCs w:val="21"/>
                <w:highlight w:val="none"/>
              </w:rPr>
            </w:pPr>
          </w:p>
        </w:tc>
        <w:tc>
          <w:tcPr>
            <w:tcW w:w="615" w:type="dxa"/>
            <w:tcBorders>
              <w:top w:val="single" w:color="auto" w:sz="4" w:space="0"/>
              <w:left w:val="single" w:color="auto" w:sz="6" w:space="0"/>
              <w:bottom w:val="single" w:color="auto" w:sz="6" w:space="0"/>
              <w:right w:val="single" w:color="auto" w:sz="6" w:space="0"/>
            </w:tcBorders>
            <w:vAlign w:val="center"/>
          </w:tcPr>
          <w:p w14:paraId="2552F990">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4" w:space="0"/>
              <w:left w:val="single" w:color="auto" w:sz="6" w:space="0"/>
              <w:bottom w:val="single" w:color="auto" w:sz="6" w:space="0"/>
              <w:right w:val="single" w:color="auto" w:sz="6" w:space="0"/>
            </w:tcBorders>
            <w:vAlign w:val="center"/>
          </w:tcPr>
          <w:p w14:paraId="578170FF">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0A67664B">
            <w:pPr>
              <w:wordWrap w:val="0"/>
              <w:adjustRightInd w:val="0"/>
              <w:snapToGrid w:val="0"/>
              <w:spacing w:line="240" w:lineRule="auto"/>
              <w:jc w:val="center"/>
              <w:rPr>
                <w:rFonts w:hAnsi="宋体" w:cs="宋体"/>
                <w:snapToGrid w:val="0"/>
                <w:color w:val="auto"/>
                <w:kern w:val="0"/>
                <w:sz w:val="21"/>
                <w:szCs w:val="21"/>
                <w:highlight w:val="none"/>
              </w:rPr>
            </w:pPr>
          </w:p>
        </w:tc>
        <w:tc>
          <w:tcPr>
            <w:tcW w:w="660" w:type="dxa"/>
            <w:tcBorders>
              <w:top w:val="single" w:color="auto" w:sz="6" w:space="0"/>
              <w:left w:val="single" w:color="auto" w:sz="6" w:space="0"/>
              <w:bottom w:val="single" w:color="auto" w:sz="6" w:space="0"/>
              <w:right w:val="single" w:color="auto" w:sz="6" w:space="0"/>
            </w:tcBorders>
            <w:vAlign w:val="center"/>
          </w:tcPr>
          <w:p w14:paraId="44816533">
            <w:pPr>
              <w:wordWrap w:val="0"/>
              <w:adjustRightInd w:val="0"/>
              <w:snapToGrid w:val="0"/>
              <w:spacing w:line="240" w:lineRule="auto"/>
              <w:jc w:val="center"/>
              <w:rPr>
                <w:rFonts w:hAnsi="宋体" w:cs="宋体"/>
                <w:snapToGrid w:val="0"/>
                <w:color w:val="auto"/>
                <w:kern w:val="0"/>
                <w:sz w:val="21"/>
                <w:szCs w:val="21"/>
                <w:highlight w:val="none"/>
              </w:rPr>
            </w:pPr>
          </w:p>
        </w:tc>
        <w:tc>
          <w:tcPr>
            <w:tcW w:w="1695" w:type="dxa"/>
            <w:tcBorders>
              <w:top w:val="single" w:color="auto" w:sz="6" w:space="0"/>
              <w:left w:val="single" w:color="auto" w:sz="6" w:space="0"/>
              <w:bottom w:val="single" w:color="auto" w:sz="6" w:space="0"/>
              <w:right w:val="single" w:color="auto" w:sz="6" w:space="0"/>
            </w:tcBorders>
            <w:vAlign w:val="center"/>
          </w:tcPr>
          <w:p w14:paraId="44FC1286">
            <w:pPr>
              <w:wordWrap w:val="0"/>
              <w:adjustRightInd w:val="0"/>
              <w:snapToGrid w:val="0"/>
              <w:spacing w:line="240" w:lineRule="auto"/>
              <w:jc w:val="center"/>
              <w:rPr>
                <w:rFonts w:hAnsi="宋体" w:cs="宋体"/>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vAlign w:val="center"/>
          </w:tcPr>
          <w:p w14:paraId="53BC87CD">
            <w:pPr>
              <w:wordWrap w:val="0"/>
              <w:adjustRightInd w:val="0"/>
              <w:snapToGrid w:val="0"/>
              <w:spacing w:line="240" w:lineRule="auto"/>
              <w:jc w:val="center"/>
              <w:rPr>
                <w:rFonts w:hAnsi="宋体" w:cs="宋体"/>
                <w:snapToGrid w:val="0"/>
                <w:color w:val="auto"/>
                <w:kern w:val="0"/>
                <w:sz w:val="21"/>
                <w:szCs w:val="21"/>
                <w:highlight w:val="none"/>
              </w:rPr>
            </w:pPr>
          </w:p>
        </w:tc>
        <w:tc>
          <w:tcPr>
            <w:tcW w:w="645" w:type="dxa"/>
            <w:tcBorders>
              <w:top w:val="single" w:color="auto" w:sz="6" w:space="0"/>
              <w:left w:val="single" w:color="auto" w:sz="6" w:space="0"/>
              <w:bottom w:val="single" w:color="auto" w:sz="6" w:space="0"/>
              <w:right w:val="single" w:color="auto" w:sz="6" w:space="0"/>
            </w:tcBorders>
            <w:vAlign w:val="center"/>
          </w:tcPr>
          <w:p w14:paraId="45B35959">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70775D7B">
            <w:pPr>
              <w:wordWrap w:val="0"/>
              <w:adjustRightInd w:val="0"/>
              <w:snapToGrid w:val="0"/>
              <w:spacing w:line="240" w:lineRule="auto"/>
              <w:jc w:val="center"/>
              <w:rPr>
                <w:rFonts w:hAnsi="宋体" w:cs="宋体"/>
                <w:snapToGrid w:val="0"/>
                <w:color w:val="auto"/>
                <w:kern w:val="0"/>
                <w:sz w:val="21"/>
                <w:szCs w:val="21"/>
                <w:highlight w:val="none"/>
              </w:rPr>
            </w:pPr>
          </w:p>
        </w:tc>
      </w:tr>
      <w:tr w14:paraId="4D9225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326" w:type="dxa"/>
            <w:tcBorders>
              <w:top w:val="single" w:color="auto" w:sz="6" w:space="0"/>
              <w:left w:val="single" w:color="auto" w:sz="6" w:space="0"/>
              <w:bottom w:val="single" w:color="auto" w:sz="6" w:space="0"/>
              <w:right w:val="single" w:color="auto" w:sz="6" w:space="0"/>
            </w:tcBorders>
            <w:vAlign w:val="center"/>
          </w:tcPr>
          <w:p w14:paraId="70B1CFCD">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2</w:t>
            </w:r>
          </w:p>
        </w:tc>
        <w:tc>
          <w:tcPr>
            <w:tcW w:w="1425" w:type="dxa"/>
            <w:tcBorders>
              <w:top w:val="single" w:color="auto" w:sz="6" w:space="0"/>
              <w:left w:val="single" w:color="auto" w:sz="6" w:space="0"/>
              <w:bottom w:val="single" w:color="auto" w:sz="6" w:space="0"/>
              <w:right w:val="single" w:color="auto" w:sz="6" w:space="0"/>
            </w:tcBorders>
            <w:vAlign w:val="center"/>
          </w:tcPr>
          <w:p w14:paraId="7FAA5B27">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tcBorders>
              <w:top w:val="single" w:color="auto" w:sz="6" w:space="0"/>
              <w:left w:val="single" w:color="auto" w:sz="6" w:space="0"/>
              <w:bottom w:val="single" w:color="auto" w:sz="6" w:space="0"/>
              <w:right w:val="single" w:color="auto" w:sz="6" w:space="0"/>
            </w:tcBorders>
            <w:vAlign w:val="center"/>
          </w:tcPr>
          <w:p w14:paraId="468953DB">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6" w:space="0"/>
              <w:left w:val="single" w:color="auto" w:sz="6" w:space="0"/>
              <w:bottom w:val="single" w:color="auto" w:sz="6" w:space="0"/>
              <w:right w:val="single" w:color="auto" w:sz="6" w:space="0"/>
            </w:tcBorders>
            <w:vAlign w:val="center"/>
          </w:tcPr>
          <w:p w14:paraId="6BCA321C">
            <w:pPr>
              <w:wordWrap w:val="0"/>
              <w:adjustRightInd w:val="0"/>
              <w:snapToGrid w:val="0"/>
              <w:spacing w:line="240" w:lineRule="auto"/>
              <w:jc w:val="center"/>
              <w:rPr>
                <w:rFonts w:hAnsi="宋体" w:cs="宋体"/>
                <w:snapToGrid w:val="0"/>
                <w:color w:val="auto"/>
                <w:kern w:val="0"/>
                <w:sz w:val="21"/>
                <w:szCs w:val="21"/>
                <w:highlight w:val="none"/>
              </w:rPr>
            </w:pPr>
          </w:p>
        </w:tc>
        <w:tc>
          <w:tcPr>
            <w:tcW w:w="615" w:type="dxa"/>
            <w:tcBorders>
              <w:top w:val="single" w:color="auto" w:sz="6" w:space="0"/>
              <w:left w:val="single" w:color="auto" w:sz="6" w:space="0"/>
              <w:bottom w:val="single" w:color="auto" w:sz="6" w:space="0"/>
              <w:right w:val="single" w:color="auto" w:sz="6" w:space="0"/>
            </w:tcBorders>
            <w:vAlign w:val="center"/>
          </w:tcPr>
          <w:p w14:paraId="4B53456B">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71994C2F">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0AFA912F">
            <w:pPr>
              <w:wordWrap w:val="0"/>
              <w:adjustRightInd w:val="0"/>
              <w:snapToGrid w:val="0"/>
              <w:spacing w:line="240" w:lineRule="auto"/>
              <w:jc w:val="center"/>
              <w:rPr>
                <w:rFonts w:hAnsi="宋体" w:cs="宋体"/>
                <w:snapToGrid w:val="0"/>
                <w:color w:val="auto"/>
                <w:kern w:val="0"/>
                <w:sz w:val="21"/>
                <w:szCs w:val="21"/>
                <w:highlight w:val="none"/>
              </w:rPr>
            </w:pPr>
          </w:p>
        </w:tc>
        <w:tc>
          <w:tcPr>
            <w:tcW w:w="660" w:type="dxa"/>
            <w:tcBorders>
              <w:top w:val="single" w:color="auto" w:sz="6" w:space="0"/>
              <w:left w:val="single" w:color="auto" w:sz="6" w:space="0"/>
              <w:bottom w:val="single" w:color="auto" w:sz="6" w:space="0"/>
              <w:right w:val="single" w:color="auto" w:sz="6" w:space="0"/>
            </w:tcBorders>
            <w:vAlign w:val="center"/>
          </w:tcPr>
          <w:p w14:paraId="55D46B34">
            <w:pPr>
              <w:wordWrap w:val="0"/>
              <w:adjustRightInd w:val="0"/>
              <w:snapToGrid w:val="0"/>
              <w:spacing w:line="240" w:lineRule="auto"/>
              <w:jc w:val="center"/>
              <w:rPr>
                <w:rFonts w:hAnsi="宋体" w:cs="宋体"/>
                <w:snapToGrid w:val="0"/>
                <w:color w:val="auto"/>
                <w:kern w:val="0"/>
                <w:sz w:val="21"/>
                <w:szCs w:val="21"/>
                <w:highlight w:val="none"/>
              </w:rPr>
            </w:pPr>
          </w:p>
        </w:tc>
        <w:tc>
          <w:tcPr>
            <w:tcW w:w="1695" w:type="dxa"/>
            <w:tcBorders>
              <w:top w:val="single" w:color="auto" w:sz="6" w:space="0"/>
              <w:left w:val="single" w:color="auto" w:sz="6" w:space="0"/>
              <w:bottom w:val="single" w:color="auto" w:sz="6" w:space="0"/>
              <w:right w:val="single" w:color="auto" w:sz="6" w:space="0"/>
            </w:tcBorders>
            <w:vAlign w:val="center"/>
          </w:tcPr>
          <w:p w14:paraId="4E7A2D61">
            <w:pPr>
              <w:wordWrap w:val="0"/>
              <w:adjustRightInd w:val="0"/>
              <w:snapToGrid w:val="0"/>
              <w:spacing w:line="240" w:lineRule="auto"/>
              <w:jc w:val="center"/>
              <w:rPr>
                <w:rFonts w:hAnsi="宋体" w:cs="宋体"/>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vAlign w:val="center"/>
          </w:tcPr>
          <w:p w14:paraId="7DC31AA9">
            <w:pPr>
              <w:wordWrap w:val="0"/>
              <w:adjustRightInd w:val="0"/>
              <w:snapToGrid w:val="0"/>
              <w:spacing w:line="240" w:lineRule="auto"/>
              <w:jc w:val="center"/>
              <w:rPr>
                <w:rFonts w:hAnsi="宋体" w:cs="宋体"/>
                <w:snapToGrid w:val="0"/>
                <w:color w:val="auto"/>
                <w:kern w:val="0"/>
                <w:sz w:val="21"/>
                <w:szCs w:val="21"/>
                <w:highlight w:val="none"/>
              </w:rPr>
            </w:pPr>
          </w:p>
        </w:tc>
        <w:tc>
          <w:tcPr>
            <w:tcW w:w="645" w:type="dxa"/>
            <w:tcBorders>
              <w:top w:val="single" w:color="auto" w:sz="6" w:space="0"/>
              <w:left w:val="single" w:color="auto" w:sz="6" w:space="0"/>
              <w:bottom w:val="single" w:color="auto" w:sz="6" w:space="0"/>
              <w:right w:val="single" w:color="auto" w:sz="6" w:space="0"/>
            </w:tcBorders>
            <w:vAlign w:val="center"/>
          </w:tcPr>
          <w:p w14:paraId="731F537B">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3D0FE30B">
            <w:pPr>
              <w:wordWrap w:val="0"/>
              <w:adjustRightInd w:val="0"/>
              <w:snapToGrid w:val="0"/>
              <w:spacing w:line="240" w:lineRule="auto"/>
              <w:jc w:val="center"/>
              <w:rPr>
                <w:rFonts w:hAnsi="宋体" w:cs="宋体"/>
                <w:snapToGrid w:val="0"/>
                <w:color w:val="auto"/>
                <w:kern w:val="0"/>
                <w:sz w:val="21"/>
                <w:szCs w:val="21"/>
                <w:highlight w:val="none"/>
              </w:rPr>
            </w:pPr>
          </w:p>
        </w:tc>
      </w:tr>
      <w:tr w14:paraId="648ABE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326" w:type="dxa"/>
            <w:tcBorders>
              <w:top w:val="single" w:color="auto" w:sz="6" w:space="0"/>
              <w:left w:val="single" w:color="auto" w:sz="6" w:space="0"/>
              <w:bottom w:val="single" w:color="auto" w:sz="6" w:space="0"/>
              <w:right w:val="single" w:color="auto" w:sz="6" w:space="0"/>
            </w:tcBorders>
            <w:vAlign w:val="center"/>
          </w:tcPr>
          <w:p w14:paraId="15839C53">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3</w:t>
            </w:r>
          </w:p>
        </w:tc>
        <w:tc>
          <w:tcPr>
            <w:tcW w:w="1425" w:type="dxa"/>
            <w:tcBorders>
              <w:top w:val="single" w:color="auto" w:sz="6" w:space="0"/>
              <w:left w:val="single" w:color="auto" w:sz="6" w:space="0"/>
              <w:bottom w:val="single" w:color="auto" w:sz="6" w:space="0"/>
              <w:right w:val="single" w:color="auto" w:sz="6" w:space="0"/>
            </w:tcBorders>
            <w:vAlign w:val="center"/>
          </w:tcPr>
          <w:p w14:paraId="6E40533F">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tcBorders>
              <w:top w:val="single" w:color="auto" w:sz="6" w:space="0"/>
              <w:left w:val="single" w:color="auto" w:sz="6" w:space="0"/>
              <w:bottom w:val="single" w:color="auto" w:sz="6" w:space="0"/>
              <w:right w:val="single" w:color="auto" w:sz="6" w:space="0"/>
            </w:tcBorders>
            <w:vAlign w:val="center"/>
          </w:tcPr>
          <w:p w14:paraId="4ACC7D38">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6" w:space="0"/>
              <w:left w:val="single" w:color="auto" w:sz="6" w:space="0"/>
              <w:bottom w:val="single" w:color="auto" w:sz="6" w:space="0"/>
              <w:right w:val="single" w:color="auto" w:sz="6" w:space="0"/>
            </w:tcBorders>
            <w:vAlign w:val="center"/>
          </w:tcPr>
          <w:p w14:paraId="3D760FF3">
            <w:pPr>
              <w:wordWrap w:val="0"/>
              <w:adjustRightInd w:val="0"/>
              <w:snapToGrid w:val="0"/>
              <w:spacing w:line="240" w:lineRule="auto"/>
              <w:jc w:val="center"/>
              <w:rPr>
                <w:rFonts w:hAnsi="宋体" w:cs="宋体"/>
                <w:snapToGrid w:val="0"/>
                <w:color w:val="auto"/>
                <w:kern w:val="0"/>
                <w:sz w:val="21"/>
                <w:szCs w:val="21"/>
                <w:highlight w:val="none"/>
              </w:rPr>
            </w:pPr>
          </w:p>
        </w:tc>
        <w:tc>
          <w:tcPr>
            <w:tcW w:w="615" w:type="dxa"/>
            <w:tcBorders>
              <w:top w:val="single" w:color="auto" w:sz="6" w:space="0"/>
              <w:left w:val="single" w:color="auto" w:sz="6" w:space="0"/>
              <w:bottom w:val="single" w:color="auto" w:sz="6" w:space="0"/>
              <w:right w:val="single" w:color="auto" w:sz="6" w:space="0"/>
            </w:tcBorders>
            <w:vAlign w:val="center"/>
          </w:tcPr>
          <w:p w14:paraId="50F0374D">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37964376">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23BFE753">
            <w:pPr>
              <w:wordWrap w:val="0"/>
              <w:adjustRightInd w:val="0"/>
              <w:snapToGrid w:val="0"/>
              <w:spacing w:line="240" w:lineRule="auto"/>
              <w:jc w:val="center"/>
              <w:rPr>
                <w:rFonts w:hAnsi="宋体" w:cs="宋体"/>
                <w:snapToGrid w:val="0"/>
                <w:color w:val="auto"/>
                <w:kern w:val="0"/>
                <w:sz w:val="21"/>
                <w:szCs w:val="21"/>
                <w:highlight w:val="none"/>
              </w:rPr>
            </w:pPr>
          </w:p>
        </w:tc>
        <w:tc>
          <w:tcPr>
            <w:tcW w:w="660" w:type="dxa"/>
            <w:tcBorders>
              <w:top w:val="single" w:color="auto" w:sz="6" w:space="0"/>
              <w:left w:val="single" w:color="auto" w:sz="6" w:space="0"/>
              <w:bottom w:val="single" w:color="auto" w:sz="6" w:space="0"/>
              <w:right w:val="single" w:color="auto" w:sz="6" w:space="0"/>
            </w:tcBorders>
            <w:vAlign w:val="center"/>
          </w:tcPr>
          <w:p w14:paraId="5326C746">
            <w:pPr>
              <w:wordWrap w:val="0"/>
              <w:adjustRightInd w:val="0"/>
              <w:snapToGrid w:val="0"/>
              <w:spacing w:line="240" w:lineRule="auto"/>
              <w:jc w:val="center"/>
              <w:rPr>
                <w:rFonts w:hAnsi="宋体" w:cs="宋体"/>
                <w:snapToGrid w:val="0"/>
                <w:color w:val="auto"/>
                <w:kern w:val="0"/>
                <w:sz w:val="21"/>
                <w:szCs w:val="21"/>
                <w:highlight w:val="none"/>
              </w:rPr>
            </w:pPr>
          </w:p>
        </w:tc>
        <w:tc>
          <w:tcPr>
            <w:tcW w:w="1695" w:type="dxa"/>
            <w:tcBorders>
              <w:top w:val="single" w:color="auto" w:sz="6" w:space="0"/>
              <w:left w:val="single" w:color="auto" w:sz="6" w:space="0"/>
              <w:bottom w:val="single" w:color="auto" w:sz="6" w:space="0"/>
              <w:right w:val="single" w:color="auto" w:sz="6" w:space="0"/>
            </w:tcBorders>
            <w:vAlign w:val="center"/>
          </w:tcPr>
          <w:p w14:paraId="0EB51504">
            <w:pPr>
              <w:wordWrap w:val="0"/>
              <w:adjustRightInd w:val="0"/>
              <w:snapToGrid w:val="0"/>
              <w:spacing w:line="240" w:lineRule="auto"/>
              <w:jc w:val="center"/>
              <w:rPr>
                <w:rFonts w:hAnsi="宋体" w:cs="宋体"/>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vAlign w:val="center"/>
          </w:tcPr>
          <w:p w14:paraId="663854FC">
            <w:pPr>
              <w:wordWrap w:val="0"/>
              <w:adjustRightInd w:val="0"/>
              <w:snapToGrid w:val="0"/>
              <w:spacing w:line="240" w:lineRule="auto"/>
              <w:jc w:val="center"/>
              <w:rPr>
                <w:rFonts w:hAnsi="宋体" w:cs="宋体"/>
                <w:snapToGrid w:val="0"/>
                <w:color w:val="auto"/>
                <w:kern w:val="0"/>
                <w:sz w:val="21"/>
                <w:szCs w:val="21"/>
                <w:highlight w:val="none"/>
              </w:rPr>
            </w:pPr>
          </w:p>
        </w:tc>
        <w:tc>
          <w:tcPr>
            <w:tcW w:w="645" w:type="dxa"/>
            <w:tcBorders>
              <w:top w:val="single" w:color="auto" w:sz="6" w:space="0"/>
              <w:left w:val="single" w:color="auto" w:sz="6" w:space="0"/>
              <w:bottom w:val="single" w:color="auto" w:sz="6" w:space="0"/>
              <w:right w:val="single" w:color="auto" w:sz="6" w:space="0"/>
            </w:tcBorders>
            <w:vAlign w:val="center"/>
          </w:tcPr>
          <w:p w14:paraId="5C477EDB">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37F231A9">
            <w:pPr>
              <w:wordWrap w:val="0"/>
              <w:adjustRightInd w:val="0"/>
              <w:snapToGrid w:val="0"/>
              <w:spacing w:line="240" w:lineRule="auto"/>
              <w:jc w:val="center"/>
              <w:rPr>
                <w:rFonts w:hAnsi="宋体" w:cs="宋体"/>
                <w:snapToGrid w:val="0"/>
                <w:color w:val="auto"/>
                <w:kern w:val="0"/>
                <w:sz w:val="21"/>
                <w:szCs w:val="21"/>
                <w:highlight w:val="none"/>
              </w:rPr>
            </w:pPr>
          </w:p>
        </w:tc>
      </w:tr>
      <w:tr w14:paraId="083ABF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326" w:type="dxa"/>
            <w:tcBorders>
              <w:top w:val="single" w:color="auto" w:sz="6" w:space="0"/>
              <w:left w:val="single" w:color="auto" w:sz="6" w:space="0"/>
              <w:bottom w:val="single" w:color="auto" w:sz="6" w:space="0"/>
              <w:right w:val="single" w:color="auto" w:sz="6" w:space="0"/>
            </w:tcBorders>
            <w:vAlign w:val="center"/>
          </w:tcPr>
          <w:p w14:paraId="3DE8433C">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w:t>
            </w:r>
          </w:p>
        </w:tc>
        <w:tc>
          <w:tcPr>
            <w:tcW w:w="1425" w:type="dxa"/>
            <w:tcBorders>
              <w:top w:val="single" w:color="auto" w:sz="6" w:space="0"/>
              <w:left w:val="single" w:color="auto" w:sz="6" w:space="0"/>
              <w:bottom w:val="single" w:color="auto" w:sz="6" w:space="0"/>
              <w:right w:val="single" w:color="auto" w:sz="6" w:space="0"/>
            </w:tcBorders>
            <w:vAlign w:val="center"/>
          </w:tcPr>
          <w:p w14:paraId="4A0831D5">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tcBorders>
              <w:top w:val="single" w:color="auto" w:sz="6" w:space="0"/>
              <w:left w:val="single" w:color="auto" w:sz="6" w:space="0"/>
              <w:bottom w:val="single" w:color="auto" w:sz="6" w:space="0"/>
              <w:right w:val="single" w:color="auto" w:sz="6" w:space="0"/>
            </w:tcBorders>
            <w:vAlign w:val="center"/>
          </w:tcPr>
          <w:p w14:paraId="45BE5AF8">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6" w:space="0"/>
              <w:left w:val="single" w:color="auto" w:sz="6" w:space="0"/>
              <w:bottom w:val="single" w:color="auto" w:sz="6" w:space="0"/>
              <w:right w:val="single" w:color="auto" w:sz="6" w:space="0"/>
            </w:tcBorders>
            <w:vAlign w:val="center"/>
          </w:tcPr>
          <w:p w14:paraId="771BB2E9">
            <w:pPr>
              <w:wordWrap w:val="0"/>
              <w:adjustRightInd w:val="0"/>
              <w:snapToGrid w:val="0"/>
              <w:spacing w:line="240" w:lineRule="auto"/>
              <w:jc w:val="center"/>
              <w:rPr>
                <w:rFonts w:hAnsi="宋体" w:cs="宋体"/>
                <w:snapToGrid w:val="0"/>
                <w:color w:val="auto"/>
                <w:kern w:val="0"/>
                <w:sz w:val="21"/>
                <w:szCs w:val="21"/>
                <w:highlight w:val="none"/>
              </w:rPr>
            </w:pPr>
          </w:p>
        </w:tc>
        <w:tc>
          <w:tcPr>
            <w:tcW w:w="615" w:type="dxa"/>
            <w:tcBorders>
              <w:top w:val="single" w:color="auto" w:sz="6" w:space="0"/>
              <w:left w:val="single" w:color="auto" w:sz="6" w:space="0"/>
              <w:bottom w:val="single" w:color="auto" w:sz="6" w:space="0"/>
              <w:right w:val="single" w:color="auto" w:sz="6" w:space="0"/>
            </w:tcBorders>
            <w:vAlign w:val="center"/>
          </w:tcPr>
          <w:p w14:paraId="1C314B1C">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4E47D727">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49BF5F50">
            <w:pPr>
              <w:wordWrap w:val="0"/>
              <w:adjustRightInd w:val="0"/>
              <w:snapToGrid w:val="0"/>
              <w:spacing w:line="240" w:lineRule="auto"/>
              <w:jc w:val="center"/>
              <w:rPr>
                <w:rFonts w:hAnsi="宋体" w:cs="宋体"/>
                <w:snapToGrid w:val="0"/>
                <w:color w:val="auto"/>
                <w:kern w:val="0"/>
                <w:sz w:val="21"/>
                <w:szCs w:val="21"/>
                <w:highlight w:val="none"/>
              </w:rPr>
            </w:pPr>
          </w:p>
        </w:tc>
        <w:tc>
          <w:tcPr>
            <w:tcW w:w="660" w:type="dxa"/>
            <w:tcBorders>
              <w:top w:val="single" w:color="auto" w:sz="6" w:space="0"/>
              <w:left w:val="single" w:color="auto" w:sz="6" w:space="0"/>
              <w:bottom w:val="single" w:color="auto" w:sz="6" w:space="0"/>
              <w:right w:val="single" w:color="auto" w:sz="6" w:space="0"/>
            </w:tcBorders>
            <w:vAlign w:val="center"/>
          </w:tcPr>
          <w:p w14:paraId="7C098BAE">
            <w:pPr>
              <w:wordWrap w:val="0"/>
              <w:adjustRightInd w:val="0"/>
              <w:snapToGrid w:val="0"/>
              <w:spacing w:line="240" w:lineRule="auto"/>
              <w:jc w:val="center"/>
              <w:rPr>
                <w:rFonts w:hAnsi="宋体" w:cs="宋体"/>
                <w:snapToGrid w:val="0"/>
                <w:color w:val="auto"/>
                <w:kern w:val="0"/>
                <w:sz w:val="21"/>
                <w:szCs w:val="21"/>
                <w:highlight w:val="none"/>
              </w:rPr>
            </w:pPr>
          </w:p>
        </w:tc>
        <w:tc>
          <w:tcPr>
            <w:tcW w:w="1695" w:type="dxa"/>
            <w:tcBorders>
              <w:top w:val="single" w:color="auto" w:sz="6" w:space="0"/>
              <w:left w:val="single" w:color="auto" w:sz="6" w:space="0"/>
              <w:bottom w:val="single" w:color="auto" w:sz="6" w:space="0"/>
              <w:right w:val="single" w:color="auto" w:sz="6" w:space="0"/>
            </w:tcBorders>
            <w:vAlign w:val="center"/>
          </w:tcPr>
          <w:p w14:paraId="0041B8DE">
            <w:pPr>
              <w:wordWrap w:val="0"/>
              <w:adjustRightInd w:val="0"/>
              <w:snapToGrid w:val="0"/>
              <w:spacing w:line="240" w:lineRule="auto"/>
              <w:jc w:val="center"/>
              <w:rPr>
                <w:rFonts w:hAnsi="宋体" w:cs="宋体"/>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vAlign w:val="center"/>
          </w:tcPr>
          <w:p w14:paraId="6E293F8F">
            <w:pPr>
              <w:wordWrap w:val="0"/>
              <w:adjustRightInd w:val="0"/>
              <w:snapToGrid w:val="0"/>
              <w:spacing w:line="240" w:lineRule="auto"/>
              <w:jc w:val="center"/>
              <w:rPr>
                <w:rFonts w:hAnsi="宋体" w:cs="宋体"/>
                <w:snapToGrid w:val="0"/>
                <w:color w:val="auto"/>
                <w:kern w:val="0"/>
                <w:sz w:val="21"/>
                <w:szCs w:val="21"/>
                <w:highlight w:val="none"/>
              </w:rPr>
            </w:pPr>
          </w:p>
        </w:tc>
        <w:tc>
          <w:tcPr>
            <w:tcW w:w="645" w:type="dxa"/>
            <w:tcBorders>
              <w:top w:val="single" w:color="auto" w:sz="6" w:space="0"/>
              <w:left w:val="single" w:color="auto" w:sz="6" w:space="0"/>
              <w:bottom w:val="single" w:color="auto" w:sz="6" w:space="0"/>
              <w:right w:val="single" w:color="auto" w:sz="6" w:space="0"/>
            </w:tcBorders>
            <w:vAlign w:val="center"/>
          </w:tcPr>
          <w:p w14:paraId="1B3AECFD">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51BB2043">
            <w:pPr>
              <w:wordWrap w:val="0"/>
              <w:adjustRightInd w:val="0"/>
              <w:snapToGrid w:val="0"/>
              <w:spacing w:line="240" w:lineRule="auto"/>
              <w:jc w:val="center"/>
              <w:rPr>
                <w:rFonts w:hAnsi="宋体" w:cs="宋体"/>
                <w:snapToGrid w:val="0"/>
                <w:color w:val="auto"/>
                <w:kern w:val="0"/>
                <w:sz w:val="21"/>
                <w:szCs w:val="21"/>
                <w:highlight w:val="none"/>
              </w:rPr>
            </w:pPr>
          </w:p>
        </w:tc>
      </w:tr>
      <w:tr w14:paraId="1D6E3F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326" w:type="dxa"/>
            <w:tcBorders>
              <w:top w:val="single" w:color="auto" w:sz="6" w:space="0"/>
              <w:left w:val="single" w:color="auto" w:sz="6" w:space="0"/>
              <w:bottom w:val="single" w:color="auto" w:sz="6" w:space="0"/>
              <w:right w:val="single" w:color="auto" w:sz="6" w:space="0"/>
            </w:tcBorders>
            <w:vAlign w:val="center"/>
          </w:tcPr>
          <w:p w14:paraId="566A7951">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327FAF32">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tcBorders>
              <w:top w:val="single" w:color="auto" w:sz="6" w:space="0"/>
              <w:left w:val="single" w:color="auto" w:sz="6" w:space="0"/>
              <w:bottom w:val="single" w:color="auto" w:sz="6" w:space="0"/>
              <w:right w:val="single" w:color="auto" w:sz="6" w:space="0"/>
            </w:tcBorders>
            <w:vAlign w:val="center"/>
          </w:tcPr>
          <w:p w14:paraId="2DA9183E">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6" w:space="0"/>
              <w:left w:val="single" w:color="auto" w:sz="6" w:space="0"/>
              <w:bottom w:val="single" w:color="auto" w:sz="6" w:space="0"/>
              <w:right w:val="single" w:color="auto" w:sz="6" w:space="0"/>
            </w:tcBorders>
            <w:vAlign w:val="center"/>
          </w:tcPr>
          <w:p w14:paraId="58B29535">
            <w:pPr>
              <w:wordWrap w:val="0"/>
              <w:adjustRightInd w:val="0"/>
              <w:snapToGrid w:val="0"/>
              <w:spacing w:line="240" w:lineRule="auto"/>
              <w:jc w:val="center"/>
              <w:rPr>
                <w:rFonts w:hAnsi="宋体" w:cs="宋体"/>
                <w:snapToGrid w:val="0"/>
                <w:color w:val="auto"/>
                <w:kern w:val="0"/>
                <w:sz w:val="21"/>
                <w:szCs w:val="21"/>
                <w:highlight w:val="none"/>
              </w:rPr>
            </w:pPr>
          </w:p>
        </w:tc>
        <w:tc>
          <w:tcPr>
            <w:tcW w:w="615" w:type="dxa"/>
            <w:tcBorders>
              <w:top w:val="single" w:color="auto" w:sz="6" w:space="0"/>
              <w:left w:val="single" w:color="auto" w:sz="6" w:space="0"/>
              <w:bottom w:val="single" w:color="auto" w:sz="6" w:space="0"/>
              <w:right w:val="single" w:color="auto" w:sz="6" w:space="0"/>
            </w:tcBorders>
            <w:vAlign w:val="center"/>
          </w:tcPr>
          <w:p w14:paraId="5FEC53F2">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0180C744">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188DE9D1">
            <w:pPr>
              <w:wordWrap w:val="0"/>
              <w:adjustRightInd w:val="0"/>
              <w:snapToGrid w:val="0"/>
              <w:spacing w:line="240" w:lineRule="auto"/>
              <w:jc w:val="center"/>
              <w:rPr>
                <w:rFonts w:hAnsi="宋体" w:cs="宋体"/>
                <w:snapToGrid w:val="0"/>
                <w:color w:val="auto"/>
                <w:kern w:val="0"/>
                <w:sz w:val="21"/>
                <w:szCs w:val="21"/>
                <w:highlight w:val="none"/>
              </w:rPr>
            </w:pPr>
          </w:p>
        </w:tc>
        <w:tc>
          <w:tcPr>
            <w:tcW w:w="660" w:type="dxa"/>
            <w:tcBorders>
              <w:top w:val="single" w:color="auto" w:sz="6" w:space="0"/>
              <w:left w:val="single" w:color="auto" w:sz="6" w:space="0"/>
              <w:bottom w:val="single" w:color="auto" w:sz="6" w:space="0"/>
              <w:right w:val="single" w:color="auto" w:sz="6" w:space="0"/>
            </w:tcBorders>
            <w:vAlign w:val="center"/>
          </w:tcPr>
          <w:p w14:paraId="19400136">
            <w:pPr>
              <w:wordWrap w:val="0"/>
              <w:adjustRightInd w:val="0"/>
              <w:snapToGrid w:val="0"/>
              <w:spacing w:line="240" w:lineRule="auto"/>
              <w:jc w:val="center"/>
              <w:rPr>
                <w:rFonts w:hAnsi="宋体" w:cs="宋体"/>
                <w:snapToGrid w:val="0"/>
                <w:color w:val="auto"/>
                <w:kern w:val="0"/>
                <w:sz w:val="21"/>
                <w:szCs w:val="21"/>
                <w:highlight w:val="none"/>
              </w:rPr>
            </w:pPr>
          </w:p>
        </w:tc>
        <w:tc>
          <w:tcPr>
            <w:tcW w:w="1695" w:type="dxa"/>
            <w:tcBorders>
              <w:top w:val="single" w:color="auto" w:sz="6" w:space="0"/>
              <w:left w:val="single" w:color="auto" w:sz="6" w:space="0"/>
              <w:bottom w:val="single" w:color="auto" w:sz="6" w:space="0"/>
              <w:right w:val="single" w:color="auto" w:sz="6" w:space="0"/>
            </w:tcBorders>
            <w:vAlign w:val="center"/>
          </w:tcPr>
          <w:p w14:paraId="4245C62B">
            <w:pPr>
              <w:wordWrap w:val="0"/>
              <w:adjustRightInd w:val="0"/>
              <w:snapToGrid w:val="0"/>
              <w:spacing w:line="240" w:lineRule="auto"/>
              <w:jc w:val="center"/>
              <w:rPr>
                <w:rFonts w:hAnsi="宋体" w:cs="宋体"/>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vAlign w:val="center"/>
          </w:tcPr>
          <w:p w14:paraId="2B535828">
            <w:pPr>
              <w:wordWrap w:val="0"/>
              <w:adjustRightInd w:val="0"/>
              <w:snapToGrid w:val="0"/>
              <w:spacing w:line="240" w:lineRule="auto"/>
              <w:jc w:val="center"/>
              <w:rPr>
                <w:rFonts w:hAnsi="宋体" w:cs="宋体"/>
                <w:snapToGrid w:val="0"/>
                <w:color w:val="auto"/>
                <w:kern w:val="0"/>
                <w:sz w:val="21"/>
                <w:szCs w:val="21"/>
                <w:highlight w:val="none"/>
              </w:rPr>
            </w:pPr>
          </w:p>
        </w:tc>
        <w:tc>
          <w:tcPr>
            <w:tcW w:w="645" w:type="dxa"/>
            <w:tcBorders>
              <w:top w:val="single" w:color="auto" w:sz="6" w:space="0"/>
              <w:left w:val="single" w:color="auto" w:sz="6" w:space="0"/>
              <w:bottom w:val="single" w:color="auto" w:sz="6" w:space="0"/>
              <w:right w:val="single" w:color="auto" w:sz="6" w:space="0"/>
            </w:tcBorders>
            <w:vAlign w:val="center"/>
          </w:tcPr>
          <w:p w14:paraId="5185989E">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5AA32920">
            <w:pPr>
              <w:wordWrap w:val="0"/>
              <w:adjustRightInd w:val="0"/>
              <w:snapToGrid w:val="0"/>
              <w:spacing w:line="240" w:lineRule="auto"/>
              <w:jc w:val="center"/>
              <w:rPr>
                <w:rFonts w:hAnsi="宋体" w:cs="宋体"/>
                <w:snapToGrid w:val="0"/>
                <w:color w:val="auto"/>
                <w:kern w:val="0"/>
                <w:sz w:val="21"/>
                <w:szCs w:val="21"/>
                <w:highlight w:val="none"/>
              </w:rPr>
            </w:pPr>
          </w:p>
        </w:tc>
      </w:tr>
      <w:tr w14:paraId="6F1EBD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326" w:type="dxa"/>
            <w:tcBorders>
              <w:top w:val="single" w:color="auto" w:sz="6" w:space="0"/>
              <w:left w:val="single" w:color="auto" w:sz="6" w:space="0"/>
              <w:bottom w:val="single" w:color="auto" w:sz="6" w:space="0"/>
              <w:right w:val="single" w:color="auto" w:sz="6" w:space="0"/>
            </w:tcBorders>
            <w:vAlign w:val="center"/>
          </w:tcPr>
          <w:p w14:paraId="6226C860">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428E1B4A">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tcBorders>
              <w:top w:val="single" w:color="auto" w:sz="6" w:space="0"/>
              <w:left w:val="single" w:color="auto" w:sz="6" w:space="0"/>
              <w:bottom w:val="single" w:color="auto" w:sz="6" w:space="0"/>
              <w:right w:val="single" w:color="auto" w:sz="6" w:space="0"/>
            </w:tcBorders>
            <w:vAlign w:val="center"/>
          </w:tcPr>
          <w:p w14:paraId="49D48576">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6" w:space="0"/>
              <w:left w:val="single" w:color="auto" w:sz="6" w:space="0"/>
              <w:bottom w:val="single" w:color="auto" w:sz="6" w:space="0"/>
              <w:right w:val="single" w:color="auto" w:sz="6" w:space="0"/>
            </w:tcBorders>
            <w:vAlign w:val="center"/>
          </w:tcPr>
          <w:p w14:paraId="6478252E">
            <w:pPr>
              <w:wordWrap w:val="0"/>
              <w:adjustRightInd w:val="0"/>
              <w:snapToGrid w:val="0"/>
              <w:spacing w:line="240" w:lineRule="auto"/>
              <w:jc w:val="center"/>
              <w:rPr>
                <w:rFonts w:hAnsi="宋体" w:cs="宋体"/>
                <w:snapToGrid w:val="0"/>
                <w:color w:val="auto"/>
                <w:kern w:val="0"/>
                <w:sz w:val="21"/>
                <w:szCs w:val="21"/>
                <w:highlight w:val="none"/>
              </w:rPr>
            </w:pPr>
          </w:p>
        </w:tc>
        <w:tc>
          <w:tcPr>
            <w:tcW w:w="615" w:type="dxa"/>
            <w:tcBorders>
              <w:top w:val="single" w:color="auto" w:sz="6" w:space="0"/>
              <w:left w:val="single" w:color="auto" w:sz="6" w:space="0"/>
              <w:bottom w:val="single" w:color="auto" w:sz="6" w:space="0"/>
              <w:right w:val="single" w:color="auto" w:sz="6" w:space="0"/>
            </w:tcBorders>
            <w:vAlign w:val="center"/>
          </w:tcPr>
          <w:p w14:paraId="789289E9">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29D46CBE">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279E9517">
            <w:pPr>
              <w:wordWrap w:val="0"/>
              <w:adjustRightInd w:val="0"/>
              <w:snapToGrid w:val="0"/>
              <w:spacing w:line="240" w:lineRule="auto"/>
              <w:jc w:val="center"/>
              <w:rPr>
                <w:rFonts w:hAnsi="宋体" w:cs="宋体"/>
                <w:snapToGrid w:val="0"/>
                <w:color w:val="auto"/>
                <w:kern w:val="0"/>
                <w:sz w:val="21"/>
                <w:szCs w:val="21"/>
                <w:highlight w:val="none"/>
              </w:rPr>
            </w:pPr>
          </w:p>
        </w:tc>
        <w:tc>
          <w:tcPr>
            <w:tcW w:w="660" w:type="dxa"/>
            <w:tcBorders>
              <w:top w:val="single" w:color="auto" w:sz="6" w:space="0"/>
              <w:left w:val="single" w:color="auto" w:sz="6" w:space="0"/>
              <w:bottom w:val="single" w:color="auto" w:sz="6" w:space="0"/>
              <w:right w:val="single" w:color="auto" w:sz="6" w:space="0"/>
            </w:tcBorders>
            <w:vAlign w:val="center"/>
          </w:tcPr>
          <w:p w14:paraId="533CF4AB">
            <w:pPr>
              <w:wordWrap w:val="0"/>
              <w:adjustRightInd w:val="0"/>
              <w:snapToGrid w:val="0"/>
              <w:spacing w:line="240" w:lineRule="auto"/>
              <w:jc w:val="center"/>
              <w:rPr>
                <w:rFonts w:hAnsi="宋体" w:cs="宋体"/>
                <w:snapToGrid w:val="0"/>
                <w:color w:val="auto"/>
                <w:kern w:val="0"/>
                <w:sz w:val="21"/>
                <w:szCs w:val="21"/>
                <w:highlight w:val="none"/>
              </w:rPr>
            </w:pPr>
          </w:p>
        </w:tc>
        <w:tc>
          <w:tcPr>
            <w:tcW w:w="1695" w:type="dxa"/>
            <w:tcBorders>
              <w:top w:val="single" w:color="auto" w:sz="6" w:space="0"/>
              <w:left w:val="single" w:color="auto" w:sz="6" w:space="0"/>
              <w:bottom w:val="single" w:color="auto" w:sz="6" w:space="0"/>
              <w:right w:val="single" w:color="auto" w:sz="6" w:space="0"/>
            </w:tcBorders>
            <w:vAlign w:val="center"/>
          </w:tcPr>
          <w:p w14:paraId="77592978">
            <w:pPr>
              <w:wordWrap w:val="0"/>
              <w:adjustRightInd w:val="0"/>
              <w:snapToGrid w:val="0"/>
              <w:spacing w:line="240" w:lineRule="auto"/>
              <w:jc w:val="center"/>
              <w:rPr>
                <w:rFonts w:hAnsi="宋体" w:cs="宋体"/>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vAlign w:val="center"/>
          </w:tcPr>
          <w:p w14:paraId="08B63551">
            <w:pPr>
              <w:wordWrap w:val="0"/>
              <w:adjustRightInd w:val="0"/>
              <w:snapToGrid w:val="0"/>
              <w:spacing w:line="240" w:lineRule="auto"/>
              <w:jc w:val="center"/>
              <w:rPr>
                <w:rFonts w:hAnsi="宋体" w:cs="宋体"/>
                <w:snapToGrid w:val="0"/>
                <w:color w:val="auto"/>
                <w:kern w:val="0"/>
                <w:sz w:val="21"/>
                <w:szCs w:val="21"/>
                <w:highlight w:val="none"/>
              </w:rPr>
            </w:pPr>
          </w:p>
        </w:tc>
        <w:tc>
          <w:tcPr>
            <w:tcW w:w="645" w:type="dxa"/>
            <w:tcBorders>
              <w:top w:val="single" w:color="auto" w:sz="6" w:space="0"/>
              <w:left w:val="single" w:color="auto" w:sz="6" w:space="0"/>
              <w:bottom w:val="single" w:color="auto" w:sz="6" w:space="0"/>
              <w:right w:val="single" w:color="auto" w:sz="6" w:space="0"/>
            </w:tcBorders>
            <w:vAlign w:val="center"/>
          </w:tcPr>
          <w:p w14:paraId="73FF7F2B">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579E56F7">
            <w:pPr>
              <w:wordWrap w:val="0"/>
              <w:adjustRightInd w:val="0"/>
              <w:snapToGrid w:val="0"/>
              <w:spacing w:line="240" w:lineRule="auto"/>
              <w:jc w:val="center"/>
              <w:rPr>
                <w:rFonts w:hAnsi="宋体" w:cs="宋体"/>
                <w:snapToGrid w:val="0"/>
                <w:color w:val="auto"/>
                <w:kern w:val="0"/>
                <w:sz w:val="21"/>
                <w:szCs w:val="21"/>
                <w:highlight w:val="none"/>
              </w:rPr>
            </w:pPr>
          </w:p>
        </w:tc>
      </w:tr>
      <w:tr w14:paraId="280CD1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326" w:type="dxa"/>
            <w:tcBorders>
              <w:top w:val="single" w:color="auto" w:sz="6" w:space="0"/>
              <w:left w:val="single" w:color="auto" w:sz="6" w:space="0"/>
              <w:bottom w:val="single" w:color="auto" w:sz="6" w:space="0"/>
              <w:right w:val="single" w:color="auto" w:sz="6" w:space="0"/>
            </w:tcBorders>
            <w:vAlign w:val="center"/>
          </w:tcPr>
          <w:p w14:paraId="7C972988">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08A282E3">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tcBorders>
              <w:top w:val="single" w:color="auto" w:sz="6" w:space="0"/>
              <w:left w:val="single" w:color="auto" w:sz="6" w:space="0"/>
              <w:bottom w:val="single" w:color="auto" w:sz="6" w:space="0"/>
              <w:right w:val="single" w:color="auto" w:sz="6" w:space="0"/>
            </w:tcBorders>
            <w:vAlign w:val="center"/>
          </w:tcPr>
          <w:p w14:paraId="5974B3F3">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6" w:space="0"/>
              <w:left w:val="single" w:color="auto" w:sz="6" w:space="0"/>
              <w:bottom w:val="single" w:color="auto" w:sz="6" w:space="0"/>
              <w:right w:val="single" w:color="auto" w:sz="6" w:space="0"/>
            </w:tcBorders>
            <w:vAlign w:val="center"/>
          </w:tcPr>
          <w:p w14:paraId="2A2B134E">
            <w:pPr>
              <w:wordWrap w:val="0"/>
              <w:adjustRightInd w:val="0"/>
              <w:snapToGrid w:val="0"/>
              <w:spacing w:line="240" w:lineRule="auto"/>
              <w:jc w:val="center"/>
              <w:rPr>
                <w:rFonts w:hAnsi="宋体" w:cs="宋体"/>
                <w:snapToGrid w:val="0"/>
                <w:color w:val="auto"/>
                <w:kern w:val="0"/>
                <w:sz w:val="21"/>
                <w:szCs w:val="21"/>
                <w:highlight w:val="none"/>
              </w:rPr>
            </w:pPr>
          </w:p>
        </w:tc>
        <w:tc>
          <w:tcPr>
            <w:tcW w:w="615" w:type="dxa"/>
            <w:tcBorders>
              <w:top w:val="single" w:color="auto" w:sz="6" w:space="0"/>
              <w:left w:val="single" w:color="auto" w:sz="6" w:space="0"/>
              <w:bottom w:val="single" w:color="auto" w:sz="6" w:space="0"/>
              <w:right w:val="single" w:color="auto" w:sz="6" w:space="0"/>
            </w:tcBorders>
            <w:vAlign w:val="center"/>
          </w:tcPr>
          <w:p w14:paraId="71A5BB15">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47A98FA8">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2FA57914">
            <w:pPr>
              <w:wordWrap w:val="0"/>
              <w:adjustRightInd w:val="0"/>
              <w:snapToGrid w:val="0"/>
              <w:spacing w:line="240" w:lineRule="auto"/>
              <w:jc w:val="center"/>
              <w:rPr>
                <w:rFonts w:hAnsi="宋体" w:cs="宋体"/>
                <w:snapToGrid w:val="0"/>
                <w:color w:val="auto"/>
                <w:kern w:val="0"/>
                <w:sz w:val="21"/>
                <w:szCs w:val="21"/>
                <w:highlight w:val="none"/>
              </w:rPr>
            </w:pPr>
          </w:p>
        </w:tc>
        <w:tc>
          <w:tcPr>
            <w:tcW w:w="660" w:type="dxa"/>
            <w:tcBorders>
              <w:top w:val="single" w:color="auto" w:sz="6" w:space="0"/>
              <w:left w:val="single" w:color="auto" w:sz="6" w:space="0"/>
              <w:bottom w:val="single" w:color="auto" w:sz="6" w:space="0"/>
              <w:right w:val="single" w:color="auto" w:sz="6" w:space="0"/>
            </w:tcBorders>
            <w:vAlign w:val="center"/>
          </w:tcPr>
          <w:p w14:paraId="6DD6E784">
            <w:pPr>
              <w:wordWrap w:val="0"/>
              <w:adjustRightInd w:val="0"/>
              <w:snapToGrid w:val="0"/>
              <w:spacing w:line="240" w:lineRule="auto"/>
              <w:jc w:val="center"/>
              <w:rPr>
                <w:rFonts w:hAnsi="宋体" w:cs="宋体"/>
                <w:snapToGrid w:val="0"/>
                <w:color w:val="auto"/>
                <w:kern w:val="0"/>
                <w:sz w:val="21"/>
                <w:szCs w:val="21"/>
                <w:highlight w:val="none"/>
              </w:rPr>
            </w:pPr>
          </w:p>
        </w:tc>
        <w:tc>
          <w:tcPr>
            <w:tcW w:w="1695" w:type="dxa"/>
            <w:tcBorders>
              <w:top w:val="single" w:color="auto" w:sz="6" w:space="0"/>
              <w:left w:val="single" w:color="auto" w:sz="6" w:space="0"/>
              <w:bottom w:val="single" w:color="auto" w:sz="6" w:space="0"/>
              <w:right w:val="single" w:color="auto" w:sz="6" w:space="0"/>
            </w:tcBorders>
            <w:vAlign w:val="center"/>
          </w:tcPr>
          <w:p w14:paraId="7644D406">
            <w:pPr>
              <w:wordWrap w:val="0"/>
              <w:adjustRightInd w:val="0"/>
              <w:snapToGrid w:val="0"/>
              <w:spacing w:line="240" w:lineRule="auto"/>
              <w:jc w:val="center"/>
              <w:rPr>
                <w:rFonts w:hAnsi="宋体" w:cs="宋体"/>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vAlign w:val="center"/>
          </w:tcPr>
          <w:p w14:paraId="3736D6A4">
            <w:pPr>
              <w:wordWrap w:val="0"/>
              <w:adjustRightInd w:val="0"/>
              <w:snapToGrid w:val="0"/>
              <w:spacing w:line="240" w:lineRule="auto"/>
              <w:jc w:val="center"/>
              <w:rPr>
                <w:rFonts w:hAnsi="宋体" w:cs="宋体"/>
                <w:snapToGrid w:val="0"/>
                <w:color w:val="auto"/>
                <w:kern w:val="0"/>
                <w:sz w:val="21"/>
                <w:szCs w:val="21"/>
                <w:highlight w:val="none"/>
              </w:rPr>
            </w:pPr>
          </w:p>
        </w:tc>
        <w:tc>
          <w:tcPr>
            <w:tcW w:w="645" w:type="dxa"/>
            <w:tcBorders>
              <w:top w:val="single" w:color="auto" w:sz="6" w:space="0"/>
              <w:left w:val="single" w:color="auto" w:sz="6" w:space="0"/>
              <w:bottom w:val="single" w:color="auto" w:sz="6" w:space="0"/>
              <w:right w:val="single" w:color="auto" w:sz="6" w:space="0"/>
            </w:tcBorders>
            <w:vAlign w:val="center"/>
          </w:tcPr>
          <w:p w14:paraId="60CEDD32">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407F5906">
            <w:pPr>
              <w:wordWrap w:val="0"/>
              <w:adjustRightInd w:val="0"/>
              <w:snapToGrid w:val="0"/>
              <w:spacing w:line="240" w:lineRule="auto"/>
              <w:jc w:val="center"/>
              <w:rPr>
                <w:rFonts w:hAnsi="宋体" w:cs="宋体"/>
                <w:snapToGrid w:val="0"/>
                <w:color w:val="auto"/>
                <w:kern w:val="0"/>
                <w:sz w:val="21"/>
                <w:szCs w:val="21"/>
                <w:highlight w:val="none"/>
              </w:rPr>
            </w:pPr>
          </w:p>
        </w:tc>
      </w:tr>
      <w:tr w14:paraId="481110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326" w:type="dxa"/>
            <w:tcBorders>
              <w:top w:val="single" w:color="auto" w:sz="6" w:space="0"/>
              <w:left w:val="single" w:color="auto" w:sz="6" w:space="0"/>
              <w:bottom w:val="single" w:color="auto" w:sz="6" w:space="0"/>
              <w:right w:val="single" w:color="auto" w:sz="6" w:space="0"/>
            </w:tcBorders>
            <w:vAlign w:val="center"/>
          </w:tcPr>
          <w:p w14:paraId="28F6C1C0">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092D3C87">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tcBorders>
              <w:top w:val="single" w:color="auto" w:sz="6" w:space="0"/>
              <w:left w:val="single" w:color="auto" w:sz="6" w:space="0"/>
              <w:bottom w:val="single" w:color="auto" w:sz="6" w:space="0"/>
              <w:right w:val="single" w:color="auto" w:sz="6" w:space="0"/>
            </w:tcBorders>
            <w:vAlign w:val="center"/>
          </w:tcPr>
          <w:p w14:paraId="654313CB">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6" w:space="0"/>
              <w:left w:val="single" w:color="auto" w:sz="6" w:space="0"/>
              <w:bottom w:val="single" w:color="auto" w:sz="6" w:space="0"/>
              <w:right w:val="single" w:color="auto" w:sz="6" w:space="0"/>
            </w:tcBorders>
            <w:vAlign w:val="center"/>
          </w:tcPr>
          <w:p w14:paraId="1E2E75C3">
            <w:pPr>
              <w:wordWrap w:val="0"/>
              <w:adjustRightInd w:val="0"/>
              <w:snapToGrid w:val="0"/>
              <w:spacing w:line="240" w:lineRule="auto"/>
              <w:jc w:val="center"/>
              <w:rPr>
                <w:rFonts w:hAnsi="宋体" w:cs="宋体"/>
                <w:snapToGrid w:val="0"/>
                <w:color w:val="auto"/>
                <w:kern w:val="0"/>
                <w:sz w:val="21"/>
                <w:szCs w:val="21"/>
                <w:highlight w:val="none"/>
              </w:rPr>
            </w:pPr>
          </w:p>
        </w:tc>
        <w:tc>
          <w:tcPr>
            <w:tcW w:w="615" w:type="dxa"/>
            <w:tcBorders>
              <w:top w:val="single" w:color="auto" w:sz="6" w:space="0"/>
              <w:left w:val="single" w:color="auto" w:sz="6" w:space="0"/>
              <w:bottom w:val="single" w:color="auto" w:sz="6" w:space="0"/>
              <w:right w:val="single" w:color="auto" w:sz="6" w:space="0"/>
            </w:tcBorders>
            <w:vAlign w:val="center"/>
          </w:tcPr>
          <w:p w14:paraId="45A8FCEB">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736602F3">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6FD1D704">
            <w:pPr>
              <w:wordWrap w:val="0"/>
              <w:adjustRightInd w:val="0"/>
              <w:snapToGrid w:val="0"/>
              <w:spacing w:line="240" w:lineRule="auto"/>
              <w:jc w:val="center"/>
              <w:rPr>
                <w:rFonts w:hAnsi="宋体" w:cs="宋体"/>
                <w:snapToGrid w:val="0"/>
                <w:color w:val="auto"/>
                <w:kern w:val="0"/>
                <w:sz w:val="21"/>
                <w:szCs w:val="21"/>
                <w:highlight w:val="none"/>
              </w:rPr>
            </w:pPr>
          </w:p>
        </w:tc>
        <w:tc>
          <w:tcPr>
            <w:tcW w:w="660" w:type="dxa"/>
            <w:tcBorders>
              <w:top w:val="single" w:color="auto" w:sz="6" w:space="0"/>
              <w:left w:val="single" w:color="auto" w:sz="6" w:space="0"/>
              <w:bottom w:val="single" w:color="auto" w:sz="6" w:space="0"/>
              <w:right w:val="single" w:color="auto" w:sz="6" w:space="0"/>
            </w:tcBorders>
            <w:vAlign w:val="center"/>
          </w:tcPr>
          <w:p w14:paraId="76AAE4C0">
            <w:pPr>
              <w:wordWrap w:val="0"/>
              <w:adjustRightInd w:val="0"/>
              <w:snapToGrid w:val="0"/>
              <w:spacing w:line="240" w:lineRule="auto"/>
              <w:jc w:val="center"/>
              <w:rPr>
                <w:rFonts w:hAnsi="宋体" w:cs="宋体"/>
                <w:snapToGrid w:val="0"/>
                <w:color w:val="auto"/>
                <w:kern w:val="0"/>
                <w:sz w:val="21"/>
                <w:szCs w:val="21"/>
                <w:highlight w:val="none"/>
              </w:rPr>
            </w:pPr>
          </w:p>
        </w:tc>
        <w:tc>
          <w:tcPr>
            <w:tcW w:w="1695" w:type="dxa"/>
            <w:tcBorders>
              <w:top w:val="single" w:color="auto" w:sz="6" w:space="0"/>
              <w:left w:val="single" w:color="auto" w:sz="6" w:space="0"/>
              <w:bottom w:val="single" w:color="auto" w:sz="6" w:space="0"/>
              <w:right w:val="single" w:color="auto" w:sz="6" w:space="0"/>
            </w:tcBorders>
            <w:vAlign w:val="center"/>
          </w:tcPr>
          <w:p w14:paraId="665F9C85">
            <w:pPr>
              <w:wordWrap w:val="0"/>
              <w:adjustRightInd w:val="0"/>
              <w:snapToGrid w:val="0"/>
              <w:spacing w:line="240" w:lineRule="auto"/>
              <w:jc w:val="center"/>
              <w:rPr>
                <w:rFonts w:hAnsi="宋体" w:cs="宋体"/>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vAlign w:val="center"/>
          </w:tcPr>
          <w:p w14:paraId="23F55A54">
            <w:pPr>
              <w:wordWrap w:val="0"/>
              <w:adjustRightInd w:val="0"/>
              <w:snapToGrid w:val="0"/>
              <w:spacing w:line="240" w:lineRule="auto"/>
              <w:jc w:val="center"/>
              <w:rPr>
                <w:rFonts w:hAnsi="宋体" w:cs="宋体"/>
                <w:snapToGrid w:val="0"/>
                <w:color w:val="auto"/>
                <w:kern w:val="0"/>
                <w:sz w:val="21"/>
                <w:szCs w:val="21"/>
                <w:highlight w:val="none"/>
              </w:rPr>
            </w:pPr>
          </w:p>
        </w:tc>
        <w:tc>
          <w:tcPr>
            <w:tcW w:w="645" w:type="dxa"/>
            <w:tcBorders>
              <w:top w:val="single" w:color="auto" w:sz="6" w:space="0"/>
              <w:left w:val="single" w:color="auto" w:sz="6" w:space="0"/>
              <w:bottom w:val="single" w:color="auto" w:sz="6" w:space="0"/>
              <w:right w:val="single" w:color="auto" w:sz="6" w:space="0"/>
            </w:tcBorders>
            <w:vAlign w:val="center"/>
          </w:tcPr>
          <w:p w14:paraId="045EF5F7">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57E678E5">
            <w:pPr>
              <w:wordWrap w:val="0"/>
              <w:adjustRightInd w:val="0"/>
              <w:snapToGrid w:val="0"/>
              <w:spacing w:line="240" w:lineRule="auto"/>
              <w:jc w:val="center"/>
              <w:rPr>
                <w:rFonts w:hAnsi="宋体" w:cs="宋体"/>
                <w:snapToGrid w:val="0"/>
                <w:color w:val="auto"/>
                <w:kern w:val="0"/>
                <w:sz w:val="21"/>
                <w:szCs w:val="21"/>
                <w:highlight w:val="none"/>
              </w:rPr>
            </w:pPr>
          </w:p>
        </w:tc>
      </w:tr>
      <w:tr w14:paraId="61BDB2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326" w:type="dxa"/>
            <w:tcBorders>
              <w:top w:val="single" w:color="auto" w:sz="6" w:space="0"/>
              <w:left w:val="single" w:color="auto" w:sz="6" w:space="0"/>
              <w:bottom w:val="single" w:color="auto" w:sz="6" w:space="0"/>
              <w:right w:val="single" w:color="auto" w:sz="6" w:space="0"/>
            </w:tcBorders>
            <w:vAlign w:val="center"/>
          </w:tcPr>
          <w:p w14:paraId="24A0F4A4">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2EADA8AC">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tcBorders>
              <w:top w:val="single" w:color="auto" w:sz="6" w:space="0"/>
              <w:left w:val="single" w:color="auto" w:sz="6" w:space="0"/>
              <w:bottom w:val="single" w:color="auto" w:sz="6" w:space="0"/>
              <w:right w:val="single" w:color="auto" w:sz="6" w:space="0"/>
            </w:tcBorders>
            <w:vAlign w:val="center"/>
          </w:tcPr>
          <w:p w14:paraId="3E7675E7">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6" w:space="0"/>
              <w:left w:val="single" w:color="auto" w:sz="6" w:space="0"/>
              <w:bottom w:val="single" w:color="auto" w:sz="6" w:space="0"/>
              <w:right w:val="single" w:color="auto" w:sz="6" w:space="0"/>
            </w:tcBorders>
            <w:vAlign w:val="center"/>
          </w:tcPr>
          <w:p w14:paraId="58A43BCF">
            <w:pPr>
              <w:wordWrap w:val="0"/>
              <w:adjustRightInd w:val="0"/>
              <w:snapToGrid w:val="0"/>
              <w:spacing w:line="240" w:lineRule="auto"/>
              <w:jc w:val="center"/>
              <w:rPr>
                <w:rFonts w:hAnsi="宋体" w:cs="宋体"/>
                <w:snapToGrid w:val="0"/>
                <w:color w:val="auto"/>
                <w:kern w:val="0"/>
                <w:sz w:val="21"/>
                <w:szCs w:val="21"/>
                <w:highlight w:val="none"/>
              </w:rPr>
            </w:pPr>
          </w:p>
        </w:tc>
        <w:tc>
          <w:tcPr>
            <w:tcW w:w="615" w:type="dxa"/>
            <w:tcBorders>
              <w:top w:val="single" w:color="auto" w:sz="6" w:space="0"/>
              <w:left w:val="single" w:color="auto" w:sz="6" w:space="0"/>
              <w:bottom w:val="single" w:color="auto" w:sz="6" w:space="0"/>
              <w:right w:val="single" w:color="auto" w:sz="6" w:space="0"/>
            </w:tcBorders>
            <w:vAlign w:val="center"/>
          </w:tcPr>
          <w:p w14:paraId="5BE6A579">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51CAA2EC">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465C2A10">
            <w:pPr>
              <w:wordWrap w:val="0"/>
              <w:adjustRightInd w:val="0"/>
              <w:snapToGrid w:val="0"/>
              <w:spacing w:line="240" w:lineRule="auto"/>
              <w:jc w:val="center"/>
              <w:rPr>
                <w:rFonts w:hAnsi="宋体" w:cs="宋体"/>
                <w:snapToGrid w:val="0"/>
                <w:color w:val="auto"/>
                <w:kern w:val="0"/>
                <w:sz w:val="21"/>
                <w:szCs w:val="21"/>
                <w:highlight w:val="none"/>
              </w:rPr>
            </w:pPr>
          </w:p>
        </w:tc>
        <w:tc>
          <w:tcPr>
            <w:tcW w:w="660" w:type="dxa"/>
            <w:tcBorders>
              <w:top w:val="single" w:color="auto" w:sz="6" w:space="0"/>
              <w:left w:val="single" w:color="auto" w:sz="6" w:space="0"/>
              <w:bottom w:val="single" w:color="auto" w:sz="6" w:space="0"/>
              <w:right w:val="single" w:color="auto" w:sz="6" w:space="0"/>
            </w:tcBorders>
            <w:vAlign w:val="center"/>
          </w:tcPr>
          <w:p w14:paraId="20151DCC">
            <w:pPr>
              <w:wordWrap w:val="0"/>
              <w:adjustRightInd w:val="0"/>
              <w:snapToGrid w:val="0"/>
              <w:spacing w:line="240" w:lineRule="auto"/>
              <w:jc w:val="center"/>
              <w:rPr>
                <w:rFonts w:hAnsi="宋体" w:cs="宋体"/>
                <w:snapToGrid w:val="0"/>
                <w:color w:val="auto"/>
                <w:kern w:val="0"/>
                <w:sz w:val="21"/>
                <w:szCs w:val="21"/>
                <w:highlight w:val="none"/>
              </w:rPr>
            </w:pPr>
          </w:p>
        </w:tc>
        <w:tc>
          <w:tcPr>
            <w:tcW w:w="1695" w:type="dxa"/>
            <w:tcBorders>
              <w:top w:val="single" w:color="auto" w:sz="6" w:space="0"/>
              <w:left w:val="single" w:color="auto" w:sz="6" w:space="0"/>
              <w:bottom w:val="single" w:color="auto" w:sz="6" w:space="0"/>
              <w:right w:val="single" w:color="auto" w:sz="6" w:space="0"/>
            </w:tcBorders>
            <w:vAlign w:val="center"/>
          </w:tcPr>
          <w:p w14:paraId="5FBC0F77">
            <w:pPr>
              <w:wordWrap w:val="0"/>
              <w:adjustRightInd w:val="0"/>
              <w:snapToGrid w:val="0"/>
              <w:spacing w:line="240" w:lineRule="auto"/>
              <w:jc w:val="center"/>
              <w:rPr>
                <w:rFonts w:hAnsi="宋体" w:cs="宋体"/>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vAlign w:val="center"/>
          </w:tcPr>
          <w:p w14:paraId="344A991E">
            <w:pPr>
              <w:wordWrap w:val="0"/>
              <w:adjustRightInd w:val="0"/>
              <w:snapToGrid w:val="0"/>
              <w:spacing w:line="240" w:lineRule="auto"/>
              <w:jc w:val="center"/>
              <w:rPr>
                <w:rFonts w:hAnsi="宋体" w:cs="宋体"/>
                <w:snapToGrid w:val="0"/>
                <w:color w:val="auto"/>
                <w:kern w:val="0"/>
                <w:sz w:val="21"/>
                <w:szCs w:val="21"/>
                <w:highlight w:val="none"/>
              </w:rPr>
            </w:pPr>
          </w:p>
        </w:tc>
        <w:tc>
          <w:tcPr>
            <w:tcW w:w="645" w:type="dxa"/>
            <w:tcBorders>
              <w:top w:val="single" w:color="auto" w:sz="6" w:space="0"/>
              <w:left w:val="single" w:color="auto" w:sz="6" w:space="0"/>
              <w:bottom w:val="single" w:color="auto" w:sz="6" w:space="0"/>
              <w:right w:val="single" w:color="auto" w:sz="6" w:space="0"/>
            </w:tcBorders>
            <w:vAlign w:val="center"/>
          </w:tcPr>
          <w:p w14:paraId="0097658A">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0A6010BD">
            <w:pPr>
              <w:wordWrap w:val="0"/>
              <w:adjustRightInd w:val="0"/>
              <w:snapToGrid w:val="0"/>
              <w:spacing w:line="240" w:lineRule="auto"/>
              <w:jc w:val="center"/>
              <w:rPr>
                <w:rFonts w:hAnsi="宋体" w:cs="宋体"/>
                <w:snapToGrid w:val="0"/>
                <w:color w:val="auto"/>
                <w:kern w:val="0"/>
                <w:sz w:val="21"/>
                <w:szCs w:val="21"/>
                <w:highlight w:val="none"/>
              </w:rPr>
            </w:pPr>
          </w:p>
        </w:tc>
        <w:bookmarkStart w:id="327" w:name="_附件二十四：技术标提问单"/>
        <w:bookmarkStart w:id="328" w:name="_附件十：单项工程费汇总表"/>
        <w:bookmarkStart w:id="329" w:name="_附件二十五：综合评审合理低价法"/>
        <w:bookmarkStart w:id="330" w:name="_Hlt68774664"/>
        <w:bookmarkStart w:id="331" w:name="_Hlt69116778"/>
      </w:tr>
      <w:bookmarkEnd w:id="324"/>
      <w:bookmarkEnd w:id="325"/>
      <w:bookmarkEnd w:id="327"/>
      <w:bookmarkEnd w:id="328"/>
      <w:bookmarkEnd w:id="329"/>
      <w:bookmarkEnd w:id="330"/>
      <w:bookmarkEnd w:id="331"/>
      <w:tr w14:paraId="25576D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326" w:type="dxa"/>
            <w:tcBorders>
              <w:top w:val="single" w:color="auto" w:sz="6" w:space="0"/>
              <w:left w:val="single" w:color="auto" w:sz="6" w:space="0"/>
              <w:bottom w:val="single" w:color="auto" w:sz="6" w:space="0"/>
              <w:right w:val="single" w:color="auto" w:sz="6" w:space="0"/>
            </w:tcBorders>
            <w:vAlign w:val="center"/>
          </w:tcPr>
          <w:p w14:paraId="1BC0ADF5">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035DC0E9">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tcBorders>
              <w:top w:val="single" w:color="auto" w:sz="6" w:space="0"/>
              <w:left w:val="single" w:color="auto" w:sz="6" w:space="0"/>
              <w:bottom w:val="single" w:color="auto" w:sz="6" w:space="0"/>
              <w:right w:val="single" w:color="auto" w:sz="6" w:space="0"/>
            </w:tcBorders>
            <w:vAlign w:val="center"/>
          </w:tcPr>
          <w:p w14:paraId="08ED7E0F">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6" w:space="0"/>
              <w:left w:val="single" w:color="auto" w:sz="6" w:space="0"/>
              <w:bottom w:val="single" w:color="auto" w:sz="6" w:space="0"/>
              <w:right w:val="single" w:color="auto" w:sz="6" w:space="0"/>
            </w:tcBorders>
            <w:vAlign w:val="center"/>
          </w:tcPr>
          <w:p w14:paraId="6B799806">
            <w:pPr>
              <w:wordWrap w:val="0"/>
              <w:adjustRightInd w:val="0"/>
              <w:snapToGrid w:val="0"/>
              <w:spacing w:line="240" w:lineRule="auto"/>
              <w:jc w:val="center"/>
              <w:rPr>
                <w:rFonts w:hAnsi="宋体" w:cs="宋体"/>
                <w:snapToGrid w:val="0"/>
                <w:color w:val="auto"/>
                <w:kern w:val="0"/>
                <w:sz w:val="21"/>
                <w:szCs w:val="21"/>
                <w:highlight w:val="none"/>
              </w:rPr>
            </w:pPr>
          </w:p>
        </w:tc>
        <w:tc>
          <w:tcPr>
            <w:tcW w:w="615" w:type="dxa"/>
            <w:tcBorders>
              <w:top w:val="single" w:color="auto" w:sz="6" w:space="0"/>
              <w:left w:val="single" w:color="auto" w:sz="6" w:space="0"/>
              <w:bottom w:val="single" w:color="auto" w:sz="6" w:space="0"/>
              <w:right w:val="single" w:color="auto" w:sz="6" w:space="0"/>
            </w:tcBorders>
            <w:vAlign w:val="center"/>
          </w:tcPr>
          <w:p w14:paraId="2BCCEEAC">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406920C7">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3E455E13">
            <w:pPr>
              <w:wordWrap w:val="0"/>
              <w:adjustRightInd w:val="0"/>
              <w:snapToGrid w:val="0"/>
              <w:spacing w:line="240" w:lineRule="auto"/>
              <w:jc w:val="center"/>
              <w:rPr>
                <w:rFonts w:hAnsi="宋体" w:cs="宋体"/>
                <w:snapToGrid w:val="0"/>
                <w:color w:val="auto"/>
                <w:kern w:val="0"/>
                <w:sz w:val="21"/>
                <w:szCs w:val="21"/>
                <w:highlight w:val="none"/>
              </w:rPr>
            </w:pPr>
          </w:p>
        </w:tc>
        <w:tc>
          <w:tcPr>
            <w:tcW w:w="660" w:type="dxa"/>
            <w:tcBorders>
              <w:top w:val="single" w:color="auto" w:sz="6" w:space="0"/>
              <w:left w:val="single" w:color="auto" w:sz="6" w:space="0"/>
              <w:bottom w:val="single" w:color="auto" w:sz="6" w:space="0"/>
              <w:right w:val="single" w:color="auto" w:sz="6" w:space="0"/>
            </w:tcBorders>
            <w:vAlign w:val="center"/>
          </w:tcPr>
          <w:p w14:paraId="4ABBFD3E">
            <w:pPr>
              <w:wordWrap w:val="0"/>
              <w:adjustRightInd w:val="0"/>
              <w:snapToGrid w:val="0"/>
              <w:spacing w:line="240" w:lineRule="auto"/>
              <w:jc w:val="center"/>
              <w:rPr>
                <w:rFonts w:hAnsi="宋体" w:cs="宋体"/>
                <w:snapToGrid w:val="0"/>
                <w:color w:val="auto"/>
                <w:kern w:val="0"/>
                <w:sz w:val="21"/>
                <w:szCs w:val="21"/>
                <w:highlight w:val="none"/>
              </w:rPr>
            </w:pPr>
          </w:p>
        </w:tc>
        <w:tc>
          <w:tcPr>
            <w:tcW w:w="1695" w:type="dxa"/>
            <w:tcBorders>
              <w:top w:val="single" w:color="auto" w:sz="6" w:space="0"/>
              <w:left w:val="single" w:color="auto" w:sz="6" w:space="0"/>
              <w:bottom w:val="single" w:color="auto" w:sz="6" w:space="0"/>
              <w:right w:val="single" w:color="auto" w:sz="6" w:space="0"/>
            </w:tcBorders>
            <w:vAlign w:val="center"/>
          </w:tcPr>
          <w:p w14:paraId="59416CFA">
            <w:pPr>
              <w:wordWrap w:val="0"/>
              <w:adjustRightInd w:val="0"/>
              <w:snapToGrid w:val="0"/>
              <w:spacing w:line="240" w:lineRule="auto"/>
              <w:jc w:val="center"/>
              <w:rPr>
                <w:rFonts w:hAnsi="宋体" w:cs="宋体"/>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vAlign w:val="center"/>
          </w:tcPr>
          <w:p w14:paraId="35A86BC7">
            <w:pPr>
              <w:wordWrap w:val="0"/>
              <w:adjustRightInd w:val="0"/>
              <w:snapToGrid w:val="0"/>
              <w:spacing w:line="240" w:lineRule="auto"/>
              <w:jc w:val="center"/>
              <w:rPr>
                <w:rFonts w:hAnsi="宋体" w:cs="宋体"/>
                <w:snapToGrid w:val="0"/>
                <w:color w:val="auto"/>
                <w:kern w:val="0"/>
                <w:sz w:val="21"/>
                <w:szCs w:val="21"/>
                <w:highlight w:val="none"/>
              </w:rPr>
            </w:pPr>
          </w:p>
        </w:tc>
        <w:tc>
          <w:tcPr>
            <w:tcW w:w="645" w:type="dxa"/>
            <w:tcBorders>
              <w:top w:val="single" w:color="auto" w:sz="6" w:space="0"/>
              <w:left w:val="single" w:color="auto" w:sz="6" w:space="0"/>
              <w:bottom w:val="single" w:color="auto" w:sz="6" w:space="0"/>
              <w:right w:val="single" w:color="auto" w:sz="6" w:space="0"/>
            </w:tcBorders>
            <w:vAlign w:val="center"/>
          </w:tcPr>
          <w:p w14:paraId="591BD45D">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108EF558">
            <w:pPr>
              <w:wordWrap w:val="0"/>
              <w:adjustRightInd w:val="0"/>
              <w:snapToGrid w:val="0"/>
              <w:spacing w:line="240" w:lineRule="auto"/>
              <w:jc w:val="center"/>
              <w:rPr>
                <w:rFonts w:hAnsi="宋体" w:cs="宋体"/>
                <w:snapToGrid w:val="0"/>
                <w:color w:val="auto"/>
                <w:kern w:val="0"/>
                <w:sz w:val="21"/>
                <w:szCs w:val="21"/>
                <w:highlight w:val="none"/>
              </w:rPr>
            </w:pPr>
          </w:p>
        </w:tc>
      </w:tr>
    </w:tbl>
    <w:p w14:paraId="4CDFA701">
      <w:pPr>
        <w:pStyle w:val="72"/>
        <w:widowControl w:val="0"/>
        <w:wordWrap w:val="0"/>
        <w:adjustRightInd w:val="0"/>
        <w:snapToGrid w:val="0"/>
        <w:spacing w:line="400" w:lineRule="exact"/>
        <w:rPr>
          <w:rFonts w:hAnsi="宋体" w:cs="宋体"/>
          <w:snapToGrid w:val="0"/>
          <w:color w:val="auto"/>
          <w:sz w:val="21"/>
          <w:highlight w:val="none"/>
        </w:rPr>
      </w:pPr>
      <w:r>
        <w:rPr>
          <w:rFonts w:hint="eastAsia" w:hAnsi="宋体" w:cs="宋体"/>
          <w:snapToGrid w:val="0"/>
          <w:color w:val="auto"/>
          <w:sz w:val="21"/>
          <w:highlight w:val="none"/>
        </w:rPr>
        <w:t>说明：</w:t>
      </w:r>
    </w:p>
    <w:p w14:paraId="24312D3D">
      <w:pPr>
        <w:pStyle w:val="72"/>
        <w:widowControl w:val="0"/>
        <w:wordWrap w:val="0"/>
        <w:adjustRightInd w:val="0"/>
        <w:snapToGrid w:val="0"/>
        <w:spacing w:line="400" w:lineRule="exact"/>
        <w:rPr>
          <w:rFonts w:hAnsi="宋体" w:cs="宋体"/>
          <w:snapToGrid w:val="0"/>
          <w:color w:val="auto"/>
          <w:sz w:val="21"/>
          <w:highlight w:val="none"/>
        </w:rPr>
        <w:sectPr>
          <w:endnotePr>
            <w:numFmt w:val="decimal"/>
          </w:endnotePr>
          <w:pgSz w:w="16838" w:h="11906" w:orient="landscape"/>
          <w:pgMar w:top="1417" w:right="1417" w:bottom="1417" w:left="1417" w:header="850" w:footer="992" w:gutter="0"/>
          <w:cols w:space="0" w:num="1"/>
          <w:docGrid w:linePitch="327" w:charSpace="0"/>
        </w:sectPr>
      </w:pPr>
      <w:r>
        <w:rPr>
          <w:rFonts w:hint="eastAsia" w:hAnsi="宋体" w:cs="宋体"/>
          <w:snapToGrid w:val="0"/>
          <w:color w:val="auto"/>
          <w:sz w:val="21"/>
          <w:highlight w:val="none"/>
        </w:rPr>
        <w:t>1</w:t>
      </w:r>
      <w:r>
        <w:rPr>
          <w:rFonts w:hint="eastAsia" w:hAnsi="宋体" w:cs="宋体"/>
          <w:snapToGrid w:val="0"/>
          <w:color w:val="auto"/>
          <w:sz w:val="21"/>
          <w:szCs w:val="28"/>
          <w:highlight w:val="none"/>
        </w:rPr>
        <w:t>．表中没有或无法填写的栏目，用</w:t>
      </w:r>
      <w:r>
        <w:rPr>
          <w:rFonts w:hint="eastAsia" w:hAnsi="宋体" w:cs="宋体"/>
          <w:snapToGrid w:val="0"/>
          <w:color w:val="auto"/>
          <w:sz w:val="21"/>
          <w:highlight w:val="none"/>
        </w:rPr>
        <w:t>“/”示意。</w:t>
      </w:r>
      <w:bookmarkEnd w:id="299"/>
      <w:bookmarkEnd w:id="300"/>
      <w:bookmarkEnd w:id="301"/>
      <w:bookmarkEnd w:id="302"/>
    </w:p>
    <w:p w14:paraId="63F60130">
      <w:pPr>
        <w:pStyle w:val="148"/>
        <w:keepNext/>
        <w:keepLines/>
        <w:snapToGrid w:val="0"/>
        <w:spacing w:line="400" w:lineRule="exact"/>
        <w:jc w:val="both"/>
        <w:rPr>
          <w:rFonts w:ascii="宋体" w:hAnsi="宋体" w:cs="宋体"/>
          <w:b/>
          <w:bCs/>
          <w:snapToGrid w:val="0"/>
          <w:color w:val="auto"/>
          <w:highlight w:val="none"/>
        </w:rPr>
      </w:pPr>
      <w:bookmarkStart w:id="332" w:name="_Toc24916"/>
      <w:bookmarkStart w:id="333" w:name="_Toc23185"/>
      <w:r>
        <w:rPr>
          <w:rFonts w:hint="eastAsia" w:ascii="宋体" w:hAnsi="宋体" w:cs="宋体"/>
          <w:b/>
          <w:bCs/>
          <w:snapToGrid w:val="0"/>
          <w:color w:val="auto"/>
          <w:highlight w:val="none"/>
        </w:rPr>
        <w:t>格式十一 总监理工程师简历表</w:t>
      </w:r>
      <w:bookmarkEnd w:id="332"/>
      <w:bookmarkEnd w:id="333"/>
    </w:p>
    <w:p w14:paraId="6461E15D">
      <w:pPr>
        <w:adjustRightInd w:val="0"/>
        <w:snapToGrid w:val="0"/>
        <w:spacing w:line="400" w:lineRule="exact"/>
        <w:jc w:val="center"/>
        <w:rPr>
          <w:rFonts w:hAnsi="宋体" w:cs="宋体"/>
          <w:b/>
          <w:bCs/>
          <w:color w:val="auto"/>
          <w:sz w:val="32"/>
          <w:szCs w:val="22"/>
          <w:highlight w:val="none"/>
        </w:rPr>
      </w:pPr>
    </w:p>
    <w:p w14:paraId="13A99F0A">
      <w:pPr>
        <w:adjustRightInd w:val="0"/>
        <w:snapToGrid w:val="0"/>
        <w:spacing w:line="400" w:lineRule="exact"/>
        <w:jc w:val="center"/>
        <w:rPr>
          <w:rFonts w:hAnsi="宋体" w:cs="宋体"/>
          <w:b/>
          <w:bCs/>
          <w:color w:val="auto"/>
          <w:sz w:val="32"/>
          <w:szCs w:val="22"/>
          <w:highlight w:val="none"/>
        </w:rPr>
      </w:pPr>
      <w:r>
        <w:rPr>
          <w:rFonts w:hint="eastAsia" w:hAnsi="宋体" w:cs="宋体"/>
          <w:b/>
          <w:bCs/>
          <w:color w:val="auto"/>
          <w:sz w:val="32"/>
          <w:szCs w:val="22"/>
          <w:highlight w:val="none"/>
        </w:rPr>
        <w:t>总监理工程师简历表</w:t>
      </w:r>
    </w:p>
    <w:tbl>
      <w:tblPr>
        <w:tblStyle w:val="31"/>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3"/>
        <w:gridCol w:w="970"/>
        <w:gridCol w:w="1130"/>
        <w:gridCol w:w="227"/>
        <w:gridCol w:w="1467"/>
        <w:gridCol w:w="688"/>
        <w:gridCol w:w="512"/>
        <w:gridCol w:w="1288"/>
        <w:gridCol w:w="547"/>
        <w:gridCol w:w="1798"/>
      </w:tblGrid>
      <w:tr w14:paraId="16D4ED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613" w:type="dxa"/>
            <w:gridSpan w:val="2"/>
            <w:tcBorders>
              <w:top w:val="single" w:color="auto" w:sz="6" w:space="0"/>
              <w:left w:val="single" w:color="auto" w:sz="6" w:space="0"/>
              <w:bottom w:val="single" w:color="auto" w:sz="6" w:space="0"/>
              <w:right w:val="single" w:color="auto" w:sz="6" w:space="0"/>
            </w:tcBorders>
            <w:vAlign w:val="center"/>
          </w:tcPr>
          <w:p w14:paraId="20981BF2">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姓  名</w:t>
            </w:r>
          </w:p>
        </w:tc>
        <w:tc>
          <w:tcPr>
            <w:tcW w:w="1357" w:type="dxa"/>
            <w:gridSpan w:val="2"/>
            <w:tcBorders>
              <w:top w:val="single" w:color="auto" w:sz="6" w:space="0"/>
              <w:left w:val="single" w:color="auto" w:sz="6" w:space="0"/>
              <w:bottom w:val="single" w:color="auto" w:sz="6" w:space="0"/>
              <w:right w:val="single" w:color="auto" w:sz="6" w:space="0"/>
            </w:tcBorders>
            <w:vAlign w:val="center"/>
          </w:tcPr>
          <w:p w14:paraId="70B35A23">
            <w:pPr>
              <w:wordWrap w:val="0"/>
              <w:adjustRightInd w:val="0"/>
              <w:snapToGrid w:val="0"/>
              <w:spacing w:line="400" w:lineRule="exact"/>
              <w:jc w:val="center"/>
              <w:rPr>
                <w:rFonts w:hAnsi="宋体" w:cs="宋体"/>
                <w:snapToGrid w:val="0"/>
                <w:color w:val="auto"/>
                <w:kern w:val="0"/>
                <w:sz w:val="21"/>
                <w:szCs w:val="21"/>
                <w:highlight w:val="none"/>
              </w:rPr>
            </w:pPr>
          </w:p>
        </w:tc>
        <w:tc>
          <w:tcPr>
            <w:tcW w:w="1467" w:type="dxa"/>
            <w:tcBorders>
              <w:top w:val="single" w:color="auto" w:sz="6" w:space="0"/>
              <w:left w:val="single" w:color="auto" w:sz="6" w:space="0"/>
              <w:bottom w:val="single" w:color="auto" w:sz="6" w:space="0"/>
              <w:right w:val="single" w:color="auto" w:sz="6" w:space="0"/>
            </w:tcBorders>
            <w:vAlign w:val="center"/>
          </w:tcPr>
          <w:p w14:paraId="306BA3A8">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性  别</w:t>
            </w:r>
          </w:p>
        </w:tc>
        <w:tc>
          <w:tcPr>
            <w:tcW w:w="1200" w:type="dxa"/>
            <w:gridSpan w:val="2"/>
            <w:tcBorders>
              <w:top w:val="single" w:color="auto" w:sz="6" w:space="0"/>
              <w:left w:val="single" w:color="auto" w:sz="6" w:space="0"/>
              <w:bottom w:val="single" w:color="auto" w:sz="6" w:space="0"/>
              <w:right w:val="single" w:color="auto" w:sz="6" w:space="0"/>
            </w:tcBorders>
            <w:vAlign w:val="center"/>
          </w:tcPr>
          <w:p w14:paraId="6C204639">
            <w:pPr>
              <w:wordWrap w:val="0"/>
              <w:adjustRightInd w:val="0"/>
              <w:snapToGrid w:val="0"/>
              <w:spacing w:line="400" w:lineRule="exact"/>
              <w:jc w:val="center"/>
              <w:rPr>
                <w:rFonts w:hAnsi="宋体" w:cs="宋体"/>
                <w:snapToGrid w:val="0"/>
                <w:color w:val="auto"/>
                <w:kern w:val="0"/>
                <w:sz w:val="21"/>
                <w:szCs w:val="21"/>
                <w:highlight w:val="none"/>
              </w:rPr>
            </w:pPr>
          </w:p>
        </w:tc>
        <w:tc>
          <w:tcPr>
            <w:tcW w:w="1835" w:type="dxa"/>
            <w:gridSpan w:val="2"/>
            <w:tcBorders>
              <w:top w:val="single" w:color="auto" w:sz="6" w:space="0"/>
              <w:left w:val="single" w:color="auto" w:sz="6" w:space="0"/>
              <w:bottom w:val="single" w:color="auto" w:sz="6" w:space="0"/>
              <w:right w:val="single" w:color="auto" w:sz="6" w:space="0"/>
            </w:tcBorders>
            <w:vAlign w:val="center"/>
          </w:tcPr>
          <w:p w14:paraId="3136A5C2">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年  龄</w:t>
            </w:r>
          </w:p>
        </w:tc>
        <w:tc>
          <w:tcPr>
            <w:tcW w:w="1798" w:type="dxa"/>
            <w:tcBorders>
              <w:top w:val="single" w:color="auto" w:sz="6" w:space="0"/>
              <w:left w:val="single" w:color="auto" w:sz="6" w:space="0"/>
              <w:bottom w:val="single" w:color="auto" w:sz="6" w:space="0"/>
              <w:right w:val="single" w:color="auto" w:sz="6" w:space="0"/>
            </w:tcBorders>
            <w:vAlign w:val="center"/>
          </w:tcPr>
          <w:p w14:paraId="074C000A">
            <w:pPr>
              <w:wordWrap w:val="0"/>
              <w:adjustRightInd w:val="0"/>
              <w:snapToGrid w:val="0"/>
              <w:spacing w:line="400" w:lineRule="exact"/>
              <w:jc w:val="center"/>
              <w:rPr>
                <w:rFonts w:hAnsi="宋体" w:cs="宋体"/>
                <w:snapToGrid w:val="0"/>
                <w:color w:val="auto"/>
                <w:kern w:val="0"/>
                <w:sz w:val="21"/>
                <w:szCs w:val="21"/>
                <w:highlight w:val="none"/>
              </w:rPr>
            </w:pPr>
          </w:p>
        </w:tc>
      </w:tr>
      <w:tr w14:paraId="328DDE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613" w:type="dxa"/>
            <w:gridSpan w:val="2"/>
            <w:tcBorders>
              <w:top w:val="single" w:color="auto" w:sz="6" w:space="0"/>
              <w:left w:val="single" w:color="auto" w:sz="6" w:space="0"/>
              <w:bottom w:val="single" w:color="auto" w:sz="6" w:space="0"/>
              <w:right w:val="single" w:color="auto" w:sz="6" w:space="0"/>
            </w:tcBorders>
            <w:vAlign w:val="center"/>
          </w:tcPr>
          <w:p w14:paraId="686330FC">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职  称</w:t>
            </w:r>
          </w:p>
        </w:tc>
        <w:tc>
          <w:tcPr>
            <w:tcW w:w="1357" w:type="dxa"/>
            <w:gridSpan w:val="2"/>
            <w:tcBorders>
              <w:top w:val="single" w:color="auto" w:sz="6" w:space="0"/>
              <w:left w:val="single" w:color="auto" w:sz="6" w:space="0"/>
              <w:bottom w:val="single" w:color="auto" w:sz="6" w:space="0"/>
              <w:right w:val="single" w:color="auto" w:sz="6" w:space="0"/>
            </w:tcBorders>
            <w:vAlign w:val="center"/>
          </w:tcPr>
          <w:p w14:paraId="4B0AEB9A">
            <w:pPr>
              <w:wordWrap w:val="0"/>
              <w:adjustRightInd w:val="0"/>
              <w:snapToGrid w:val="0"/>
              <w:spacing w:line="400" w:lineRule="exact"/>
              <w:jc w:val="center"/>
              <w:rPr>
                <w:rFonts w:hAnsi="宋体" w:cs="宋体"/>
                <w:snapToGrid w:val="0"/>
                <w:color w:val="auto"/>
                <w:kern w:val="0"/>
                <w:sz w:val="21"/>
                <w:szCs w:val="21"/>
                <w:highlight w:val="none"/>
              </w:rPr>
            </w:pPr>
          </w:p>
        </w:tc>
        <w:tc>
          <w:tcPr>
            <w:tcW w:w="1467" w:type="dxa"/>
            <w:tcBorders>
              <w:top w:val="single" w:color="auto" w:sz="6" w:space="0"/>
              <w:left w:val="single" w:color="auto" w:sz="6" w:space="0"/>
              <w:bottom w:val="single" w:color="auto" w:sz="6" w:space="0"/>
              <w:right w:val="single" w:color="auto" w:sz="6" w:space="0"/>
            </w:tcBorders>
            <w:vAlign w:val="center"/>
          </w:tcPr>
          <w:p w14:paraId="7DAAA4CB">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学  历</w:t>
            </w:r>
          </w:p>
        </w:tc>
        <w:tc>
          <w:tcPr>
            <w:tcW w:w="1200" w:type="dxa"/>
            <w:gridSpan w:val="2"/>
            <w:tcBorders>
              <w:top w:val="single" w:color="auto" w:sz="6" w:space="0"/>
              <w:left w:val="single" w:color="auto" w:sz="6" w:space="0"/>
              <w:bottom w:val="single" w:color="auto" w:sz="6" w:space="0"/>
              <w:right w:val="single" w:color="auto" w:sz="6" w:space="0"/>
            </w:tcBorders>
            <w:vAlign w:val="center"/>
          </w:tcPr>
          <w:p w14:paraId="578B0780">
            <w:pPr>
              <w:wordWrap w:val="0"/>
              <w:adjustRightInd w:val="0"/>
              <w:snapToGrid w:val="0"/>
              <w:spacing w:line="400" w:lineRule="exact"/>
              <w:jc w:val="center"/>
              <w:rPr>
                <w:rFonts w:hAnsi="宋体" w:cs="宋体"/>
                <w:snapToGrid w:val="0"/>
                <w:color w:val="auto"/>
                <w:kern w:val="0"/>
                <w:sz w:val="21"/>
                <w:szCs w:val="21"/>
                <w:highlight w:val="none"/>
              </w:rPr>
            </w:pPr>
          </w:p>
        </w:tc>
        <w:tc>
          <w:tcPr>
            <w:tcW w:w="1835" w:type="dxa"/>
            <w:gridSpan w:val="2"/>
            <w:tcBorders>
              <w:top w:val="single" w:color="auto" w:sz="6" w:space="0"/>
              <w:left w:val="single" w:color="auto" w:sz="6" w:space="0"/>
              <w:bottom w:val="single" w:color="auto" w:sz="6" w:space="0"/>
              <w:right w:val="single" w:color="auto" w:sz="6" w:space="0"/>
            </w:tcBorders>
            <w:vAlign w:val="center"/>
          </w:tcPr>
          <w:p w14:paraId="256FF53A">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拟在本项目任职</w:t>
            </w:r>
          </w:p>
        </w:tc>
        <w:tc>
          <w:tcPr>
            <w:tcW w:w="1798" w:type="dxa"/>
            <w:tcBorders>
              <w:top w:val="single" w:color="auto" w:sz="6" w:space="0"/>
              <w:left w:val="single" w:color="auto" w:sz="6" w:space="0"/>
              <w:bottom w:val="single" w:color="auto" w:sz="6" w:space="0"/>
              <w:right w:val="single" w:color="auto" w:sz="6" w:space="0"/>
            </w:tcBorders>
            <w:vAlign w:val="center"/>
          </w:tcPr>
          <w:p w14:paraId="405F3B81">
            <w:pPr>
              <w:wordWrap w:val="0"/>
              <w:adjustRightInd w:val="0"/>
              <w:snapToGrid w:val="0"/>
              <w:spacing w:line="400" w:lineRule="exact"/>
              <w:jc w:val="center"/>
              <w:rPr>
                <w:rFonts w:hAnsi="宋体" w:cs="宋体"/>
                <w:snapToGrid w:val="0"/>
                <w:color w:val="auto"/>
                <w:kern w:val="0"/>
                <w:sz w:val="21"/>
                <w:szCs w:val="21"/>
                <w:highlight w:val="none"/>
              </w:rPr>
            </w:pPr>
          </w:p>
        </w:tc>
      </w:tr>
      <w:tr w14:paraId="331417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613" w:type="dxa"/>
            <w:gridSpan w:val="2"/>
            <w:tcBorders>
              <w:top w:val="single" w:color="auto" w:sz="6" w:space="0"/>
              <w:left w:val="single" w:color="auto" w:sz="6" w:space="0"/>
              <w:bottom w:val="single" w:color="auto" w:sz="6" w:space="0"/>
              <w:right w:val="single" w:color="auto" w:sz="6" w:space="0"/>
            </w:tcBorders>
            <w:vAlign w:val="center"/>
          </w:tcPr>
          <w:p w14:paraId="029430F8">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参加工作时间</w:t>
            </w:r>
          </w:p>
        </w:tc>
        <w:tc>
          <w:tcPr>
            <w:tcW w:w="2824" w:type="dxa"/>
            <w:gridSpan w:val="3"/>
            <w:tcBorders>
              <w:top w:val="single" w:color="auto" w:sz="6" w:space="0"/>
              <w:left w:val="single" w:color="auto" w:sz="6" w:space="0"/>
              <w:bottom w:val="single" w:color="auto" w:sz="6" w:space="0"/>
              <w:right w:val="single" w:color="auto" w:sz="6" w:space="0"/>
            </w:tcBorders>
            <w:vAlign w:val="center"/>
          </w:tcPr>
          <w:p w14:paraId="67886849">
            <w:pPr>
              <w:wordWrap w:val="0"/>
              <w:adjustRightInd w:val="0"/>
              <w:snapToGrid w:val="0"/>
              <w:spacing w:line="400" w:lineRule="exact"/>
              <w:jc w:val="center"/>
              <w:rPr>
                <w:rFonts w:hAnsi="宋体" w:cs="宋体"/>
                <w:snapToGrid w:val="0"/>
                <w:color w:val="auto"/>
                <w:kern w:val="0"/>
                <w:sz w:val="21"/>
                <w:szCs w:val="21"/>
                <w:highlight w:val="none"/>
              </w:rPr>
            </w:pPr>
          </w:p>
        </w:tc>
        <w:tc>
          <w:tcPr>
            <w:tcW w:w="3035" w:type="dxa"/>
            <w:gridSpan w:val="4"/>
            <w:tcBorders>
              <w:top w:val="single" w:color="auto" w:sz="6" w:space="0"/>
              <w:left w:val="single" w:color="auto" w:sz="6" w:space="0"/>
              <w:bottom w:val="single" w:color="auto" w:sz="6" w:space="0"/>
              <w:right w:val="single" w:color="auto" w:sz="6" w:space="0"/>
            </w:tcBorders>
            <w:vAlign w:val="center"/>
          </w:tcPr>
          <w:p w14:paraId="2C7D6685">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从事监理工作年限</w:t>
            </w:r>
          </w:p>
        </w:tc>
        <w:tc>
          <w:tcPr>
            <w:tcW w:w="1798" w:type="dxa"/>
            <w:tcBorders>
              <w:top w:val="single" w:color="auto" w:sz="6" w:space="0"/>
              <w:left w:val="single" w:color="auto" w:sz="6" w:space="0"/>
              <w:bottom w:val="single" w:color="auto" w:sz="6" w:space="0"/>
              <w:right w:val="single" w:color="auto" w:sz="6" w:space="0"/>
            </w:tcBorders>
            <w:vAlign w:val="center"/>
          </w:tcPr>
          <w:p w14:paraId="6467CA9A">
            <w:pPr>
              <w:wordWrap w:val="0"/>
              <w:adjustRightInd w:val="0"/>
              <w:snapToGrid w:val="0"/>
              <w:spacing w:line="400" w:lineRule="exact"/>
              <w:jc w:val="center"/>
              <w:rPr>
                <w:rFonts w:hAnsi="宋体" w:cs="宋体"/>
                <w:snapToGrid w:val="0"/>
                <w:color w:val="auto"/>
                <w:kern w:val="0"/>
                <w:sz w:val="21"/>
                <w:szCs w:val="21"/>
                <w:highlight w:val="none"/>
              </w:rPr>
            </w:pPr>
          </w:p>
        </w:tc>
      </w:tr>
      <w:tr w14:paraId="25E1A7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613" w:type="dxa"/>
            <w:gridSpan w:val="2"/>
            <w:tcBorders>
              <w:top w:val="single" w:color="auto" w:sz="6" w:space="0"/>
              <w:left w:val="single" w:color="auto" w:sz="6" w:space="0"/>
              <w:bottom w:val="single" w:color="auto" w:sz="6" w:space="0"/>
              <w:right w:val="single" w:color="auto" w:sz="6" w:space="0"/>
            </w:tcBorders>
            <w:vAlign w:val="center"/>
          </w:tcPr>
          <w:p w14:paraId="11E91695">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注册证书</w:t>
            </w:r>
          </w:p>
        </w:tc>
        <w:tc>
          <w:tcPr>
            <w:tcW w:w="7657" w:type="dxa"/>
            <w:gridSpan w:val="8"/>
            <w:tcBorders>
              <w:top w:val="single" w:color="auto" w:sz="6" w:space="0"/>
              <w:left w:val="single" w:color="auto" w:sz="6" w:space="0"/>
              <w:bottom w:val="single" w:color="auto" w:sz="6" w:space="0"/>
              <w:right w:val="single" w:color="auto" w:sz="6" w:space="0"/>
            </w:tcBorders>
            <w:vAlign w:val="center"/>
          </w:tcPr>
          <w:p w14:paraId="4A07CADE">
            <w:pPr>
              <w:wordWrap w:val="0"/>
              <w:adjustRightInd w:val="0"/>
              <w:snapToGrid w:val="0"/>
              <w:spacing w:line="400" w:lineRule="exact"/>
              <w:jc w:val="left"/>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名称：                               证书号：</w:t>
            </w:r>
          </w:p>
        </w:tc>
      </w:tr>
      <w:tr w14:paraId="7B257C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10"/>
            <w:tcBorders>
              <w:top w:val="single" w:color="auto" w:sz="6" w:space="0"/>
              <w:left w:val="single" w:color="auto" w:sz="6" w:space="0"/>
              <w:bottom w:val="single" w:color="auto" w:sz="6" w:space="0"/>
              <w:right w:val="single" w:color="auto" w:sz="6" w:space="0"/>
            </w:tcBorders>
            <w:vAlign w:val="center"/>
          </w:tcPr>
          <w:p w14:paraId="7274F2D3">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主要工作经历</w:t>
            </w:r>
          </w:p>
        </w:tc>
      </w:tr>
      <w:tr w14:paraId="328A61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643" w:type="dxa"/>
            <w:tcBorders>
              <w:top w:val="single" w:color="auto" w:sz="6" w:space="0"/>
              <w:left w:val="single" w:color="auto" w:sz="6" w:space="0"/>
              <w:bottom w:val="single" w:color="auto" w:sz="6" w:space="0"/>
              <w:right w:val="single" w:color="auto" w:sz="4" w:space="0"/>
            </w:tcBorders>
            <w:vAlign w:val="center"/>
          </w:tcPr>
          <w:p w14:paraId="3084BE2B">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序号</w:t>
            </w:r>
          </w:p>
        </w:tc>
        <w:tc>
          <w:tcPr>
            <w:tcW w:w="2100" w:type="dxa"/>
            <w:gridSpan w:val="2"/>
            <w:tcBorders>
              <w:top w:val="single" w:color="auto" w:sz="6" w:space="0"/>
              <w:left w:val="single" w:color="auto" w:sz="4" w:space="0"/>
              <w:bottom w:val="single" w:color="auto" w:sz="6" w:space="0"/>
              <w:right w:val="single" w:color="auto" w:sz="6" w:space="0"/>
            </w:tcBorders>
            <w:vAlign w:val="center"/>
          </w:tcPr>
          <w:p w14:paraId="07706767">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项目名称</w:t>
            </w:r>
          </w:p>
        </w:tc>
        <w:tc>
          <w:tcPr>
            <w:tcW w:w="2382" w:type="dxa"/>
            <w:gridSpan w:val="3"/>
            <w:tcBorders>
              <w:top w:val="single" w:color="auto" w:sz="6" w:space="0"/>
              <w:left w:val="single" w:color="auto" w:sz="6" w:space="0"/>
              <w:bottom w:val="single" w:color="auto" w:sz="6" w:space="0"/>
              <w:right w:val="single" w:color="auto" w:sz="6" w:space="0"/>
            </w:tcBorders>
            <w:vAlign w:val="center"/>
          </w:tcPr>
          <w:p w14:paraId="11FBBFBC">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委托人</w:t>
            </w:r>
          </w:p>
        </w:tc>
        <w:tc>
          <w:tcPr>
            <w:tcW w:w="1800" w:type="dxa"/>
            <w:gridSpan w:val="2"/>
            <w:tcBorders>
              <w:top w:val="single" w:color="auto" w:sz="6" w:space="0"/>
              <w:left w:val="single" w:color="auto" w:sz="6" w:space="0"/>
              <w:bottom w:val="single" w:color="auto" w:sz="6" w:space="0"/>
              <w:right w:val="single" w:color="auto" w:sz="6" w:space="0"/>
            </w:tcBorders>
            <w:vAlign w:val="center"/>
          </w:tcPr>
          <w:p w14:paraId="18E4B6F7">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担任职务</w:t>
            </w:r>
          </w:p>
        </w:tc>
        <w:tc>
          <w:tcPr>
            <w:tcW w:w="2345" w:type="dxa"/>
            <w:gridSpan w:val="2"/>
            <w:tcBorders>
              <w:top w:val="single" w:color="auto" w:sz="6" w:space="0"/>
              <w:left w:val="single" w:color="auto" w:sz="6" w:space="0"/>
              <w:bottom w:val="single" w:color="auto" w:sz="6" w:space="0"/>
              <w:right w:val="single" w:color="auto" w:sz="6" w:space="0"/>
            </w:tcBorders>
            <w:vAlign w:val="center"/>
          </w:tcPr>
          <w:p w14:paraId="1C15BA6F">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起止时间</w:t>
            </w:r>
          </w:p>
        </w:tc>
      </w:tr>
      <w:tr w14:paraId="2635E9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9" w:hRule="exact"/>
        </w:trPr>
        <w:tc>
          <w:tcPr>
            <w:tcW w:w="643" w:type="dxa"/>
            <w:tcBorders>
              <w:top w:val="single" w:color="auto" w:sz="6" w:space="0"/>
              <w:left w:val="single" w:color="auto" w:sz="6" w:space="0"/>
              <w:bottom w:val="single" w:color="auto" w:sz="6" w:space="0"/>
              <w:right w:val="single" w:color="auto" w:sz="4" w:space="0"/>
            </w:tcBorders>
            <w:vAlign w:val="center"/>
          </w:tcPr>
          <w:p w14:paraId="161232D6">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1</w:t>
            </w:r>
          </w:p>
        </w:tc>
        <w:tc>
          <w:tcPr>
            <w:tcW w:w="2100" w:type="dxa"/>
            <w:gridSpan w:val="2"/>
            <w:tcBorders>
              <w:top w:val="single" w:color="auto" w:sz="6" w:space="0"/>
              <w:left w:val="single" w:color="auto" w:sz="4" w:space="0"/>
              <w:bottom w:val="single" w:color="auto" w:sz="6" w:space="0"/>
              <w:right w:val="single" w:color="auto" w:sz="6" w:space="0"/>
            </w:tcBorders>
            <w:vAlign w:val="center"/>
          </w:tcPr>
          <w:p w14:paraId="614367DF">
            <w:pPr>
              <w:wordWrap w:val="0"/>
              <w:adjustRightInd w:val="0"/>
              <w:snapToGrid w:val="0"/>
              <w:spacing w:line="400" w:lineRule="exact"/>
              <w:jc w:val="center"/>
              <w:rPr>
                <w:rFonts w:hAnsi="宋体" w:cs="宋体"/>
                <w:snapToGrid w:val="0"/>
                <w:color w:val="auto"/>
                <w:kern w:val="0"/>
                <w:sz w:val="21"/>
                <w:szCs w:val="21"/>
                <w:highlight w:val="none"/>
              </w:rPr>
            </w:pPr>
          </w:p>
        </w:tc>
        <w:tc>
          <w:tcPr>
            <w:tcW w:w="2382" w:type="dxa"/>
            <w:gridSpan w:val="3"/>
            <w:tcBorders>
              <w:top w:val="single" w:color="auto" w:sz="6" w:space="0"/>
              <w:left w:val="single" w:color="auto" w:sz="6" w:space="0"/>
              <w:bottom w:val="single" w:color="auto" w:sz="6" w:space="0"/>
              <w:right w:val="single" w:color="auto" w:sz="6" w:space="0"/>
            </w:tcBorders>
            <w:vAlign w:val="center"/>
          </w:tcPr>
          <w:p w14:paraId="1AAE9B8C">
            <w:pPr>
              <w:wordWrap w:val="0"/>
              <w:adjustRightInd w:val="0"/>
              <w:snapToGrid w:val="0"/>
              <w:spacing w:line="400" w:lineRule="exact"/>
              <w:jc w:val="center"/>
              <w:rPr>
                <w:rFonts w:hAnsi="宋体" w:cs="宋体"/>
                <w:snapToGrid w:val="0"/>
                <w:color w:val="auto"/>
                <w:kern w:val="0"/>
                <w:sz w:val="21"/>
                <w:szCs w:val="21"/>
                <w:highlight w:val="none"/>
              </w:rPr>
            </w:pPr>
          </w:p>
        </w:tc>
        <w:tc>
          <w:tcPr>
            <w:tcW w:w="1800" w:type="dxa"/>
            <w:gridSpan w:val="2"/>
            <w:tcBorders>
              <w:top w:val="single" w:color="auto" w:sz="6" w:space="0"/>
              <w:left w:val="single" w:color="auto" w:sz="6" w:space="0"/>
              <w:bottom w:val="single" w:color="auto" w:sz="6" w:space="0"/>
              <w:right w:val="single" w:color="auto" w:sz="6" w:space="0"/>
            </w:tcBorders>
            <w:vAlign w:val="center"/>
          </w:tcPr>
          <w:p w14:paraId="75A32D0B">
            <w:pPr>
              <w:wordWrap w:val="0"/>
              <w:adjustRightInd w:val="0"/>
              <w:snapToGrid w:val="0"/>
              <w:spacing w:line="400" w:lineRule="exact"/>
              <w:jc w:val="center"/>
              <w:rPr>
                <w:rFonts w:hAnsi="宋体" w:cs="宋体"/>
                <w:snapToGrid w:val="0"/>
                <w:color w:val="auto"/>
                <w:kern w:val="0"/>
                <w:sz w:val="21"/>
                <w:szCs w:val="21"/>
                <w:highlight w:val="none"/>
              </w:rPr>
            </w:pPr>
          </w:p>
        </w:tc>
        <w:tc>
          <w:tcPr>
            <w:tcW w:w="2345" w:type="dxa"/>
            <w:gridSpan w:val="2"/>
            <w:tcBorders>
              <w:top w:val="single" w:color="auto" w:sz="6" w:space="0"/>
              <w:left w:val="single" w:color="auto" w:sz="6" w:space="0"/>
              <w:bottom w:val="single" w:color="auto" w:sz="6" w:space="0"/>
              <w:right w:val="single" w:color="auto" w:sz="6" w:space="0"/>
            </w:tcBorders>
            <w:vAlign w:val="center"/>
          </w:tcPr>
          <w:p w14:paraId="1F44C2FD">
            <w:pPr>
              <w:wordWrap w:val="0"/>
              <w:adjustRightInd w:val="0"/>
              <w:snapToGrid w:val="0"/>
              <w:spacing w:line="400" w:lineRule="exact"/>
              <w:jc w:val="center"/>
              <w:rPr>
                <w:rFonts w:hAnsi="宋体" w:cs="宋体"/>
                <w:snapToGrid w:val="0"/>
                <w:color w:val="auto"/>
                <w:kern w:val="0"/>
                <w:sz w:val="21"/>
                <w:szCs w:val="21"/>
                <w:highlight w:val="none"/>
              </w:rPr>
            </w:pPr>
          </w:p>
        </w:tc>
      </w:tr>
      <w:tr w14:paraId="49D524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643" w:type="dxa"/>
            <w:tcBorders>
              <w:top w:val="single" w:color="auto" w:sz="6" w:space="0"/>
              <w:left w:val="single" w:color="auto" w:sz="6" w:space="0"/>
              <w:bottom w:val="single" w:color="auto" w:sz="6" w:space="0"/>
              <w:right w:val="single" w:color="auto" w:sz="4" w:space="0"/>
            </w:tcBorders>
            <w:vAlign w:val="center"/>
          </w:tcPr>
          <w:p w14:paraId="490F5B25">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2</w:t>
            </w:r>
          </w:p>
        </w:tc>
        <w:tc>
          <w:tcPr>
            <w:tcW w:w="2100" w:type="dxa"/>
            <w:gridSpan w:val="2"/>
            <w:tcBorders>
              <w:top w:val="single" w:color="auto" w:sz="6" w:space="0"/>
              <w:left w:val="single" w:color="auto" w:sz="4" w:space="0"/>
              <w:bottom w:val="single" w:color="auto" w:sz="6" w:space="0"/>
              <w:right w:val="single" w:color="auto" w:sz="6" w:space="0"/>
            </w:tcBorders>
            <w:vAlign w:val="center"/>
          </w:tcPr>
          <w:p w14:paraId="1104D250">
            <w:pPr>
              <w:wordWrap w:val="0"/>
              <w:adjustRightInd w:val="0"/>
              <w:snapToGrid w:val="0"/>
              <w:spacing w:line="400" w:lineRule="exact"/>
              <w:jc w:val="center"/>
              <w:rPr>
                <w:rFonts w:hAnsi="宋体" w:cs="宋体"/>
                <w:snapToGrid w:val="0"/>
                <w:color w:val="auto"/>
                <w:kern w:val="0"/>
                <w:sz w:val="21"/>
                <w:szCs w:val="21"/>
                <w:highlight w:val="none"/>
              </w:rPr>
            </w:pPr>
          </w:p>
        </w:tc>
        <w:tc>
          <w:tcPr>
            <w:tcW w:w="2382" w:type="dxa"/>
            <w:gridSpan w:val="3"/>
            <w:tcBorders>
              <w:top w:val="single" w:color="auto" w:sz="6" w:space="0"/>
              <w:left w:val="single" w:color="auto" w:sz="6" w:space="0"/>
              <w:bottom w:val="single" w:color="auto" w:sz="6" w:space="0"/>
              <w:right w:val="single" w:color="auto" w:sz="6" w:space="0"/>
            </w:tcBorders>
            <w:vAlign w:val="center"/>
          </w:tcPr>
          <w:p w14:paraId="2165650F">
            <w:pPr>
              <w:wordWrap w:val="0"/>
              <w:adjustRightInd w:val="0"/>
              <w:snapToGrid w:val="0"/>
              <w:spacing w:line="400" w:lineRule="exact"/>
              <w:jc w:val="center"/>
              <w:rPr>
                <w:rFonts w:hAnsi="宋体" w:cs="宋体"/>
                <w:snapToGrid w:val="0"/>
                <w:color w:val="auto"/>
                <w:kern w:val="0"/>
                <w:sz w:val="21"/>
                <w:szCs w:val="21"/>
                <w:highlight w:val="none"/>
              </w:rPr>
            </w:pPr>
          </w:p>
        </w:tc>
        <w:tc>
          <w:tcPr>
            <w:tcW w:w="1800" w:type="dxa"/>
            <w:gridSpan w:val="2"/>
            <w:tcBorders>
              <w:top w:val="single" w:color="auto" w:sz="6" w:space="0"/>
              <w:left w:val="single" w:color="auto" w:sz="6" w:space="0"/>
              <w:bottom w:val="single" w:color="auto" w:sz="6" w:space="0"/>
              <w:right w:val="single" w:color="auto" w:sz="6" w:space="0"/>
            </w:tcBorders>
            <w:vAlign w:val="center"/>
          </w:tcPr>
          <w:p w14:paraId="11ABE292">
            <w:pPr>
              <w:wordWrap w:val="0"/>
              <w:adjustRightInd w:val="0"/>
              <w:snapToGrid w:val="0"/>
              <w:spacing w:line="400" w:lineRule="exact"/>
              <w:jc w:val="center"/>
              <w:rPr>
                <w:rFonts w:hAnsi="宋体" w:cs="宋体"/>
                <w:snapToGrid w:val="0"/>
                <w:color w:val="auto"/>
                <w:kern w:val="0"/>
                <w:sz w:val="21"/>
                <w:szCs w:val="21"/>
                <w:highlight w:val="none"/>
              </w:rPr>
            </w:pPr>
          </w:p>
        </w:tc>
        <w:tc>
          <w:tcPr>
            <w:tcW w:w="2345" w:type="dxa"/>
            <w:gridSpan w:val="2"/>
            <w:tcBorders>
              <w:top w:val="single" w:color="auto" w:sz="6" w:space="0"/>
              <w:left w:val="single" w:color="auto" w:sz="6" w:space="0"/>
              <w:bottom w:val="single" w:color="auto" w:sz="6" w:space="0"/>
              <w:right w:val="single" w:color="auto" w:sz="6" w:space="0"/>
            </w:tcBorders>
            <w:vAlign w:val="center"/>
          </w:tcPr>
          <w:p w14:paraId="4E1CAE1B">
            <w:pPr>
              <w:wordWrap w:val="0"/>
              <w:adjustRightInd w:val="0"/>
              <w:snapToGrid w:val="0"/>
              <w:spacing w:line="400" w:lineRule="exact"/>
              <w:jc w:val="center"/>
              <w:rPr>
                <w:rFonts w:hAnsi="宋体" w:cs="宋体"/>
                <w:snapToGrid w:val="0"/>
                <w:color w:val="auto"/>
                <w:kern w:val="0"/>
                <w:sz w:val="21"/>
                <w:szCs w:val="21"/>
                <w:highlight w:val="none"/>
              </w:rPr>
            </w:pPr>
          </w:p>
        </w:tc>
      </w:tr>
      <w:tr w14:paraId="748247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643" w:type="dxa"/>
            <w:tcBorders>
              <w:top w:val="single" w:color="auto" w:sz="6" w:space="0"/>
              <w:left w:val="single" w:color="auto" w:sz="6" w:space="0"/>
              <w:bottom w:val="single" w:color="auto" w:sz="6" w:space="0"/>
              <w:right w:val="single" w:color="auto" w:sz="4" w:space="0"/>
            </w:tcBorders>
            <w:vAlign w:val="center"/>
          </w:tcPr>
          <w:p w14:paraId="1970B3C6">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3</w:t>
            </w:r>
          </w:p>
        </w:tc>
        <w:tc>
          <w:tcPr>
            <w:tcW w:w="2100" w:type="dxa"/>
            <w:gridSpan w:val="2"/>
            <w:tcBorders>
              <w:top w:val="single" w:color="auto" w:sz="6" w:space="0"/>
              <w:left w:val="single" w:color="auto" w:sz="4" w:space="0"/>
              <w:bottom w:val="single" w:color="auto" w:sz="6" w:space="0"/>
              <w:right w:val="single" w:color="auto" w:sz="6" w:space="0"/>
            </w:tcBorders>
            <w:vAlign w:val="center"/>
          </w:tcPr>
          <w:p w14:paraId="22D89A97">
            <w:pPr>
              <w:wordWrap w:val="0"/>
              <w:adjustRightInd w:val="0"/>
              <w:snapToGrid w:val="0"/>
              <w:spacing w:line="400" w:lineRule="exact"/>
              <w:jc w:val="center"/>
              <w:rPr>
                <w:rFonts w:hAnsi="宋体" w:cs="宋体"/>
                <w:snapToGrid w:val="0"/>
                <w:color w:val="auto"/>
                <w:kern w:val="0"/>
                <w:sz w:val="21"/>
                <w:szCs w:val="21"/>
                <w:highlight w:val="none"/>
              </w:rPr>
            </w:pPr>
          </w:p>
        </w:tc>
        <w:tc>
          <w:tcPr>
            <w:tcW w:w="2382" w:type="dxa"/>
            <w:gridSpan w:val="3"/>
            <w:tcBorders>
              <w:top w:val="single" w:color="auto" w:sz="6" w:space="0"/>
              <w:left w:val="single" w:color="auto" w:sz="6" w:space="0"/>
              <w:bottom w:val="single" w:color="auto" w:sz="6" w:space="0"/>
              <w:right w:val="single" w:color="auto" w:sz="6" w:space="0"/>
            </w:tcBorders>
            <w:vAlign w:val="center"/>
          </w:tcPr>
          <w:p w14:paraId="1B798FFF">
            <w:pPr>
              <w:wordWrap w:val="0"/>
              <w:adjustRightInd w:val="0"/>
              <w:snapToGrid w:val="0"/>
              <w:spacing w:line="400" w:lineRule="exact"/>
              <w:jc w:val="center"/>
              <w:rPr>
                <w:rFonts w:hAnsi="宋体" w:cs="宋体"/>
                <w:snapToGrid w:val="0"/>
                <w:color w:val="auto"/>
                <w:kern w:val="0"/>
                <w:sz w:val="21"/>
                <w:szCs w:val="21"/>
                <w:highlight w:val="none"/>
              </w:rPr>
            </w:pPr>
          </w:p>
        </w:tc>
        <w:tc>
          <w:tcPr>
            <w:tcW w:w="1800" w:type="dxa"/>
            <w:gridSpan w:val="2"/>
            <w:tcBorders>
              <w:top w:val="single" w:color="auto" w:sz="6" w:space="0"/>
              <w:left w:val="single" w:color="auto" w:sz="6" w:space="0"/>
              <w:bottom w:val="single" w:color="auto" w:sz="6" w:space="0"/>
              <w:right w:val="single" w:color="auto" w:sz="6" w:space="0"/>
            </w:tcBorders>
            <w:vAlign w:val="center"/>
          </w:tcPr>
          <w:p w14:paraId="53BCCB67">
            <w:pPr>
              <w:wordWrap w:val="0"/>
              <w:adjustRightInd w:val="0"/>
              <w:snapToGrid w:val="0"/>
              <w:spacing w:line="400" w:lineRule="exact"/>
              <w:jc w:val="center"/>
              <w:rPr>
                <w:rFonts w:hAnsi="宋体" w:cs="宋体"/>
                <w:snapToGrid w:val="0"/>
                <w:color w:val="auto"/>
                <w:kern w:val="0"/>
                <w:sz w:val="21"/>
                <w:szCs w:val="21"/>
                <w:highlight w:val="none"/>
              </w:rPr>
            </w:pPr>
          </w:p>
        </w:tc>
        <w:tc>
          <w:tcPr>
            <w:tcW w:w="2345" w:type="dxa"/>
            <w:gridSpan w:val="2"/>
            <w:tcBorders>
              <w:top w:val="single" w:color="auto" w:sz="6" w:space="0"/>
              <w:left w:val="single" w:color="auto" w:sz="6" w:space="0"/>
              <w:bottom w:val="single" w:color="auto" w:sz="6" w:space="0"/>
              <w:right w:val="single" w:color="auto" w:sz="6" w:space="0"/>
            </w:tcBorders>
            <w:vAlign w:val="center"/>
          </w:tcPr>
          <w:p w14:paraId="3C040936">
            <w:pPr>
              <w:wordWrap w:val="0"/>
              <w:adjustRightInd w:val="0"/>
              <w:snapToGrid w:val="0"/>
              <w:spacing w:line="400" w:lineRule="exact"/>
              <w:jc w:val="center"/>
              <w:rPr>
                <w:rFonts w:hAnsi="宋体" w:cs="宋体"/>
                <w:snapToGrid w:val="0"/>
                <w:color w:val="auto"/>
                <w:kern w:val="0"/>
                <w:sz w:val="21"/>
                <w:szCs w:val="21"/>
                <w:highlight w:val="none"/>
              </w:rPr>
            </w:pPr>
          </w:p>
        </w:tc>
      </w:tr>
      <w:tr w14:paraId="46625C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643" w:type="dxa"/>
            <w:tcBorders>
              <w:top w:val="single" w:color="auto" w:sz="6" w:space="0"/>
              <w:left w:val="single" w:color="auto" w:sz="6" w:space="0"/>
              <w:bottom w:val="single" w:color="auto" w:sz="6" w:space="0"/>
              <w:right w:val="single" w:color="auto" w:sz="4" w:space="0"/>
            </w:tcBorders>
            <w:vAlign w:val="center"/>
          </w:tcPr>
          <w:p w14:paraId="5975EB99">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w:t>
            </w:r>
          </w:p>
        </w:tc>
        <w:tc>
          <w:tcPr>
            <w:tcW w:w="2100" w:type="dxa"/>
            <w:gridSpan w:val="2"/>
            <w:tcBorders>
              <w:top w:val="single" w:color="auto" w:sz="6" w:space="0"/>
              <w:left w:val="single" w:color="auto" w:sz="4" w:space="0"/>
              <w:bottom w:val="single" w:color="auto" w:sz="6" w:space="0"/>
              <w:right w:val="single" w:color="auto" w:sz="6" w:space="0"/>
            </w:tcBorders>
            <w:vAlign w:val="center"/>
          </w:tcPr>
          <w:p w14:paraId="1E09880E">
            <w:pPr>
              <w:wordWrap w:val="0"/>
              <w:adjustRightInd w:val="0"/>
              <w:snapToGrid w:val="0"/>
              <w:spacing w:line="400" w:lineRule="exact"/>
              <w:jc w:val="center"/>
              <w:rPr>
                <w:rFonts w:hAnsi="宋体" w:cs="宋体"/>
                <w:snapToGrid w:val="0"/>
                <w:color w:val="auto"/>
                <w:kern w:val="0"/>
                <w:sz w:val="21"/>
                <w:szCs w:val="21"/>
                <w:highlight w:val="none"/>
              </w:rPr>
            </w:pPr>
          </w:p>
        </w:tc>
        <w:tc>
          <w:tcPr>
            <w:tcW w:w="2382" w:type="dxa"/>
            <w:gridSpan w:val="3"/>
            <w:tcBorders>
              <w:top w:val="single" w:color="auto" w:sz="6" w:space="0"/>
              <w:left w:val="single" w:color="auto" w:sz="6" w:space="0"/>
              <w:bottom w:val="single" w:color="auto" w:sz="6" w:space="0"/>
              <w:right w:val="single" w:color="auto" w:sz="6" w:space="0"/>
            </w:tcBorders>
            <w:vAlign w:val="center"/>
          </w:tcPr>
          <w:p w14:paraId="66376A59">
            <w:pPr>
              <w:wordWrap w:val="0"/>
              <w:adjustRightInd w:val="0"/>
              <w:snapToGrid w:val="0"/>
              <w:spacing w:line="400" w:lineRule="exact"/>
              <w:jc w:val="center"/>
              <w:rPr>
                <w:rFonts w:hAnsi="宋体" w:cs="宋体"/>
                <w:snapToGrid w:val="0"/>
                <w:color w:val="auto"/>
                <w:kern w:val="0"/>
                <w:sz w:val="21"/>
                <w:szCs w:val="21"/>
                <w:highlight w:val="none"/>
              </w:rPr>
            </w:pPr>
          </w:p>
        </w:tc>
        <w:tc>
          <w:tcPr>
            <w:tcW w:w="1800" w:type="dxa"/>
            <w:gridSpan w:val="2"/>
            <w:tcBorders>
              <w:top w:val="single" w:color="auto" w:sz="6" w:space="0"/>
              <w:left w:val="single" w:color="auto" w:sz="6" w:space="0"/>
              <w:bottom w:val="single" w:color="auto" w:sz="6" w:space="0"/>
              <w:right w:val="single" w:color="auto" w:sz="6" w:space="0"/>
            </w:tcBorders>
            <w:vAlign w:val="center"/>
          </w:tcPr>
          <w:p w14:paraId="7CD58919">
            <w:pPr>
              <w:wordWrap w:val="0"/>
              <w:adjustRightInd w:val="0"/>
              <w:snapToGrid w:val="0"/>
              <w:spacing w:line="400" w:lineRule="exact"/>
              <w:jc w:val="center"/>
              <w:rPr>
                <w:rFonts w:hAnsi="宋体" w:cs="宋体"/>
                <w:snapToGrid w:val="0"/>
                <w:color w:val="auto"/>
                <w:kern w:val="0"/>
                <w:sz w:val="21"/>
                <w:szCs w:val="21"/>
                <w:highlight w:val="none"/>
              </w:rPr>
            </w:pPr>
          </w:p>
        </w:tc>
        <w:tc>
          <w:tcPr>
            <w:tcW w:w="2345" w:type="dxa"/>
            <w:gridSpan w:val="2"/>
            <w:tcBorders>
              <w:top w:val="single" w:color="auto" w:sz="6" w:space="0"/>
              <w:left w:val="single" w:color="auto" w:sz="6" w:space="0"/>
              <w:bottom w:val="single" w:color="auto" w:sz="6" w:space="0"/>
              <w:right w:val="single" w:color="auto" w:sz="6" w:space="0"/>
            </w:tcBorders>
            <w:vAlign w:val="center"/>
          </w:tcPr>
          <w:p w14:paraId="0A1A76F2">
            <w:pPr>
              <w:wordWrap w:val="0"/>
              <w:adjustRightInd w:val="0"/>
              <w:snapToGrid w:val="0"/>
              <w:spacing w:line="400" w:lineRule="exact"/>
              <w:jc w:val="center"/>
              <w:rPr>
                <w:rFonts w:hAnsi="宋体" w:cs="宋体"/>
                <w:snapToGrid w:val="0"/>
                <w:color w:val="auto"/>
                <w:kern w:val="0"/>
                <w:sz w:val="21"/>
                <w:szCs w:val="21"/>
                <w:highlight w:val="none"/>
              </w:rPr>
            </w:pPr>
          </w:p>
        </w:tc>
      </w:tr>
    </w:tbl>
    <w:p w14:paraId="05AF772E">
      <w:pPr>
        <w:adjustRightInd w:val="0"/>
        <w:snapToGrid w:val="0"/>
        <w:spacing w:line="400" w:lineRule="exact"/>
        <w:rPr>
          <w:rFonts w:hAnsi="宋体" w:cs="宋体"/>
          <w:color w:val="auto"/>
          <w:highlight w:val="none"/>
        </w:rPr>
      </w:pPr>
    </w:p>
    <w:p w14:paraId="55649CDC">
      <w:pPr>
        <w:pStyle w:val="73"/>
        <w:wordWrap w:val="0"/>
        <w:adjustRightInd w:val="0"/>
        <w:snapToGrid w:val="0"/>
        <w:spacing w:line="400" w:lineRule="exact"/>
        <w:jc w:val="right"/>
        <w:rPr>
          <w:rFonts w:hAnsi="宋体" w:cs="宋体"/>
          <w:snapToGrid w:val="0"/>
          <w:color w:val="auto"/>
          <w:kern w:val="0"/>
          <w:highlight w:val="none"/>
        </w:rPr>
      </w:pPr>
    </w:p>
    <w:p w14:paraId="5212B167">
      <w:pPr>
        <w:pStyle w:val="73"/>
        <w:wordWrap w:val="0"/>
        <w:adjustRightInd w:val="0"/>
        <w:snapToGrid w:val="0"/>
        <w:spacing w:line="400" w:lineRule="exact"/>
        <w:jc w:val="right"/>
        <w:rPr>
          <w:rFonts w:hAnsi="宋体" w:cs="宋体"/>
          <w:snapToGrid w:val="0"/>
          <w:color w:val="auto"/>
          <w:kern w:val="0"/>
          <w:highlight w:val="none"/>
        </w:rPr>
      </w:pPr>
      <w:r>
        <w:rPr>
          <w:rFonts w:hint="eastAsia" w:hAnsi="宋体" w:cs="宋体"/>
          <w:snapToGrid w:val="0"/>
          <w:color w:val="auto"/>
          <w:kern w:val="0"/>
          <w:highlight w:val="none"/>
        </w:rPr>
        <w:t>总监理工程师：</w:t>
      </w:r>
      <w:r>
        <w:rPr>
          <w:rFonts w:hint="eastAsia" w:hAnsi="宋体" w:cs="宋体"/>
          <w:snapToGrid w:val="0"/>
          <w:color w:val="auto"/>
          <w:kern w:val="0"/>
          <w:highlight w:val="none"/>
          <w:u w:val="single"/>
        </w:rPr>
        <w:t xml:space="preserve">                   </w:t>
      </w:r>
      <w:r>
        <w:rPr>
          <w:rFonts w:hint="eastAsia" w:hAnsi="宋体" w:cs="宋体"/>
          <w:snapToGrid w:val="0"/>
          <w:color w:val="auto"/>
          <w:kern w:val="0"/>
          <w:highlight w:val="none"/>
        </w:rPr>
        <w:t>（签字）</w:t>
      </w:r>
    </w:p>
    <w:p w14:paraId="0C2580C4">
      <w:pPr>
        <w:pStyle w:val="73"/>
        <w:wordWrap w:val="0"/>
        <w:adjustRightInd w:val="0"/>
        <w:snapToGrid w:val="0"/>
        <w:spacing w:line="400" w:lineRule="exact"/>
        <w:jc w:val="center"/>
        <w:rPr>
          <w:rFonts w:hAnsi="宋体" w:cs="宋体"/>
          <w:snapToGrid w:val="0"/>
          <w:color w:val="auto"/>
          <w:kern w:val="0"/>
          <w:highlight w:val="none"/>
        </w:rPr>
      </w:pPr>
      <w:r>
        <w:rPr>
          <w:rFonts w:hint="eastAsia" w:hAnsi="宋体" w:cs="宋体"/>
          <w:snapToGrid w:val="0"/>
          <w:color w:val="auto"/>
          <w:kern w:val="0"/>
          <w:highlight w:val="none"/>
        </w:rPr>
        <w:t xml:space="preserve">                                     </w:t>
      </w:r>
      <w:r>
        <w:rPr>
          <w:rFonts w:hint="eastAsia" w:hAnsi="宋体" w:cs="宋体"/>
          <w:snapToGrid w:val="0"/>
          <w:color w:val="auto"/>
          <w:kern w:val="0"/>
          <w:highlight w:val="none"/>
          <w:u w:val="single"/>
        </w:rPr>
        <w:t xml:space="preserve">       </w:t>
      </w:r>
      <w:r>
        <w:rPr>
          <w:rFonts w:hint="eastAsia" w:hAnsi="宋体" w:cs="宋体"/>
          <w:snapToGrid w:val="0"/>
          <w:color w:val="auto"/>
          <w:kern w:val="0"/>
          <w:highlight w:val="none"/>
        </w:rPr>
        <w:t>年</w:t>
      </w:r>
      <w:r>
        <w:rPr>
          <w:rFonts w:hint="eastAsia" w:hAnsi="宋体" w:cs="宋体"/>
          <w:snapToGrid w:val="0"/>
          <w:color w:val="auto"/>
          <w:kern w:val="0"/>
          <w:highlight w:val="none"/>
          <w:u w:val="single"/>
        </w:rPr>
        <w:t xml:space="preserve">     </w:t>
      </w:r>
      <w:r>
        <w:rPr>
          <w:rFonts w:hint="eastAsia" w:hAnsi="宋体" w:cs="宋体"/>
          <w:snapToGrid w:val="0"/>
          <w:color w:val="auto"/>
          <w:kern w:val="0"/>
          <w:highlight w:val="none"/>
        </w:rPr>
        <w:t>月</w:t>
      </w:r>
      <w:r>
        <w:rPr>
          <w:rFonts w:hint="eastAsia" w:hAnsi="宋体" w:cs="宋体"/>
          <w:snapToGrid w:val="0"/>
          <w:color w:val="auto"/>
          <w:kern w:val="0"/>
          <w:highlight w:val="none"/>
          <w:u w:val="single"/>
        </w:rPr>
        <w:t xml:space="preserve">     </w:t>
      </w:r>
      <w:r>
        <w:rPr>
          <w:rFonts w:hint="eastAsia" w:hAnsi="宋体" w:cs="宋体"/>
          <w:snapToGrid w:val="0"/>
          <w:color w:val="auto"/>
          <w:kern w:val="0"/>
          <w:highlight w:val="none"/>
        </w:rPr>
        <w:t>日</w:t>
      </w:r>
    </w:p>
    <w:p w14:paraId="54D577A5">
      <w:pPr>
        <w:wordWrap w:val="0"/>
        <w:adjustRightInd w:val="0"/>
        <w:snapToGrid w:val="0"/>
        <w:spacing w:line="400" w:lineRule="exact"/>
        <w:ind w:firstLine="570"/>
        <w:rPr>
          <w:rFonts w:hAnsi="宋体" w:cs="宋体"/>
          <w:snapToGrid w:val="0"/>
          <w:color w:val="auto"/>
          <w:kern w:val="0"/>
          <w:szCs w:val="28"/>
          <w:highlight w:val="none"/>
        </w:rPr>
      </w:pPr>
    </w:p>
    <w:p w14:paraId="1CA52CB3">
      <w:pPr>
        <w:wordWrap w:val="0"/>
        <w:adjustRightInd w:val="0"/>
        <w:snapToGrid w:val="0"/>
        <w:spacing w:line="400" w:lineRule="exact"/>
        <w:ind w:firstLine="420"/>
        <w:rPr>
          <w:rFonts w:hAnsi="宋体" w:cs="宋体"/>
          <w:snapToGrid w:val="0"/>
          <w:color w:val="auto"/>
          <w:kern w:val="0"/>
          <w:sz w:val="21"/>
          <w:szCs w:val="28"/>
          <w:highlight w:val="none"/>
        </w:rPr>
      </w:pPr>
      <w:r>
        <w:rPr>
          <w:rFonts w:hint="eastAsia" w:hAnsi="宋体" w:cs="宋体"/>
          <w:snapToGrid w:val="0"/>
          <w:color w:val="auto"/>
          <w:kern w:val="0"/>
          <w:sz w:val="21"/>
          <w:szCs w:val="28"/>
          <w:highlight w:val="none"/>
        </w:rPr>
        <w:t>说明：《总监理工程师简历表》后应附拟派总监理工程师以下资料：</w:t>
      </w:r>
    </w:p>
    <w:p w14:paraId="245C16B3">
      <w:pPr>
        <w:wordWrap w:val="0"/>
        <w:adjustRightInd w:val="0"/>
        <w:snapToGrid w:val="0"/>
        <w:spacing w:line="400" w:lineRule="exact"/>
        <w:ind w:firstLine="420"/>
        <w:rPr>
          <w:rFonts w:hAnsi="宋体" w:cs="宋体"/>
          <w:snapToGrid w:val="0"/>
          <w:color w:val="auto"/>
          <w:kern w:val="0"/>
          <w:sz w:val="21"/>
          <w:szCs w:val="28"/>
          <w:highlight w:val="none"/>
        </w:rPr>
      </w:pPr>
      <w:r>
        <w:rPr>
          <w:rFonts w:hint="eastAsia" w:hAnsi="宋体" w:cs="宋体"/>
          <w:snapToGrid w:val="0"/>
          <w:color w:val="auto"/>
          <w:kern w:val="0"/>
          <w:sz w:val="21"/>
          <w:szCs w:val="28"/>
          <w:highlight w:val="none"/>
        </w:rPr>
        <w:t>1．身份证彩色扫描件；</w:t>
      </w:r>
    </w:p>
    <w:p w14:paraId="6403A457">
      <w:pPr>
        <w:wordWrap w:val="0"/>
        <w:adjustRightInd w:val="0"/>
        <w:snapToGrid w:val="0"/>
        <w:spacing w:line="400" w:lineRule="exact"/>
        <w:ind w:firstLine="420"/>
        <w:rPr>
          <w:rFonts w:hAnsi="宋体" w:cs="宋体"/>
          <w:snapToGrid w:val="0"/>
          <w:color w:val="auto"/>
          <w:kern w:val="0"/>
          <w:sz w:val="21"/>
          <w:szCs w:val="28"/>
          <w:highlight w:val="none"/>
        </w:rPr>
      </w:pPr>
      <w:r>
        <w:rPr>
          <w:rFonts w:hint="eastAsia" w:hAnsi="宋体" w:cs="宋体"/>
          <w:snapToGrid w:val="0"/>
          <w:color w:val="auto"/>
          <w:kern w:val="0"/>
          <w:sz w:val="21"/>
          <w:szCs w:val="28"/>
          <w:highlight w:val="none"/>
        </w:rPr>
        <w:t>2．监理工程师注册证书彩色扫描件（须彩色扫描至变更注册栏）</w:t>
      </w:r>
      <w:r>
        <w:rPr>
          <w:rFonts w:hint="eastAsia" w:ascii="宋体" w:hAnsi="宋体" w:eastAsia="宋体" w:cs="宋体"/>
          <w:snapToGrid w:val="0"/>
          <w:color w:val="auto"/>
          <w:kern w:val="0"/>
          <w:sz w:val="21"/>
          <w:szCs w:val="28"/>
          <w:highlight w:val="none"/>
          <w:lang w:val="en-US" w:eastAsia="zh-CN"/>
        </w:rPr>
        <w:t>或</w:t>
      </w:r>
      <w:r>
        <w:rPr>
          <w:rFonts w:hint="eastAsia" w:ascii="宋体" w:hAnsi="宋体" w:eastAsia="宋体" w:cs="宋体"/>
          <w:snapToGrid w:val="0"/>
          <w:color w:val="auto"/>
          <w:kern w:val="0"/>
          <w:sz w:val="21"/>
          <w:szCs w:val="28"/>
          <w:highlight w:val="none"/>
        </w:rPr>
        <w:t>有效期内的有效电子证书</w:t>
      </w:r>
      <w:r>
        <w:rPr>
          <w:rFonts w:hint="eastAsia" w:hAnsi="宋体" w:cs="宋体"/>
          <w:snapToGrid w:val="0"/>
          <w:color w:val="auto"/>
          <w:kern w:val="0"/>
          <w:sz w:val="21"/>
          <w:szCs w:val="28"/>
          <w:highlight w:val="none"/>
        </w:rPr>
        <w:t>；</w:t>
      </w:r>
    </w:p>
    <w:p w14:paraId="4FD46B7A">
      <w:pPr>
        <w:wordWrap w:val="0"/>
        <w:adjustRightInd w:val="0"/>
        <w:snapToGrid w:val="0"/>
        <w:spacing w:line="400" w:lineRule="exact"/>
        <w:ind w:firstLine="420"/>
        <w:rPr>
          <w:rFonts w:hAnsi="宋体" w:cs="宋体"/>
          <w:snapToGrid w:val="0"/>
          <w:color w:val="auto"/>
          <w:kern w:val="0"/>
          <w:sz w:val="21"/>
          <w:szCs w:val="28"/>
          <w:highlight w:val="none"/>
        </w:rPr>
      </w:pPr>
      <w:r>
        <w:rPr>
          <w:rFonts w:hint="eastAsia" w:hAnsi="宋体" w:cs="宋体"/>
          <w:snapToGrid w:val="0"/>
          <w:color w:val="auto"/>
          <w:kern w:val="0"/>
          <w:sz w:val="21"/>
          <w:szCs w:val="28"/>
          <w:highlight w:val="none"/>
        </w:rPr>
        <w:t>3．</w:t>
      </w:r>
      <w:r>
        <w:rPr>
          <w:rFonts w:hint="eastAsia" w:ascii="宋体" w:hAnsi="宋体" w:eastAsia="宋体" w:cs="宋体"/>
          <w:caps w:val="0"/>
          <w:smallCaps w:val="0"/>
          <w:snapToGrid w:val="0"/>
          <w:color w:val="auto"/>
          <w:spacing w:val="0"/>
          <w:kern w:val="0"/>
          <w:sz w:val="21"/>
          <w:szCs w:val="28"/>
          <w:highlight w:val="none"/>
          <w:lang w:val="en-US" w:eastAsia="zh-CN"/>
        </w:rPr>
        <w:t>在本单位缴纳社保的证明（至少一个月，其中必须有202</w:t>
      </w:r>
      <w:r>
        <w:rPr>
          <w:rFonts w:hint="eastAsia" w:hAnsi="宋体" w:cs="宋体"/>
          <w:caps w:val="0"/>
          <w:smallCaps w:val="0"/>
          <w:snapToGrid w:val="0"/>
          <w:color w:val="auto"/>
          <w:spacing w:val="0"/>
          <w:kern w:val="0"/>
          <w:sz w:val="21"/>
          <w:szCs w:val="28"/>
          <w:highlight w:val="none"/>
          <w:lang w:val="en-US" w:eastAsia="zh-CN"/>
        </w:rPr>
        <w:t>6</w:t>
      </w:r>
      <w:r>
        <w:rPr>
          <w:rFonts w:hint="eastAsia" w:ascii="宋体" w:hAnsi="宋体" w:eastAsia="宋体" w:cs="宋体"/>
          <w:caps w:val="0"/>
          <w:smallCaps w:val="0"/>
          <w:snapToGrid w:val="0"/>
          <w:color w:val="auto"/>
          <w:spacing w:val="0"/>
          <w:kern w:val="0"/>
          <w:sz w:val="21"/>
          <w:szCs w:val="28"/>
          <w:highlight w:val="none"/>
          <w:lang w:val="en-US" w:eastAsia="zh-CN"/>
        </w:rPr>
        <w:t>年</w:t>
      </w:r>
      <w:r>
        <w:rPr>
          <w:rFonts w:hint="eastAsia" w:hAnsi="宋体" w:cs="宋体"/>
          <w:caps w:val="0"/>
          <w:smallCaps w:val="0"/>
          <w:snapToGrid w:val="0"/>
          <w:color w:val="auto"/>
          <w:spacing w:val="0"/>
          <w:kern w:val="0"/>
          <w:sz w:val="21"/>
          <w:szCs w:val="28"/>
          <w:highlight w:val="none"/>
          <w:lang w:val="en-US" w:eastAsia="zh-CN"/>
        </w:rPr>
        <w:t>04</w:t>
      </w:r>
      <w:r>
        <w:rPr>
          <w:rFonts w:hint="eastAsia" w:ascii="宋体" w:hAnsi="宋体" w:eastAsia="宋体" w:cs="宋体"/>
          <w:caps w:val="0"/>
          <w:smallCaps w:val="0"/>
          <w:snapToGrid w:val="0"/>
          <w:color w:val="auto"/>
          <w:spacing w:val="0"/>
          <w:kern w:val="0"/>
          <w:sz w:val="21"/>
          <w:szCs w:val="28"/>
          <w:highlight w:val="none"/>
          <w:lang w:val="en-US" w:eastAsia="zh-CN"/>
        </w:rPr>
        <w:t>月）彩色扫描件。</w:t>
      </w:r>
    </w:p>
    <w:p w14:paraId="2DC2A311">
      <w:pPr>
        <w:pStyle w:val="9"/>
        <w:snapToGrid w:val="0"/>
        <w:spacing w:line="400" w:lineRule="exact"/>
        <w:ind w:firstLine="420" w:firstLineChars="200"/>
        <w:rPr>
          <w:rFonts w:hAnsi="宋体" w:cs="宋体"/>
          <w:snapToGrid w:val="0"/>
          <w:color w:val="auto"/>
          <w:sz w:val="21"/>
          <w:highlight w:val="none"/>
        </w:rPr>
      </w:pPr>
      <w:r>
        <w:rPr>
          <w:rFonts w:hint="eastAsia" w:hAnsi="宋体" w:cs="宋体"/>
          <w:snapToGrid w:val="0"/>
          <w:color w:val="auto"/>
          <w:sz w:val="21"/>
          <w:highlight w:val="none"/>
        </w:rPr>
        <w:t>4.“进粤企业和人员诚信信息登记平台”个人（总监理工程师等）信息情况截图。（适用于省外建筑企业）</w:t>
      </w:r>
    </w:p>
    <w:p w14:paraId="1FF4E9EC">
      <w:pPr>
        <w:pStyle w:val="9"/>
        <w:snapToGrid w:val="0"/>
        <w:spacing w:line="400" w:lineRule="exact"/>
        <w:rPr>
          <w:rFonts w:hAnsi="宋体" w:cs="宋体"/>
          <w:snapToGrid w:val="0"/>
          <w:color w:val="auto"/>
          <w:sz w:val="21"/>
          <w:highlight w:val="none"/>
        </w:rPr>
      </w:pPr>
    </w:p>
    <w:p w14:paraId="1F51A155">
      <w:pPr>
        <w:adjustRightInd w:val="0"/>
        <w:snapToGrid w:val="0"/>
        <w:spacing w:line="400" w:lineRule="exact"/>
        <w:rPr>
          <w:rFonts w:hAnsi="宋体" w:cs="宋体"/>
          <w:b/>
          <w:bCs/>
          <w:snapToGrid w:val="0"/>
          <w:color w:val="auto"/>
          <w:kern w:val="0"/>
          <w:szCs w:val="24"/>
          <w:highlight w:val="none"/>
        </w:rPr>
      </w:pPr>
      <w:bookmarkStart w:id="334" w:name="_Toc19546"/>
      <w:r>
        <w:rPr>
          <w:rFonts w:hint="eastAsia" w:hAnsi="宋体" w:cs="宋体"/>
          <w:b/>
          <w:bCs/>
          <w:snapToGrid w:val="0"/>
          <w:color w:val="auto"/>
          <w:kern w:val="0"/>
          <w:szCs w:val="24"/>
          <w:highlight w:val="none"/>
        </w:rPr>
        <w:br w:type="page"/>
      </w:r>
    </w:p>
    <w:p w14:paraId="32B105E3">
      <w:pPr>
        <w:pStyle w:val="148"/>
        <w:keepNext/>
        <w:keepLines/>
        <w:snapToGrid w:val="0"/>
        <w:spacing w:line="400" w:lineRule="exact"/>
        <w:jc w:val="both"/>
        <w:rPr>
          <w:rFonts w:ascii="宋体" w:hAnsi="宋体" w:cs="宋体"/>
          <w:b/>
          <w:bCs/>
          <w:snapToGrid w:val="0"/>
          <w:color w:val="auto"/>
          <w:highlight w:val="none"/>
        </w:rPr>
      </w:pPr>
      <w:bookmarkStart w:id="335" w:name="_Toc26946"/>
      <w:r>
        <w:rPr>
          <w:rFonts w:hint="eastAsia" w:ascii="宋体" w:hAnsi="宋体" w:cs="宋体"/>
          <w:b/>
          <w:bCs/>
          <w:snapToGrid w:val="0"/>
          <w:color w:val="auto"/>
          <w:highlight w:val="none"/>
        </w:rPr>
        <w:t>格式十二 其他拟派人员简历表</w:t>
      </w:r>
      <w:bookmarkEnd w:id="334"/>
      <w:bookmarkEnd w:id="335"/>
    </w:p>
    <w:p w14:paraId="6BB2F130">
      <w:pPr>
        <w:adjustRightInd w:val="0"/>
        <w:snapToGrid w:val="0"/>
        <w:spacing w:line="400" w:lineRule="exact"/>
        <w:jc w:val="center"/>
        <w:rPr>
          <w:rFonts w:hAnsi="宋体" w:cs="宋体"/>
          <w:b/>
          <w:bCs/>
          <w:color w:val="auto"/>
          <w:sz w:val="32"/>
          <w:szCs w:val="22"/>
          <w:highlight w:val="none"/>
        </w:rPr>
      </w:pPr>
    </w:p>
    <w:p w14:paraId="3FF56886">
      <w:pPr>
        <w:adjustRightInd w:val="0"/>
        <w:snapToGrid w:val="0"/>
        <w:spacing w:line="400" w:lineRule="exact"/>
        <w:jc w:val="center"/>
        <w:rPr>
          <w:rFonts w:hAnsi="宋体" w:cs="宋体"/>
          <w:b/>
          <w:bCs/>
          <w:color w:val="auto"/>
          <w:sz w:val="32"/>
          <w:szCs w:val="22"/>
          <w:highlight w:val="none"/>
        </w:rPr>
      </w:pPr>
      <w:r>
        <w:rPr>
          <w:rFonts w:hint="eastAsia" w:hAnsi="宋体" w:cs="宋体"/>
          <w:b/>
          <w:bCs/>
          <w:color w:val="auto"/>
          <w:sz w:val="32"/>
          <w:szCs w:val="22"/>
          <w:highlight w:val="none"/>
        </w:rPr>
        <w:t>其他拟派人员简历表（）</w:t>
      </w:r>
    </w:p>
    <w:tbl>
      <w:tblPr>
        <w:tblStyle w:val="31"/>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3"/>
        <w:gridCol w:w="970"/>
        <w:gridCol w:w="1130"/>
        <w:gridCol w:w="227"/>
        <w:gridCol w:w="1467"/>
        <w:gridCol w:w="688"/>
        <w:gridCol w:w="640"/>
        <w:gridCol w:w="1160"/>
        <w:gridCol w:w="547"/>
        <w:gridCol w:w="1798"/>
      </w:tblGrid>
      <w:tr w14:paraId="7E9C00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3" w:hRule="exact"/>
        </w:trPr>
        <w:tc>
          <w:tcPr>
            <w:tcW w:w="1613" w:type="dxa"/>
            <w:gridSpan w:val="2"/>
            <w:tcBorders>
              <w:top w:val="single" w:color="auto" w:sz="6" w:space="0"/>
              <w:left w:val="single" w:color="auto" w:sz="6" w:space="0"/>
              <w:bottom w:val="single" w:color="auto" w:sz="6" w:space="0"/>
              <w:right w:val="single" w:color="auto" w:sz="6" w:space="0"/>
            </w:tcBorders>
            <w:vAlign w:val="center"/>
          </w:tcPr>
          <w:p w14:paraId="234B96E7">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姓  名</w:t>
            </w:r>
          </w:p>
        </w:tc>
        <w:tc>
          <w:tcPr>
            <w:tcW w:w="1357" w:type="dxa"/>
            <w:gridSpan w:val="2"/>
            <w:tcBorders>
              <w:top w:val="single" w:color="auto" w:sz="6" w:space="0"/>
              <w:left w:val="single" w:color="auto" w:sz="6" w:space="0"/>
              <w:bottom w:val="single" w:color="auto" w:sz="6" w:space="0"/>
              <w:right w:val="single" w:color="auto" w:sz="6" w:space="0"/>
            </w:tcBorders>
            <w:vAlign w:val="center"/>
          </w:tcPr>
          <w:p w14:paraId="143FEB68">
            <w:pPr>
              <w:wordWrap w:val="0"/>
              <w:adjustRightInd w:val="0"/>
              <w:snapToGrid w:val="0"/>
              <w:spacing w:line="400" w:lineRule="exact"/>
              <w:jc w:val="center"/>
              <w:rPr>
                <w:rFonts w:hAnsi="宋体" w:cs="宋体"/>
                <w:snapToGrid w:val="0"/>
                <w:color w:val="auto"/>
                <w:kern w:val="0"/>
                <w:sz w:val="21"/>
                <w:szCs w:val="21"/>
                <w:highlight w:val="none"/>
              </w:rPr>
            </w:pPr>
          </w:p>
        </w:tc>
        <w:tc>
          <w:tcPr>
            <w:tcW w:w="1467" w:type="dxa"/>
            <w:tcBorders>
              <w:top w:val="single" w:color="auto" w:sz="6" w:space="0"/>
              <w:left w:val="single" w:color="auto" w:sz="6" w:space="0"/>
              <w:bottom w:val="single" w:color="auto" w:sz="6" w:space="0"/>
              <w:right w:val="single" w:color="auto" w:sz="6" w:space="0"/>
            </w:tcBorders>
            <w:vAlign w:val="center"/>
          </w:tcPr>
          <w:p w14:paraId="74B527A1">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性  别</w:t>
            </w:r>
          </w:p>
        </w:tc>
        <w:tc>
          <w:tcPr>
            <w:tcW w:w="1328" w:type="dxa"/>
            <w:gridSpan w:val="2"/>
            <w:tcBorders>
              <w:top w:val="single" w:color="auto" w:sz="6" w:space="0"/>
              <w:left w:val="single" w:color="auto" w:sz="6" w:space="0"/>
              <w:bottom w:val="single" w:color="auto" w:sz="6" w:space="0"/>
              <w:right w:val="single" w:color="auto" w:sz="6" w:space="0"/>
            </w:tcBorders>
            <w:vAlign w:val="center"/>
          </w:tcPr>
          <w:p w14:paraId="6FC81615">
            <w:pPr>
              <w:wordWrap w:val="0"/>
              <w:adjustRightInd w:val="0"/>
              <w:snapToGrid w:val="0"/>
              <w:spacing w:line="400" w:lineRule="exact"/>
              <w:jc w:val="center"/>
              <w:rPr>
                <w:rFonts w:hAnsi="宋体" w:cs="宋体"/>
                <w:snapToGrid w:val="0"/>
                <w:color w:val="auto"/>
                <w:kern w:val="0"/>
                <w:sz w:val="21"/>
                <w:szCs w:val="21"/>
                <w:highlight w:val="none"/>
              </w:rPr>
            </w:pPr>
          </w:p>
        </w:tc>
        <w:tc>
          <w:tcPr>
            <w:tcW w:w="1707" w:type="dxa"/>
            <w:gridSpan w:val="2"/>
            <w:tcBorders>
              <w:top w:val="single" w:color="auto" w:sz="6" w:space="0"/>
              <w:left w:val="single" w:color="auto" w:sz="6" w:space="0"/>
              <w:bottom w:val="single" w:color="auto" w:sz="6" w:space="0"/>
              <w:right w:val="single" w:color="auto" w:sz="6" w:space="0"/>
            </w:tcBorders>
            <w:vAlign w:val="center"/>
          </w:tcPr>
          <w:p w14:paraId="41E42718">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年  龄</w:t>
            </w:r>
          </w:p>
        </w:tc>
        <w:tc>
          <w:tcPr>
            <w:tcW w:w="1798" w:type="dxa"/>
            <w:tcBorders>
              <w:top w:val="single" w:color="auto" w:sz="6" w:space="0"/>
              <w:left w:val="single" w:color="auto" w:sz="6" w:space="0"/>
              <w:bottom w:val="single" w:color="auto" w:sz="6" w:space="0"/>
              <w:right w:val="single" w:color="auto" w:sz="6" w:space="0"/>
            </w:tcBorders>
            <w:vAlign w:val="center"/>
          </w:tcPr>
          <w:p w14:paraId="3281224B">
            <w:pPr>
              <w:wordWrap w:val="0"/>
              <w:adjustRightInd w:val="0"/>
              <w:snapToGrid w:val="0"/>
              <w:spacing w:line="400" w:lineRule="exact"/>
              <w:jc w:val="center"/>
              <w:rPr>
                <w:rFonts w:hAnsi="宋体" w:cs="宋体"/>
                <w:snapToGrid w:val="0"/>
                <w:color w:val="auto"/>
                <w:kern w:val="0"/>
                <w:sz w:val="21"/>
                <w:szCs w:val="21"/>
                <w:highlight w:val="none"/>
              </w:rPr>
            </w:pPr>
          </w:p>
        </w:tc>
      </w:tr>
      <w:tr w14:paraId="762E11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613" w:type="dxa"/>
            <w:gridSpan w:val="2"/>
            <w:tcBorders>
              <w:top w:val="single" w:color="auto" w:sz="6" w:space="0"/>
              <w:left w:val="single" w:color="auto" w:sz="6" w:space="0"/>
              <w:bottom w:val="single" w:color="auto" w:sz="6" w:space="0"/>
              <w:right w:val="single" w:color="auto" w:sz="6" w:space="0"/>
            </w:tcBorders>
            <w:vAlign w:val="center"/>
          </w:tcPr>
          <w:p w14:paraId="365C7D3C">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职  称</w:t>
            </w:r>
          </w:p>
        </w:tc>
        <w:tc>
          <w:tcPr>
            <w:tcW w:w="1357" w:type="dxa"/>
            <w:gridSpan w:val="2"/>
            <w:tcBorders>
              <w:top w:val="single" w:color="auto" w:sz="6" w:space="0"/>
              <w:left w:val="single" w:color="auto" w:sz="6" w:space="0"/>
              <w:bottom w:val="single" w:color="auto" w:sz="6" w:space="0"/>
              <w:right w:val="single" w:color="auto" w:sz="6" w:space="0"/>
            </w:tcBorders>
            <w:vAlign w:val="center"/>
          </w:tcPr>
          <w:p w14:paraId="07600EDB">
            <w:pPr>
              <w:wordWrap w:val="0"/>
              <w:adjustRightInd w:val="0"/>
              <w:snapToGrid w:val="0"/>
              <w:spacing w:line="400" w:lineRule="exact"/>
              <w:jc w:val="center"/>
              <w:rPr>
                <w:rFonts w:hAnsi="宋体" w:cs="宋体"/>
                <w:snapToGrid w:val="0"/>
                <w:color w:val="auto"/>
                <w:kern w:val="0"/>
                <w:sz w:val="21"/>
                <w:szCs w:val="21"/>
                <w:highlight w:val="none"/>
              </w:rPr>
            </w:pPr>
          </w:p>
        </w:tc>
        <w:tc>
          <w:tcPr>
            <w:tcW w:w="1467" w:type="dxa"/>
            <w:tcBorders>
              <w:top w:val="single" w:color="auto" w:sz="6" w:space="0"/>
              <w:left w:val="single" w:color="auto" w:sz="6" w:space="0"/>
              <w:bottom w:val="single" w:color="auto" w:sz="6" w:space="0"/>
              <w:right w:val="single" w:color="auto" w:sz="6" w:space="0"/>
            </w:tcBorders>
            <w:vAlign w:val="center"/>
          </w:tcPr>
          <w:p w14:paraId="707B004D">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学  历</w:t>
            </w:r>
          </w:p>
        </w:tc>
        <w:tc>
          <w:tcPr>
            <w:tcW w:w="1328" w:type="dxa"/>
            <w:gridSpan w:val="2"/>
            <w:tcBorders>
              <w:top w:val="single" w:color="auto" w:sz="6" w:space="0"/>
              <w:left w:val="single" w:color="auto" w:sz="6" w:space="0"/>
              <w:bottom w:val="single" w:color="auto" w:sz="6" w:space="0"/>
              <w:right w:val="single" w:color="auto" w:sz="6" w:space="0"/>
            </w:tcBorders>
            <w:vAlign w:val="center"/>
          </w:tcPr>
          <w:p w14:paraId="0B474707">
            <w:pPr>
              <w:wordWrap w:val="0"/>
              <w:adjustRightInd w:val="0"/>
              <w:snapToGrid w:val="0"/>
              <w:spacing w:line="400" w:lineRule="exact"/>
              <w:jc w:val="center"/>
              <w:rPr>
                <w:rFonts w:hAnsi="宋体" w:cs="宋体"/>
                <w:snapToGrid w:val="0"/>
                <w:color w:val="auto"/>
                <w:kern w:val="0"/>
                <w:sz w:val="21"/>
                <w:szCs w:val="21"/>
                <w:highlight w:val="none"/>
              </w:rPr>
            </w:pPr>
          </w:p>
        </w:tc>
        <w:tc>
          <w:tcPr>
            <w:tcW w:w="1707" w:type="dxa"/>
            <w:gridSpan w:val="2"/>
            <w:tcBorders>
              <w:top w:val="single" w:color="auto" w:sz="6" w:space="0"/>
              <w:left w:val="single" w:color="auto" w:sz="6" w:space="0"/>
              <w:bottom w:val="single" w:color="auto" w:sz="6" w:space="0"/>
              <w:right w:val="single" w:color="auto" w:sz="6" w:space="0"/>
            </w:tcBorders>
            <w:vAlign w:val="center"/>
          </w:tcPr>
          <w:p w14:paraId="2614E82F">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拟在本项目任职</w:t>
            </w:r>
          </w:p>
        </w:tc>
        <w:tc>
          <w:tcPr>
            <w:tcW w:w="1798" w:type="dxa"/>
            <w:tcBorders>
              <w:top w:val="single" w:color="auto" w:sz="6" w:space="0"/>
              <w:left w:val="single" w:color="auto" w:sz="6" w:space="0"/>
              <w:bottom w:val="single" w:color="auto" w:sz="6" w:space="0"/>
              <w:right w:val="single" w:color="auto" w:sz="6" w:space="0"/>
            </w:tcBorders>
            <w:vAlign w:val="center"/>
          </w:tcPr>
          <w:p w14:paraId="6857EDE9">
            <w:pPr>
              <w:wordWrap w:val="0"/>
              <w:adjustRightInd w:val="0"/>
              <w:snapToGrid w:val="0"/>
              <w:spacing w:line="400" w:lineRule="exact"/>
              <w:jc w:val="center"/>
              <w:rPr>
                <w:rFonts w:hAnsi="宋体" w:cs="宋体"/>
                <w:snapToGrid w:val="0"/>
                <w:color w:val="auto"/>
                <w:kern w:val="0"/>
                <w:sz w:val="21"/>
                <w:szCs w:val="21"/>
                <w:highlight w:val="none"/>
              </w:rPr>
            </w:pPr>
          </w:p>
        </w:tc>
      </w:tr>
      <w:tr w14:paraId="5DADE4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613" w:type="dxa"/>
            <w:gridSpan w:val="2"/>
            <w:tcBorders>
              <w:top w:val="single" w:color="auto" w:sz="6" w:space="0"/>
              <w:left w:val="single" w:color="auto" w:sz="6" w:space="0"/>
              <w:bottom w:val="single" w:color="auto" w:sz="6" w:space="0"/>
              <w:right w:val="single" w:color="auto" w:sz="6" w:space="0"/>
            </w:tcBorders>
            <w:vAlign w:val="center"/>
          </w:tcPr>
          <w:p w14:paraId="619FBE74">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参加工作时间</w:t>
            </w:r>
          </w:p>
        </w:tc>
        <w:tc>
          <w:tcPr>
            <w:tcW w:w="2824" w:type="dxa"/>
            <w:gridSpan w:val="3"/>
            <w:tcBorders>
              <w:top w:val="single" w:color="auto" w:sz="6" w:space="0"/>
              <w:left w:val="single" w:color="auto" w:sz="6" w:space="0"/>
              <w:bottom w:val="single" w:color="auto" w:sz="6" w:space="0"/>
              <w:right w:val="single" w:color="auto" w:sz="6" w:space="0"/>
            </w:tcBorders>
            <w:vAlign w:val="center"/>
          </w:tcPr>
          <w:p w14:paraId="264C9C75">
            <w:pPr>
              <w:wordWrap w:val="0"/>
              <w:adjustRightInd w:val="0"/>
              <w:snapToGrid w:val="0"/>
              <w:spacing w:line="400" w:lineRule="exact"/>
              <w:jc w:val="center"/>
              <w:rPr>
                <w:rFonts w:hAnsi="宋体" w:cs="宋体"/>
                <w:snapToGrid w:val="0"/>
                <w:color w:val="auto"/>
                <w:kern w:val="0"/>
                <w:sz w:val="21"/>
                <w:szCs w:val="21"/>
                <w:highlight w:val="none"/>
              </w:rPr>
            </w:pPr>
          </w:p>
        </w:tc>
        <w:tc>
          <w:tcPr>
            <w:tcW w:w="3035" w:type="dxa"/>
            <w:gridSpan w:val="4"/>
            <w:tcBorders>
              <w:top w:val="single" w:color="auto" w:sz="6" w:space="0"/>
              <w:left w:val="single" w:color="auto" w:sz="6" w:space="0"/>
              <w:bottom w:val="single" w:color="auto" w:sz="6" w:space="0"/>
              <w:right w:val="single" w:color="auto" w:sz="6" w:space="0"/>
            </w:tcBorders>
            <w:vAlign w:val="center"/>
          </w:tcPr>
          <w:p w14:paraId="566C100A">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从事监理工作年限</w:t>
            </w:r>
          </w:p>
        </w:tc>
        <w:tc>
          <w:tcPr>
            <w:tcW w:w="1798" w:type="dxa"/>
            <w:tcBorders>
              <w:top w:val="single" w:color="auto" w:sz="6" w:space="0"/>
              <w:left w:val="single" w:color="auto" w:sz="6" w:space="0"/>
              <w:bottom w:val="single" w:color="auto" w:sz="6" w:space="0"/>
              <w:right w:val="single" w:color="auto" w:sz="6" w:space="0"/>
            </w:tcBorders>
            <w:vAlign w:val="center"/>
          </w:tcPr>
          <w:p w14:paraId="70F18B4F">
            <w:pPr>
              <w:wordWrap w:val="0"/>
              <w:adjustRightInd w:val="0"/>
              <w:snapToGrid w:val="0"/>
              <w:spacing w:line="400" w:lineRule="exact"/>
              <w:jc w:val="center"/>
              <w:rPr>
                <w:rFonts w:hAnsi="宋体" w:cs="宋体"/>
                <w:snapToGrid w:val="0"/>
                <w:color w:val="auto"/>
                <w:kern w:val="0"/>
                <w:sz w:val="21"/>
                <w:szCs w:val="21"/>
                <w:highlight w:val="none"/>
              </w:rPr>
            </w:pPr>
          </w:p>
        </w:tc>
      </w:tr>
      <w:tr w14:paraId="6DA6F4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2" w:hRule="exact"/>
        </w:trPr>
        <w:tc>
          <w:tcPr>
            <w:tcW w:w="1613" w:type="dxa"/>
            <w:gridSpan w:val="2"/>
            <w:tcBorders>
              <w:top w:val="single" w:color="auto" w:sz="6" w:space="0"/>
              <w:left w:val="single" w:color="auto" w:sz="6" w:space="0"/>
              <w:bottom w:val="single" w:color="auto" w:sz="6" w:space="0"/>
              <w:right w:val="single" w:color="auto" w:sz="6" w:space="0"/>
            </w:tcBorders>
            <w:vAlign w:val="center"/>
          </w:tcPr>
          <w:p w14:paraId="50945053">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持证情况</w:t>
            </w:r>
          </w:p>
        </w:tc>
        <w:tc>
          <w:tcPr>
            <w:tcW w:w="7657" w:type="dxa"/>
            <w:gridSpan w:val="8"/>
            <w:tcBorders>
              <w:top w:val="single" w:color="auto" w:sz="6" w:space="0"/>
              <w:left w:val="single" w:color="auto" w:sz="6" w:space="0"/>
              <w:bottom w:val="single" w:color="auto" w:sz="6" w:space="0"/>
              <w:right w:val="single" w:color="auto" w:sz="6" w:space="0"/>
            </w:tcBorders>
            <w:vAlign w:val="center"/>
          </w:tcPr>
          <w:p w14:paraId="62DD7135">
            <w:pPr>
              <w:wordWrap w:val="0"/>
              <w:adjustRightInd w:val="0"/>
              <w:snapToGrid w:val="0"/>
              <w:spacing w:line="400" w:lineRule="exact"/>
              <w:jc w:val="left"/>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1</w:t>
            </w:r>
            <w:r>
              <w:rPr>
                <w:rFonts w:hint="eastAsia" w:hAnsi="宋体" w:cs="宋体"/>
                <w:snapToGrid w:val="0"/>
                <w:color w:val="auto"/>
                <w:kern w:val="0"/>
                <w:sz w:val="21"/>
                <w:szCs w:val="28"/>
                <w:highlight w:val="none"/>
              </w:rPr>
              <w:t>．</w:t>
            </w:r>
            <w:r>
              <w:rPr>
                <w:rFonts w:hint="eastAsia" w:hAnsi="宋体" w:cs="宋体"/>
                <w:snapToGrid w:val="0"/>
                <w:color w:val="auto"/>
                <w:kern w:val="0"/>
                <w:sz w:val="21"/>
                <w:szCs w:val="21"/>
                <w:highlight w:val="none"/>
              </w:rPr>
              <w:t>名称：                               证书号：</w:t>
            </w:r>
          </w:p>
          <w:p w14:paraId="1AEF7FE9">
            <w:pPr>
              <w:wordWrap w:val="0"/>
              <w:adjustRightInd w:val="0"/>
              <w:snapToGrid w:val="0"/>
              <w:spacing w:line="400" w:lineRule="exact"/>
              <w:jc w:val="left"/>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2</w:t>
            </w:r>
            <w:r>
              <w:rPr>
                <w:rFonts w:hint="eastAsia" w:hAnsi="宋体" w:cs="宋体"/>
                <w:snapToGrid w:val="0"/>
                <w:color w:val="auto"/>
                <w:kern w:val="0"/>
                <w:sz w:val="21"/>
                <w:szCs w:val="28"/>
                <w:highlight w:val="none"/>
              </w:rPr>
              <w:t>．</w:t>
            </w:r>
            <w:r>
              <w:rPr>
                <w:rFonts w:hint="eastAsia" w:hAnsi="宋体" w:cs="宋体"/>
                <w:snapToGrid w:val="0"/>
                <w:color w:val="auto"/>
                <w:kern w:val="0"/>
                <w:sz w:val="21"/>
                <w:szCs w:val="21"/>
                <w:highlight w:val="none"/>
              </w:rPr>
              <w:t>名称：                               证书号：</w:t>
            </w:r>
          </w:p>
          <w:p w14:paraId="6A8FC6B9">
            <w:pPr>
              <w:wordWrap w:val="0"/>
              <w:adjustRightInd w:val="0"/>
              <w:snapToGrid w:val="0"/>
              <w:spacing w:line="400" w:lineRule="exact"/>
              <w:jc w:val="left"/>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3</w:t>
            </w:r>
            <w:r>
              <w:rPr>
                <w:rFonts w:hint="eastAsia" w:hAnsi="宋体" w:cs="宋体"/>
                <w:snapToGrid w:val="0"/>
                <w:color w:val="auto"/>
                <w:kern w:val="0"/>
                <w:sz w:val="21"/>
                <w:szCs w:val="28"/>
                <w:highlight w:val="none"/>
              </w:rPr>
              <w:t>．……</w:t>
            </w:r>
          </w:p>
        </w:tc>
      </w:tr>
      <w:tr w14:paraId="3A3814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10"/>
            <w:tcBorders>
              <w:top w:val="single" w:color="auto" w:sz="6" w:space="0"/>
              <w:left w:val="single" w:color="auto" w:sz="6" w:space="0"/>
              <w:bottom w:val="single" w:color="auto" w:sz="6" w:space="0"/>
              <w:right w:val="single" w:color="auto" w:sz="6" w:space="0"/>
            </w:tcBorders>
            <w:vAlign w:val="center"/>
          </w:tcPr>
          <w:p w14:paraId="1E7D9517">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主要工作经历</w:t>
            </w:r>
          </w:p>
        </w:tc>
      </w:tr>
      <w:tr w14:paraId="31B263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643" w:type="dxa"/>
            <w:tcBorders>
              <w:top w:val="single" w:color="auto" w:sz="6" w:space="0"/>
              <w:left w:val="single" w:color="auto" w:sz="6" w:space="0"/>
              <w:bottom w:val="single" w:color="auto" w:sz="6" w:space="0"/>
              <w:right w:val="single" w:color="auto" w:sz="4" w:space="0"/>
            </w:tcBorders>
            <w:vAlign w:val="center"/>
          </w:tcPr>
          <w:p w14:paraId="1CF8EA0C">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序号</w:t>
            </w:r>
          </w:p>
        </w:tc>
        <w:tc>
          <w:tcPr>
            <w:tcW w:w="2100" w:type="dxa"/>
            <w:gridSpan w:val="2"/>
            <w:tcBorders>
              <w:top w:val="single" w:color="auto" w:sz="6" w:space="0"/>
              <w:left w:val="single" w:color="auto" w:sz="4" w:space="0"/>
              <w:bottom w:val="single" w:color="auto" w:sz="6" w:space="0"/>
              <w:right w:val="single" w:color="auto" w:sz="6" w:space="0"/>
            </w:tcBorders>
            <w:vAlign w:val="center"/>
          </w:tcPr>
          <w:p w14:paraId="0EB24DDF">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项目名称</w:t>
            </w:r>
          </w:p>
        </w:tc>
        <w:tc>
          <w:tcPr>
            <w:tcW w:w="2382" w:type="dxa"/>
            <w:gridSpan w:val="3"/>
            <w:tcBorders>
              <w:top w:val="single" w:color="auto" w:sz="6" w:space="0"/>
              <w:left w:val="single" w:color="auto" w:sz="6" w:space="0"/>
              <w:bottom w:val="single" w:color="auto" w:sz="6" w:space="0"/>
              <w:right w:val="single" w:color="auto" w:sz="6" w:space="0"/>
            </w:tcBorders>
            <w:vAlign w:val="center"/>
          </w:tcPr>
          <w:p w14:paraId="13715346">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委托人</w:t>
            </w:r>
          </w:p>
        </w:tc>
        <w:tc>
          <w:tcPr>
            <w:tcW w:w="1800" w:type="dxa"/>
            <w:gridSpan w:val="2"/>
            <w:tcBorders>
              <w:top w:val="single" w:color="auto" w:sz="6" w:space="0"/>
              <w:left w:val="single" w:color="auto" w:sz="6" w:space="0"/>
              <w:bottom w:val="single" w:color="auto" w:sz="6" w:space="0"/>
              <w:right w:val="single" w:color="auto" w:sz="6" w:space="0"/>
            </w:tcBorders>
            <w:vAlign w:val="center"/>
          </w:tcPr>
          <w:p w14:paraId="16E9FFC7">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担任职务</w:t>
            </w:r>
          </w:p>
        </w:tc>
        <w:tc>
          <w:tcPr>
            <w:tcW w:w="2345" w:type="dxa"/>
            <w:gridSpan w:val="2"/>
            <w:tcBorders>
              <w:top w:val="single" w:color="auto" w:sz="6" w:space="0"/>
              <w:left w:val="single" w:color="auto" w:sz="6" w:space="0"/>
              <w:bottom w:val="single" w:color="auto" w:sz="6" w:space="0"/>
              <w:right w:val="single" w:color="auto" w:sz="6" w:space="0"/>
            </w:tcBorders>
            <w:vAlign w:val="center"/>
          </w:tcPr>
          <w:p w14:paraId="22935CFC">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起止时间</w:t>
            </w:r>
          </w:p>
        </w:tc>
      </w:tr>
      <w:tr w14:paraId="1CD13B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9" w:hRule="exact"/>
        </w:trPr>
        <w:tc>
          <w:tcPr>
            <w:tcW w:w="643" w:type="dxa"/>
            <w:tcBorders>
              <w:top w:val="single" w:color="auto" w:sz="6" w:space="0"/>
              <w:left w:val="single" w:color="auto" w:sz="6" w:space="0"/>
              <w:bottom w:val="single" w:color="auto" w:sz="6" w:space="0"/>
              <w:right w:val="single" w:color="auto" w:sz="4" w:space="0"/>
            </w:tcBorders>
            <w:vAlign w:val="center"/>
          </w:tcPr>
          <w:p w14:paraId="2B8E3888">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1</w:t>
            </w:r>
          </w:p>
        </w:tc>
        <w:tc>
          <w:tcPr>
            <w:tcW w:w="2100" w:type="dxa"/>
            <w:gridSpan w:val="2"/>
            <w:tcBorders>
              <w:top w:val="single" w:color="auto" w:sz="6" w:space="0"/>
              <w:left w:val="single" w:color="auto" w:sz="4" w:space="0"/>
              <w:bottom w:val="single" w:color="auto" w:sz="6" w:space="0"/>
              <w:right w:val="single" w:color="auto" w:sz="6" w:space="0"/>
            </w:tcBorders>
            <w:vAlign w:val="center"/>
          </w:tcPr>
          <w:p w14:paraId="630B57CD">
            <w:pPr>
              <w:wordWrap w:val="0"/>
              <w:adjustRightInd w:val="0"/>
              <w:snapToGrid w:val="0"/>
              <w:spacing w:line="400" w:lineRule="exact"/>
              <w:jc w:val="center"/>
              <w:rPr>
                <w:rFonts w:hAnsi="宋体" w:cs="宋体"/>
                <w:snapToGrid w:val="0"/>
                <w:color w:val="auto"/>
                <w:kern w:val="0"/>
                <w:sz w:val="21"/>
                <w:szCs w:val="21"/>
                <w:highlight w:val="none"/>
              </w:rPr>
            </w:pPr>
          </w:p>
        </w:tc>
        <w:tc>
          <w:tcPr>
            <w:tcW w:w="2382" w:type="dxa"/>
            <w:gridSpan w:val="3"/>
            <w:tcBorders>
              <w:top w:val="single" w:color="auto" w:sz="6" w:space="0"/>
              <w:left w:val="single" w:color="auto" w:sz="6" w:space="0"/>
              <w:bottom w:val="single" w:color="auto" w:sz="6" w:space="0"/>
              <w:right w:val="single" w:color="auto" w:sz="6" w:space="0"/>
            </w:tcBorders>
            <w:vAlign w:val="center"/>
          </w:tcPr>
          <w:p w14:paraId="513161BA">
            <w:pPr>
              <w:wordWrap w:val="0"/>
              <w:adjustRightInd w:val="0"/>
              <w:snapToGrid w:val="0"/>
              <w:spacing w:line="400" w:lineRule="exact"/>
              <w:jc w:val="center"/>
              <w:rPr>
                <w:rFonts w:hAnsi="宋体" w:cs="宋体"/>
                <w:snapToGrid w:val="0"/>
                <w:color w:val="auto"/>
                <w:kern w:val="0"/>
                <w:sz w:val="21"/>
                <w:szCs w:val="21"/>
                <w:highlight w:val="none"/>
              </w:rPr>
            </w:pPr>
          </w:p>
        </w:tc>
        <w:tc>
          <w:tcPr>
            <w:tcW w:w="1800" w:type="dxa"/>
            <w:gridSpan w:val="2"/>
            <w:tcBorders>
              <w:top w:val="single" w:color="auto" w:sz="6" w:space="0"/>
              <w:left w:val="single" w:color="auto" w:sz="6" w:space="0"/>
              <w:bottom w:val="single" w:color="auto" w:sz="6" w:space="0"/>
              <w:right w:val="single" w:color="auto" w:sz="6" w:space="0"/>
            </w:tcBorders>
            <w:vAlign w:val="center"/>
          </w:tcPr>
          <w:p w14:paraId="60BB2319">
            <w:pPr>
              <w:wordWrap w:val="0"/>
              <w:adjustRightInd w:val="0"/>
              <w:snapToGrid w:val="0"/>
              <w:spacing w:line="400" w:lineRule="exact"/>
              <w:jc w:val="center"/>
              <w:rPr>
                <w:rFonts w:hAnsi="宋体" w:cs="宋体"/>
                <w:snapToGrid w:val="0"/>
                <w:color w:val="auto"/>
                <w:kern w:val="0"/>
                <w:sz w:val="21"/>
                <w:szCs w:val="21"/>
                <w:highlight w:val="none"/>
              </w:rPr>
            </w:pPr>
          </w:p>
        </w:tc>
        <w:tc>
          <w:tcPr>
            <w:tcW w:w="2345" w:type="dxa"/>
            <w:gridSpan w:val="2"/>
            <w:tcBorders>
              <w:top w:val="single" w:color="auto" w:sz="6" w:space="0"/>
              <w:left w:val="single" w:color="auto" w:sz="6" w:space="0"/>
              <w:bottom w:val="single" w:color="auto" w:sz="6" w:space="0"/>
              <w:right w:val="single" w:color="auto" w:sz="6" w:space="0"/>
            </w:tcBorders>
            <w:vAlign w:val="center"/>
          </w:tcPr>
          <w:p w14:paraId="69301531">
            <w:pPr>
              <w:wordWrap w:val="0"/>
              <w:adjustRightInd w:val="0"/>
              <w:snapToGrid w:val="0"/>
              <w:spacing w:line="400" w:lineRule="exact"/>
              <w:jc w:val="center"/>
              <w:rPr>
                <w:rFonts w:hAnsi="宋体" w:cs="宋体"/>
                <w:snapToGrid w:val="0"/>
                <w:color w:val="auto"/>
                <w:kern w:val="0"/>
                <w:sz w:val="21"/>
                <w:szCs w:val="21"/>
                <w:highlight w:val="none"/>
              </w:rPr>
            </w:pPr>
          </w:p>
        </w:tc>
      </w:tr>
      <w:tr w14:paraId="326838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643" w:type="dxa"/>
            <w:tcBorders>
              <w:top w:val="single" w:color="auto" w:sz="6" w:space="0"/>
              <w:left w:val="single" w:color="auto" w:sz="6" w:space="0"/>
              <w:bottom w:val="single" w:color="auto" w:sz="6" w:space="0"/>
              <w:right w:val="single" w:color="auto" w:sz="4" w:space="0"/>
            </w:tcBorders>
            <w:vAlign w:val="center"/>
          </w:tcPr>
          <w:p w14:paraId="4FE547E1">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2</w:t>
            </w:r>
          </w:p>
        </w:tc>
        <w:tc>
          <w:tcPr>
            <w:tcW w:w="2100" w:type="dxa"/>
            <w:gridSpan w:val="2"/>
            <w:tcBorders>
              <w:top w:val="single" w:color="auto" w:sz="6" w:space="0"/>
              <w:left w:val="single" w:color="auto" w:sz="4" w:space="0"/>
              <w:bottom w:val="single" w:color="auto" w:sz="6" w:space="0"/>
              <w:right w:val="single" w:color="auto" w:sz="6" w:space="0"/>
            </w:tcBorders>
            <w:vAlign w:val="center"/>
          </w:tcPr>
          <w:p w14:paraId="4F3C8C0F">
            <w:pPr>
              <w:wordWrap w:val="0"/>
              <w:adjustRightInd w:val="0"/>
              <w:snapToGrid w:val="0"/>
              <w:spacing w:line="400" w:lineRule="exact"/>
              <w:jc w:val="center"/>
              <w:rPr>
                <w:rFonts w:hAnsi="宋体" w:cs="宋体"/>
                <w:snapToGrid w:val="0"/>
                <w:color w:val="auto"/>
                <w:kern w:val="0"/>
                <w:sz w:val="21"/>
                <w:szCs w:val="21"/>
                <w:highlight w:val="none"/>
              </w:rPr>
            </w:pPr>
          </w:p>
        </w:tc>
        <w:tc>
          <w:tcPr>
            <w:tcW w:w="2382" w:type="dxa"/>
            <w:gridSpan w:val="3"/>
            <w:tcBorders>
              <w:top w:val="single" w:color="auto" w:sz="6" w:space="0"/>
              <w:left w:val="single" w:color="auto" w:sz="6" w:space="0"/>
              <w:bottom w:val="single" w:color="auto" w:sz="6" w:space="0"/>
              <w:right w:val="single" w:color="auto" w:sz="6" w:space="0"/>
            </w:tcBorders>
            <w:vAlign w:val="center"/>
          </w:tcPr>
          <w:p w14:paraId="1D20D901">
            <w:pPr>
              <w:wordWrap w:val="0"/>
              <w:adjustRightInd w:val="0"/>
              <w:snapToGrid w:val="0"/>
              <w:spacing w:line="400" w:lineRule="exact"/>
              <w:jc w:val="center"/>
              <w:rPr>
                <w:rFonts w:hAnsi="宋体" w:cs="宋体"/>
                <w:snapToGrid w:val="0"/>
                <w:color w:val="auto"/>
                <w:kern w:val="0"/>
                <w:sz w:val="21"/>
                <w:szCs w:val="21"/>
                <w:highlight w:val="none"/>
              </w:rPr>
            </w:pPr>
          </w:p>
        </w:tc>
        <w:tc>
          <w:tcPr>
            <w:tcW w:w="1800" w:type="dxa"/>
            <w:gridSpan w:val="2"/>
            <w:tcBorders>
              <w:top w:val="single" w:color="auto" w:sz="6" w:space="0"/>
              <w:left w:val="single" w:color="auto" w:sz="6" w:space="0"/>
              <w:bottom w:val="single" w:color="auto" w:sz="6" w:space="0"/>
              <w:right w:val="single" w:color="auto" w:sz="6" w:space="0"/>
            </w:tcBorders>
            <w:vAlign w:val="center"/>
          </w:tcPr>
          <w:p w14:paraId="08668C20">
            <w:pPr>
              <w:wordWrap w:val="0"/>
              <w:adjustRightInd w:val="0"/>
              <w:snapToGrid w:val="0"/>
              <w:spacing w:line="400" w:lineRule="exact"/>
              <w:jc w:val="center"/>
              <w:rPr>
                <w:rFonts w:hAnsi="宋体" w:cs="宋体"/>
                <w:snapToGrid w:val="0"/>
                <w:color w:val="auto"/>
                <w:kern w:val="0"/>
                <w:sz w:val="21"/>
                <w:szCs w:val="21"/>
                <w:highlight w:val="none"/>
              </w:rPr>
            </w:pPr>
          </w:p>
        </w:tc>
        <w:tc>
          <w:tcPr>
            <w:tcW w:w="2345" w:type="dxa"/>
            <w:gridSpan w:val="2"/>
            <w:tcBorders>
              <w:top w:val="single" w:color="auto" w:sz="6" w:space="0"/>
              <w:left w:val="single" w:color="auto" w:sz="6" w:space="0"/>
              <w:bottom w:val="single" w:color="auto" w:sz="6" w:space="0"/>
              <w:right w:val="single" w:color="auto" w:sz="6" w:space="0"/>
            </w:tcBorders>
            <w:vAlign w:val="center"/>
          </w:tcPr>
          <w:p w14:paraId="452493A2">
            <w:pPr>
              <w:wordWrap w:val="0"/>
              <w:adjustRightInd w:val="0"/>
              <w:snapToGrid w:val="0"/>
              <w:spacing w:line="400" w:lineRule="exact"/>
              <w:jc w:val="center"/>
              <w:rPr>
                <w:rFonts w:hAnsi="宋体" w:cs="宋体"/>
                <w:snapToGrid w:val="0"/>
                <w:color w:val="auto"/>
                <w:kern w:val="0"/>
                <w:sz w:val="21"/>
                <w:szCs w:val="21"/>
                <w:highlight w:val="none"/>
              </w:rPr>
            </w:pPr>
          </w:p>
        </w:tc>
      </w:tr>
      <w:tr w14:paraId="6F1336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643" w:type="dxa"/>
            <w:tcBorders>
              <w:top w:val="single" w:color="auto" w:sz="6" w:space="0"/>
              <w:left w:val="single" w:color="auto" w:sz="6" w:space="0"/>
              <w:bottom w:val="single" w:color="auto" w:sz="6" w:space="0"/>
              <w:right w:val="single" w:color="auto" w:sz="4" w:space="0"/>
            </w:tcBorders>
            <w:vAlign w:val="center"/>
          </w:tcPr>
          <w:p w14:paraId="204F3582">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3</w:t>
            </w:r>
          </w:p>
        </w:tc>
        <w:tc>
          <w:tcPr>
            <w:tcW w:w="2100" w:type="dxa"/>
            <w:gridSpan w:val="2"/>
            <w:tcBorders>
              <w:top w:val="single" w:color="auto" w:sz="6" w:space="0"/>
              <w:left w:val="single" w:color="auto" w:sz="4" w:space="0"/>
              <w:bottom w:val="single" w:color="auto" w:sz="6" w:space="0"/>
              <w:right w:val="single" w:color="auto" w:sz="6" w:space="0"/>
            </w:tcBorders>
            <w:vAlign w:val="center"/>
          </w:tcPr>
          <w:p w14:paraId="1D118068">
            <w:pPr>
              <w:wordWrap w:val="0"/>
              <w:adjustRightInd w:val="0"/>
              <w:snapToGrid w:val="0"/>
              <w:spacing w:line="400" w:lineRule="exact"/>
              <w:jc w:val="center"/>
              <w:rPr>
                <w:rFonts w:hAnsi="宋体" w:cs="宋体"/>
                <w:snapToGrid w:val="0"/>
                <w:color w:val="auto"/>
                <w:kern w:val="0"/>
                <w:sz w:val="21"/>
                <w:szCs w:val="21"/>
                <w:highlight w:val="none"/>
              </w:rPr>
            </w:pPr>
          </w:p>
        </w:tc>
        <w:tc>
          <w:tcPr>
            <w:tcW w:w="2382" w:type="dxa"/>
            <w:gridSpan w:val="3"/>
            <w:tcBorders>
              <w:top w:val="single" w:color="auto" w:sz="6" w:space="0"/>
              <w:left w:val="single" w:color="auto" w:sz="6" w:space="0"/>
              <w:bottom w:val="single" w:color="auto" w:sz="6" w:space="0"/>
              <w:right w:val="single" w:color="auto" w:sz="6" w:space="0"/>
            </w:tcBorders>
            <w:vAlign w:val="center"/>
          </w:tcPr>
          <w:p w14:paraId="4DFEFB81">
            <w:pPr>
              <w:wordWrap w:val="0"/>
              <w:adjustRightInd w:val="0"/>
              <w:snapToGrid w:val="0"/>
              <w:spacing w:line="400" w:lineRule="exact"/>
              <w:jc w:val="center"/>
              <w:rPr>
                <w:rFonts w:hAnsi="宋体" w:cs="宋体"/>
                <w:snapToGrid w:val="0"/>
                <w:color w:val="auto"/>
                <w:kern w:val="0"/>
                <w:sz w:val="21"/>
                <w:szCs w:val="21"/>
                <w:highlight w:val="none"/>
              </w:rPr>
            </w:pPr>
          </w:p>
        </w:tc>
        <w:tc>
          <w:tcPr>
            <w:tcW w:w="1800" w:type="dxa"/>
            <w:gridSpan w:val="2"/>
            <w:tcBorders>
              <w:top w:val="single" w:color="auto" w:sz="6" w:space="0"/>
              <w:left w:val="single" w:color="auto" w:sz="6" w:space="0"/>
              <w:bottom w:val="single" w:color="auto" w:sz="6" w:space="0"/>
              <w:right w:val="single" w:color="auto" w:sz="6" w:space="0"/>
            </w:tcBorders>
            <w:vAlign w:val="center"/>
          </w:tcPr>
          <w:p w14:paraId="1A9DB9BB">
            <w:pPr>
              <w:wordWrap w:val="0"/>
              <w:adjustRightInd w:val="0"/>
              <w:snapToGrid w:val="0"/>
              <w:spacing w:line="400" w:lineRule="exact"/>
              <w:jc w:val="center"/>
              <w:rPr>
                <w:rFonts w:hAnsi="宋体" w:cs="宋体"/>
                <w:snapToGrid w:val="0"/>
                <w:color w:val="auto"/>
                <w:kern w:val="0"/>
                <w:sz w:val="21"/>
                <w:szCs w:val="21"/>
                <w:highlight w:val="none"/>
              </w:rPr>
            </w:pPr>
          </w:p>
        </w:tc>
        <w:tc>
          <w:tcPr>
            <w:tcW w:w="2345" w:type="dxa"/>
            <w:gridSpan w:val="2"/>
            <w:tcBorders>
              <w:top w:val="single" w:color="auto" w:sz="6" w:space="0"/>
              <w:left w:val="single" w:color="auto" w:sz="6" w:space="0"/>
              <w:bottom w:val="single" w:color="auto" w:sz="6" w:space="0"/>
              <w:right w:val="single" w:color="auto" w:sz="6" w:space="0"/>
            </w:tcBorders>
            <w:vAlign w:val="center"/>
          </w:tcPr>
          <w:p w14:paraId="1091CF41">
            <w:pPr>
              <w:wordWrap w:val="0"/>
              <w:adjustRightInd w:val="0"/>
              <w:snapToGrid w:val="0"/>
              <w:spacing w:line="400" w:lineRule="exact"/>
              <w:jc w:val="center"/>
              <w:rPr>
                <w:rFonts w:hAnsi="宋体" w:cs="宋体"/>
                <w:snapToGrid w:val="0"/>
                <w:color w:val="auto"/>
                <w:kern w:val="0"/>
                <w:sz w:val="21"/>
                <w:szCs w:val="21"/>
                <w:highlight w:val="none"/>
              </w:rPr>
            </w:pPr>
          </w:p>
        </w:tc>
      </w:tr>
      <w:tr w14:paraId="01F075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643" w:type="dxa"/>
            <w:tcBorders>
              <w:top w:val="single" w:color="auto" w:sz="6" w:space="0"/>
              <w:left w:val="single" w:color="auto" w:sz="6" w:space="0"/>
              <w:bottom w:val="single" w:color="auto" w:sz="6" w:space="0"/>
              <w:right w:val="single" w:color="auto" w:sz="4" w:space="0"/>
            </w:tcBorders>
            <w:vAlign w:val="center"/>
          </w:tcPr>
          <w:p w14:paraId="37D934DB">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w:t>
            </w:r>
          </w:p>
        </w:tc>
        <w:tc>
          <w:tcPr>
            <w:tcW w:w="2100" w:type="dxa"/>
            <w:gridSpan w:val="2"/>
            <w:tcBorders>
              <w:top w:val="single" w:color="auto" w:sz="6" w:space="0"/>
              <w:left w:val="single" w:color="auto" w:sz="4" w:space="0"/>
              <w:bottom w:val="single" w:color="auto" w:sz="6" w:space="0"/>
              <w:right w:val="single" w:color="auto" w:sz="6" w:space="0"/>
            </w:tcBorders>
            <w:vAlign w:val="center"/>
          </w:tcPr>
          <w:p w14:paraId="14C7A2D0">
            <w:pPr>
              <w:wordWrap w:val="0"/>
              <w:adjustRightInd w:val="0"/>
              <w:snapToGrid w:val="0"/>
              <w:spacing w:line="400" w:lineRule="exact"/>
              <w:jc w:val="center"/>
              <w:rPr>
                <w:rFonts w:hAnsi="宋体" w:cs="宋体"/>
                <w:snapToGrid w:val="0"/>
                <w:color w:val="auto"/>
                <w:kern w:val="0"/>
                <w:sz w:val="21"/>
                <w:szCs w:val="21"/>
                <w:highlight w:val="none"/>
              </w:rPr>
            </w:pPr>
          </w:p>
        </w:tc>
        <w:tc>
          <w:tcPr>
            <w:tcW w:w="2382" w:type="dxa"/>
            <w:gridSpan w:val="3"/>
            <w:tcBorders>
              <w:top w:val="single" w:color="auto" w:sz="6" w:space="0"/>
              <w:left w:val="single" w:color="auto" w:sz="6" w:space="0"/>
              <w:bottom w:val="single" w:color="auto" w:sz="6" w:space="0"/>
              <w:right w:val="single" w:color="auto" w:sz="6" w:space="0"/>
            </w:tcBorders>
            <w:vAlign w:val="center"/>
          </w:tcPr>
          <w:p w14:paraId="21F0F8E6">
            <w:pPr>
              <w:wordWrap w:val="0"/>
              <w:adjustRightInd w:val="0"/>
              <w:snapToGrid w:val="0"/>
              <w:spacing w:line="400" w:lineRule="exact"/>
              <w:jc w:val="center"/>
              <w:rPr>
                <w:rFonts w:hAnsi="宋体" w:cs="宋体"/>
                <w:snapToGrid w:val="0"/>
                <w:color w:val="auto"/>
                <w:kern w:val="0"/>
                <w:sz w:val="21"/>
                <w:szCs w:val="21"/>
                <w:highlight w:val="none"/>
              </w:rPr>
            </w:pPr>
          </w:p>
        </w:tc>
        <w:tc>
          <w:tcPr>
            <w:tcW w:w="1800" w:type="dxa"/>
            <w:gridSpan w:val="2"/>
            <w:tcBorders>
              <w:top w:val="single" w:color="auto" w:sz="6" w:space="0"/>
              <w:left w:val="single" w:color="auto" w:sz="6" w:space="0"/>
              <w:bottom w:val="single" w:color="auto" w:sz="6" w:space="0"/>
              <w:right w:val="single" w:color="auto" w:sz="6" w:space="0"/>
            </w:tcBorders>
            <w:vAlign w:val="center"/>
          </w:tcPr>
          <w:p w14:paraId="31ABB1E2">
            <w:pPr>
              <w:wordWrap w:val="0"/>
              <w:adjustRightInd w:val="0"/>
              <w:snapToGrid w:val="0"/>
              <w:spacing w:line="400" w:lineRule="exact"/>
              <w:jc w:val="center"/>
              <w:rPr>
                <w:rFonts w:hAnsi="宋体" w:cs="宋体"/>
                <w:snapToGrid w:val="0"/>
                <w:color w:val="auto"/>
                <w:kern w:val="0"/>
                <w:sz w:val="21"/>
                <w:szCs w:val="21"/>
                <w:highlight w:val="none"/>
              </w:rPr>
            </w:pPr>
          </w:p>
        </w:tc>
        <w:tc>
          <w:tcPr>
            <w:tcW w:w="2345" w:type="dxa"/>
            <w:gridSpan w:val="2"/>
            <w:tcBorders>
              <w:top w:val="single" w:color="auto" w:sz="6" w:space="0"/>
              <w:left w:val="single" w:color="auto" w:sz="6" w:space="0"/>
              <w:bottom w:val="single" w:color="auto" w:sz="6" w:space="0"/>
              <w:right w:val="single" w:color="auto" w:sz="6" w:space="0"/>
            </w:tcBorders>
            <w:vAlign w:val="center"/>
          </w:tcPr>
          <w:p w14:paraId="7266FC4C">
            <w:pPr>
              <w:wordWrap w:val="0"/>
              <w:adjustRightInd w:val="0"/>
              <w:snapToGrid w:val="0"/>
              <w:spacing w:line="400" w:lineRule="exact"/>
              <w:jc w:val="center"/>
              <w:rPr>
                <w:rFonts w:hAnsi="宋体" w:cs="宋体"/>
                <w:snapToGrid w:val="0"/>
                <w:color w:val="auto"/>
                <w:kern w:val="0"/>
                <w:sz w:val="21"/>
                <w:szCs w:val="21"/>
                <w:highlight w:val="none"/>
              </w:rPr>
            </w:pPr>
          </w:p>
        </w:tc>
      </w:tr>
    </w:tbl>
    <w:p w14:paraId="77C02387">
      <w:pPr>
        <w:pStyle w:val="73"/>
        <w:wordWrap w:val="0"/>
        <w:adjustRightInd w:val="0"/>
        <w:snapToGrid w:val="0"/>
        <w:spacing w:line="400" w:lineRule="exact"/>
        <w:rPr>
          <w:rFonts w:hAnsi="宋体" w:cs="宋体"/>
          <w:snapToGrid w:val="0"/>
          <w:color w:val="auto"/>
          <w:kern w:val="0"/>
          <w:highlight w:val="none"/>
        </w:rPr>
      </w:pPr>
    </w:p>
    <w:p w14:paraId="51FC9EC7">
      <w:pPr>
        <w:wordWrap w:val="0"/>
        <w:adjustRightInd w:val="0"/>
        <w:snapToGrid w:val="0"/>
        <w:spacing w:line="400" w:lineRule="exact"/>
        <w:ind w:firstLine="420"/>
        <w:rPr>
          <w:rFonts w:hAnsi="宋体" w:cs="宋体"/>
          <w:snapToGrid w:val="0"/>
          <w:color w:val="auto"/>
          <w:kern w:val="0"/>
          <w:sz w:val="21"/>
          <w:szCs w:val="28"/>
          <w:highlight w:val="none"/>
        </w:rPr>
      </w:pPr>
      <w:r>
        <w:rPr>
          <w:rFonts w:hint="eastAsia" w:hAnsi="宋体" w:cs="宋体"/>
          <w:snapToGrid w:val="0"/>
          <w:color w:val="auto"/>
          <w:kern w:val="0"/>
          <w:sz w:val="21"/>
          <w:szCs w:val="28"/>
          <w:highlight w:val="none"/>
        </w:rPr>
        <w:t>说明：</w:t>
      </w:r>
    </w:p>
    <w:p w14:paraId="2C895D48">
      <w:pPr>
        <w:wordWrap w:val="0"/>
        <w:adjustRightInd w:val="0"/>
        <w:snapToGrid w:val="0"/>
        <w:spacing w:line="400" w:lineRule="exact"/>
        <w:ind w:firstLine="420"/>
        <w:rPr>
          <w:rFonts w:hAnsi="宋体" w:cs="宋体"/>
          <w:snapToGrid w:val="0"/>
          <w:color w:val="auto"/>
          <w:kern w:val="0"/>
          <w:sz w:val="21"/>
          <w:szCs w:val="21"/>
          <w:highlight w:val="none"/>
        </w:rPr>
      </w:pPr>
      <w:r>
        <w:rPr>
          <w:rFonts w:hint="eastAsia" w:hAnsi="宋体" w:cs="宋体"/>
          <w:snapToGrid w:val="0"/>
          <w:color w:val="auto"/>
          <w:kern w:val="0"/>
          <w:sz w:val="21"/>
          <w:szCs w:val="28"/>
          <w:highlight w:val="none"/>
        </w:rPr>
        <w:t>1．“其他拟派人员”指项目监理机构中除总监理工程师以外的拟派人员，包括专业监理工程师、监理员、相关服务人员等。以上拟派人员一人一表，</w:t>
      </w:r>
      <w:r>
        <w:rPr>
          <w:rFonts w:hint="eastAsia" w:hAnsi="宋体" w:cs="宋体"/>
          <w:snapToGrid w:val="0"/>
          <w:color w:val="auto"/>
          <w:kern w:val="0"/>
          <w:sz w:val="21"/>
          <w:szCs w:val="21"/>
          <w:highlight w:val="none"/>
        </w:rPr>
        <w:t>并标明序号。</w:t>
      </w:r>
    </w:p>
    <w:p w14:paraId="784C9BD9">
      <w:pPr>
        <w:wordWrap w:val="0"/>
        <w:adjustRightInd w:val="0"/>
        <w:snapToGrid w:val="0"/>
        <w:spacing w:line="400" w:lineRule="exact"/>
        <w:ind w:firstLine="420"/>
        <w:rPr>
          <w:rFonts w:hAnsi="宋体" w:cs="宋体"/>
          <w:snapToGrid w:val="0"/>
          <w:color w:val="auto"/>
          <w:kern w:val="0"/>
          <w:sz w:val="21"/>
          <w:szCs w:val="28"/>
          <w:highlight w:val="none"/>
        </w:rPr>
      </w:pPr>
      <w:r>
        <w:rPr>
          <w:rFonts w:hint="eastAsia" w:hAnsi="宋体" w:cs="宋体"/>
          <w:snapToGrid w:val="0"/>
          <w:color w:val="auto"/>
          <w:kern w:val="0"/>
          <w:sz w:val="21"/>
          <w:szCs w:val="28"/>
          <w:highlight w:val="none"/>
        </w:rPr>
        <w:t>2．每份简历表后应附该拟派人员以下资料：</w:t>
      </w:r>
    </w:p>
    <w:p w14:paraId="1DCEBAA8">
      <w:pPr>
        <w:wordWrap w:val="0"/>
        <w:adjustRightInd w:val="0"/>
        <w:snapToGrid w:val="0"/>
        <w:spacing w:line="400" w:lineRule="exact"/>
        <w:ind w:firstLine="420"/>
        <w:rPr>
          <w:rFonts w:hAnsi="宋体" w:cs="宋体"/>
          <w:snapToGrid w:val="0"/>
          <w:color w:val="auto"/>
          <w:kern w:val="0"/>
          <w:sz w:val="21"/>
          <w:szCs w:val="28"/>
          <w:highlight w:val="none"/>
        </w:rPr>
      </w:pPr>
      <w:r>
        <w:rPr>
          <w:rFonts w:hint="eastAsia" w:hAnsi="宋体" w:cs="宋体"/>
          <w:snapToGrid w:val="0"/>
          <w:color w:val="auto"/>
          <w:kern w:val="0"/>
          <w:sz w:val="21"/>
          <w:szCs w:val="28"/>
          <w:highlight w:val="none"/>
        </w:rPr>
        <w:t>（1）身份证彩色扫描件；</w:t>
      </w:r>
    </w:p>
    <w:p w14:paraId="15883648">
      <w:pPr>
        <w:wordWrap w:val="0"/>
        <w:adjustRightInd w:val="0"/>
        <w:snapToGrid w:val="0"/>
        <w:spacing w:line="400" w:lineRule="exact"/>
        <w:ind w:firstLine="420"/>
        <w:rPr>
          <w:rFonts w:hint="eastAsia" w:hAnsi="宋体" w:eastAsia="宋体" w:cs="宋体"/>
          <w:snapToGrid w:val="0"/>
          <w:color w:val="auto"/>
          <w:kern w:val="0"/>
          <w:sz w:val="21"/>
          <w:szCs w:val="28"/>
          <w:highlight w:val="none"/>
          <w:lang w:val="en-US" w:eastAsia="zh-CN"/>
        </w:rPr>
      </w:pPr>
      <w:r>
        <w:rPr>
          <w:rFonts w:hint="eastAsia" w:hAnsi="宋体" w:cs="宋体"/>
          <w:snapToGrid w:val="0"/>
          <w:color w:val="auto"/>
          <w:kern w:val="0"/>
          <w:sz w:val="21"/>
          <w:szCs w:val="28"/>
          <w:highlight w:val="none"/>
        </w:rPr>
        <w:t>（2）相关证书彩色扫描件</w:t>
      </w:r>
      <w:r>
        <w:rPr>
          <w:rFonts w:hint="eastAsia" w:hAnsi="宋体" w:cs="宋体"/>
          <w:snapToGrid w:val="0"/>
          <w:color w:val="auto"/>
          <w:kern w:val="0"/>
          <w:sz w:val="21"/>
          <w:szCs w:val="28"/>
          <w:highlight w:val="none"/>
          <w:lang w:eastAsia="zh-CN"/>
        </w:rPr>
        <w:t>（</w:t>
      </w:r>
      <w:r>
        <w:rPr>
          <w:rFonts w:hint="eastAsia" w:hAnsi="宋体" w:cs="宋体"/>
          <w:snapToGrid w:val="0"/>
          <w:color w:val="auto"/>
          <w:kern w:val="0"/>
          <w:sz w:val="21"/>
          <w:szCs w:val="28"/>
          <w:highlight w:val="none"/>
        </w:rPr>
        <w:t>须彩色扫描至变更注册栏</w:t>
      </w:r>
      <w:r>
        <w:rPr>
          <w:rFonts w:hint="eastAsia" w:hAnsi="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lang w:val="en-US" w:eastAsia="zh-CN"/>
        </w:rPr>
        <w:t>或</w:t>
      </w:r>
      <w:r>
        <w:rPr>
          <w:rFonts w:hint="eastAsia" w:ascii="宋体" w:hAnsi="宋体" w:eastAsia="宋体" w:cs="宋体"/>
          <w:snapToGrid w:val="0"/>
          <w:color w:val="auto"/>
          <w:kern w:val="0"/>
          <w:sz w:val="21"/>
          <w:szCs w:val="28"/>
          <w:highlight w:val="none"/>
        </w:rPr>
        <w:t>有效期内的有效电子证书</w:t>
      </w:r>
      <w:r>
        <w:rPr>
          <w:rFonts w:hint="eastAsia" w:ascii="宋体" w:hAnsi="宋体" w:eastAsia="宋体" w:cs="宋体"/>
          <w:snapToGrid w:val="0"/>
          <w:color w:val="auto"/>
          <w:kern w:val="0"/>
          <w:sz w:val="21"/>
          <w:szCs w:val="28"/>
          <w:highlight w:val="none"/>
          <w:lang w:eastAsia="zh-CN"/>
        </w:rPr>
        <w:t>，</w:t>
      </w:r>
      <w:r>
        <w:rPr>
          <w:rFonts w:hint="eastAsia" w:hAnsi="宋体" w:cs="宋体"/>
          <w:snapToGrid w:val="0"/>
          <w:color w:val="auto"/>
          <w:kern w:val="0"/>
          <w:sz w:val="21"/>
          <w:szCs w:val="28"/>
          <w:highlight w:val="none"/>
        </w:rPr>
        <w:t>具体要求详见招标文件第一章第三节第</w:t>
      </w:r>
      <w:r>
        <w:rPr>
          <w:rFonts w:hint="eastAsia" w:hAnsi="宋体" w:cs="宋体"/>
          <w:b/>
          <w:bCs/>
          <w:snapToGrid w:val="0"/>
          <w:color w:val="auto"/>
          <w:kern w:val="0"/>
          <w:sz w:val="21"/>
          <w:szCs w:val="28"/>
          <w:highlight w:val="none"/>
        </w:rPr>
        <w:t>15.5</w:t>
      </w:r>
      <w:r>
        <w:rPr>
          <w:rFonts w:hint="eastAsia" w:hAnsi="宋体" w:cs="宋体"/>
          <w:snapToGrid w:val="0"/>
          <w:color w:val="auto"/>
          <w:kern w:val="0"/>
          <w:sz w:val="21"/>
          <w:szCs w:val="28"/>
          <w:highlight w:val="none"/>
        </w:rPr>
        <w:t>条表</w:t>
      </w:r>
      <w:r>
        <w:rPr>
          <w:rFonts w:hint="eastAsia" w:hAnsi="宋体" w:cs="宋体"/>
          <w:b/>
          <w:bCs/>
          <w:snapToGrid w:val="0"/>
          <w:color w:val="auto"/>
          <w:kern w:val="0"/>
          <w:sz w:val="21"/>
          <w:szCs w:val="28"/>
          <w:highlight w:val="none"/>
        </w:rPr>
        <w:t>2</w:t>
      </w:r>
      <w:r>
        <w:rPr>
          <w:rFonts w:hint="eastAsia" w:hAnsi="宋体" w:cs="宋体"/>
          <w:snapToGrid w:val="0"/>
          <w:color w:val="auto"/>
          <w:kern w:val="0"/>
          <w:sz w:val="21"/>
          <w:szCs w:val="28"/>
          <w:highlight w:val="none"/>
        </w:rPr>
        <w:t>《项目监理机构其他人员需求表》“持证要求”栏目</w:t>
      </w:r>
      <w:r>
        <w:rPr>
          <w:rFonts w:hint="eastAsia" w:hAnsi="宋体" w:cs="宋体"/>
          <w:snapToGrid w:val="0"/>
          <w:color w:val="auto"/>
          <w:kern w:val="0"/>
          <w:sz w:val="21"/>
          <w:szCs w:val="28"/>
          <w:highlight w:val="none"/>
          <w:lang w:val="en-US" w:eastAsia="zh-CN"/>
        </w:rPr>
        <w:t>；</w:t>
      </w:r>
    </w:p>
    <w:p w14:paraId="1BFF2D19">
      <w:pPr>
        <w:wordWrap w:val="0"/>
        <w:adjustRightInd w:val="0"/>
        <w:snapToGrid w:val="0"/>
        <w:spacing w:line="400" w:lineRule="exact"/>
        <w:ind w:firstLine="420"/>
        <w:rPr>
          <w:rFonts w:hAnsi="宋体" w:cs="宋体"/>
          <w:snapToGrid w:val="0"/>
          <w:color w:val="auto"/>
          <w:kern w:val="0"/>
          <w:sz w:val="21"/>
          <w:szCs w:val="28"/>
          <w:highlight w:val="none"/>
        </w:rPr>
      </w:pPr>
      <w:r>
        <w:rPr>
          <w:rFonts w:hint="eastAsia" w:hAnsi="宋体" w:cs="宋体"/>
          <w:snapToGrid w:val="0"/>
          <w:color w:val="auto"/>
          <w:kern w:val="0"/>
          <w:sz w:val="21"/>
          <w:szCs w:val="28"/>
          <w:highlight w:val="none"/>
        </w:rPr>
        <w:t>（3）</w:t>
      </w:r>
      <w:r>
        <w:rPr>
          <w:rFonts w:hint="eastAsia" w:ascii="Times New Roman"/>
          <w:snapToGrid w:val="0"/>
          <w:color w:val="auto"/>
          <w:kern w:val="0"/>
          <w:sz w:val="21"/>
          <w:szCs w:val="28"/>
          <w:highlight w:val="none"/>
        </w:rPr>
        <w:t>在本单位缴纳社保的证明</w:t>
      </w:r>
      <w:r>
        <w:rPr>
          <w:rFonts w:hint="eastAsia" w:ascii="宋体" w:hAnsi="宋体" w:eastAsia="宋体" w:cs="宋体"/>
          <w:caps w:val="0"/>
          <w:smallCaps w:val="0"/>
          <w:snapToGrid w:val="0"/>
          <w:color w:val="auto"/>
          <w:spacing w:val="0"/>
          <w:kern w:val="0"/>
          <w:sz w:val="21"/>
          <w:szCs w:val="28"/>
          <w:highlight w:val="none"/>
          <w:lang w:val="en-US" w:eastAsia="zh-CN"/>
        </w:rPr>
        <w:t>（至少一个月，其中必须有202</w:t>
      </w:r>
      <w:r>
        <w:rPr>
          <w:rFonts w:hint="eastAsia" w:hAnsi="宋体" w:cs="宋体"/>
          <w:caps w:val="0"/>
          <w:smallCaps w:val="0"/>
          <w:snapToGrid w:val="0"/>
          <w:color w:val="auto"/>
          <w:spacing w:val="0"/>
          <w:kern w:val="0"/>
          <w:sz w:val="21"/>
          <w:szCs w:val="28"/>
          <w:highlight w:val="none"/>
          <w:lang w:val="en-US" w:eastAsia="zh-CN"/>
        </w:rPr>
        <w:t>6</w:t>
      </w:r>
      <w:r>
        <w:rPr>
          <w:rFonts w:hint="eastAsia" w:ascii="宋体" w:hAnsi="宋体" w:eastAsia="宋体" w:cs="宋体"/>
          <w:caps w:val="0"/>
          <w:smallCaps w:val="0"/>
          <w:snapToGrid w:val="0"/>
          <w:color w:val="auto"/>
          <w:spacing w:val="0"/>
          <w:kern w:val="0"/>
          <w:sz w:val="21"/>
          <w:szCs w:val="28"/>
          <w:highlight w:val="none"/>
          <w:lang w:val="en-US" w:eastAsia="zh-CN"/>
        </w:rPr>
        <w:t>年</w:t>
      </w:r>
      <w:r>
        <w:rPr>
          <w:rFonts w:hint="eastAsia" w:hAnsi="宋体" w:cs="宋体"/>
          <w:caps w:val="0"/>
          <w:smallCaps w:val="0"/>
          <w:snapToGrid w:val="0"/>
          <w:color w:val="auto"/>
          <w:spacing w:val="0"/>
          <w:kern w:val="0"/>
          <w:sz w:val="21"/>
          <w:szCs w:val="28"/>
          <w:highlight w:val="none"/>
          <w:lang w:val="en-US" w:eastAsia="zh-CN"/>
        </w:rPr>
        <w:t>04</w:t>
      </w:r>
      <w:r>
        <w:rPr>
          <w:rFonts w:hint="eastAsia" w:ascii="宋体" w:hAnsi="宋体" w:eastAsia="宋体" w:cs="宋体"/>
          <w:caps w:val="0"/>
          <w:smallCaps w:val="0"/>
          <w:snapToGrid w:val="0"/>
          <w:color w:val="auto"/>
          <w:spacing w:val="0"/>
          <w:kern w:val="0"/>
          <w:sz w:val="21"/>
          <w:szCs w:val="28"/>
          <w:highlight w:val="none"/>
          <w:lang w:val="en-US" w:eastAsia="zh-CN"/>
        </w:rPr>
        <w:t>月）</w:t>
      </w:r>
      <w:r>
        <w:rPr>
          <w:rFonts w:hint="eastAsia" w:ascii="Times New Roman"/>
          <w:snapToGrid w:val="0"/>
          <w:color w:val="auto"/>
          <w:kern w:val="0"/>
          <w:sz w:val="21"/>
          <w:szCs w:val="28"/>
          <w:highlight w:val="none"/>
        </w:rPr>
        <w:t>彩色扫描件。</w:t>
      </w:r>
    </w:p>
    <w:p w14:paraId="14218DA9">
      <w:pPr>
        <w:pStyle w:val="9"/>
        <w:snapToGrid w:val="0"/>
        <w:spacing w:line="400" w:lineRule="exact"/>
        <w:ind w:firstLine="420" w:firstLineChars="200"/>
        <w:rPr>
          <w:rFonts w:hAnsi="宋体" w:cs="宋体"/>
          <w:snapToGrid w:val="0"/>
          <w:color w:val="auto"/>
          <w:sz w:val="21"/>
          <w:highlight w:val="none"/>
        </w:rPr>
      </w:pPr>
      <w:r>
        <w:rPr>
          <w:rFonts w:hint="eastAsia" w:hAnsi="宋体" w:cs="宋体"/>
          <w:snapToGrid w:val="0"/>
          <w:color w:val="auto"/>
          <w:sz w:val="21"/>
          <w:highlight w:val="none"/>
        </w:rPr>
        <w:t>3.“进粤企业和人员诚信信息登记平台”个人信息情况截图。（适用于省外建筑企业）</w:t>
      </w:r>
    </w:p>
    <w:p w14:paraId="16DC49F0">
      <w:pPr>
        <w:rPr>
          <w:color w:val="auto"/>
          <w:highlight w:val="none"/>
        </w:rPr>
      </w:pPr>
      <w:bookmarkStart w:id="336" w:name="_Toc25312"/>
      <w:bookmarkStart w:id="337" w:name="_Toc593"/>
    </w:p>
    <w:p w14:paraId="4F5701AB">
      <w:pPr>
        <w:rPr>
          <w:color w:val="auto"/>
          <w:highlight w:val="none"/>
        </w:rPr>
      </w:pPr>
    </w:p>
    <w:p w14:paraId="0B0CC3A8">
      <w:pPr>
        <w:rPr>
          <w:color w:val="auto"/>
          <w:highlight w:val="none"/>
        </w:rPr>
      </w:pPr>
    </w:p>
    <w:p w14:paraId="0887FC9D">
      <w:pPr>
        <w:rPr>
          <w:color w:val="auto"/>
          <w:highlight w:val="none"/>
        </w:rPr>
      </w:pPr>
    </w:p>
    <w:p w14:paraId="746FE86D">
      <w:pPr>
        <w:rPr>
          <w:color w:val="auto"/>
          <w:highlight w:val="none"/>
        </w:rPr>
      </w:pPr>
    </w:p>
    <w:p w14:paraId="4A3461BE">
      <w:pPr>
        <w:bidi w:val="0"/>
        <w:rPr>
          <w:color w:val="auto"/>
          <w:highlight w:val="none"/>
        </w:rPr>
      </w:pPr>
    </w:p>
    <w:p w14:paraId="20F0C669">
      <w:pPr>
        <w:pStyle w:val="3"/>
        <w:bidi w:val="0"/>
        <w:rPr>
          <w:rFonts w:hint="default"/>
          <w:b/>
          <w:bCs/>
          <w:color w:val="auto"/>
          <w:highlight w:val="none"/>
          <w:lang w:val="en-US" w:eastAsia="zh-CN"/>
        </w:rPr>
      </w:pPr>
      <w:bookmarkStart w:id="338" w:name="_Toc9763"/>
      <w:r>
        <w:rPr>
          <w:rFonts w:hint="eastAsia"/>
          <w:b/>
          <w:bCs/>
          <w:color w:val="auto"/>
          <w:highlight w:val="none"/>
          <w:lang w:val="en-US" w:eastAsia="zh-CN"/>
        </w:rPr>
        <w:t>格式十三 原件一览表</w:t>
      </w:r>
      <w:bookmarkEnd w:id="338"/>
      <w:r>
        <w:rPr>
          <w:rFonts w:hint="eastAsia"/>
          <w:b/>
          <w:bCs/>
          <w:color w:val="auto"/>
          <w:highlight w:val="none"/>
          <w:lang w:val="en-US" w:eastAsia="zh-CN"/>
        </w:rPr>
        <w:t>(如需）</w:t>
      </w:r>
    </w:p>
    <w:tbl>
      <w:tblPr>
        <w:tblStyle w:val="31"/>
        <w:tblpPr w:leftFromText="180" w:rightFromText="180" w:vertAnchor="text" w:horzAnchor="page" w:tblpX="1664"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 w:type="dxa"/>
          <w:bottom w:w="0" w:type="dxa"/>
          <w:right w:w="10" w:type="dxa"/>
        </w:tblCellMar>
      </w:tblPr>
      <w:tblGrid>
        <w:gridCol w:w="701"/>
        <w:gridCol w:w="1506"/>
        <w:gridCol w:w="601"/>
        <w:gridCol w:w="1393"/>
        <w:gridCol w:w="1625"/>
        <w:gridCol w:w="754"/>
        <w:gridCol w:w="958"/>
        <w:gridCol w:w="1570"/>
      </w:tblGrid>
      <w:tr w14:paraId="1D5F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463" w:hRule="atLeast"/>
        </w:trPr>
        <w:tc>
          <w:tcPr>
            <w:tcW w:w="9108" w:type="dxa"/>
            <w:gridSpan w:val="8"/>
            <w:shd w:val="clear" w:color="auto" w:fill="auto"/>
            <w:noWrap w:val="0"/>
            <w:tcMar>
              <w:left w:w="108" w:type="dxa"/>
              <w:right w:w="108" w:type="dxa"/>
            </w:tcMar>
            <w:vAlign w:val="center"/>
          </w:tcPr>
          <w:p w14:paraId="40EA71A6">
            <w:pPr>
              <w:jc w:val="center"/>
              <w:rPr>
                <w:rFonts w:hAnsi="宋体" w:cs="宋体"/>
                <w:color w:val="auto"/>
                <w:highlight w:val="none"/>
              </w:rPr>
            </w:pPr>
            <w:r>
              <w:rPr>
                <w:rFonts w:hAnsi="宋体" w:cs="宋体"/>
                <w:b/>
                <w:color w:val="auto"/>
                <w:highlight w:val="none"/>
              </w:rPr>
              <w:t>原件一览表</w:t>
            </w:r>
          </w:p>
        </w:tc>
      </w:tr>
      <w:tr w14:paraId="03FA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737" w:hRule="atLeast"/>
        </w:trPr>
        <w:tc>
          <w:tcPr>
            <w:tcW w:w="2808" w:type="dxa"/>
            <w:gridSpan w:val="3"/>
            <w:shd w:val="clear" w:color="auto" w:fill="auto"/>
            <w:noWrap w:val="0"/>
            <w:tcMar>
              <w:left w:w="108" w:type="dxa"/>
              <w:right w:w="108" w:type="dxa"/>
            </w:tcMar>
            <w:vAlign w:val="center"/>
          </w:tcPr>
          <w:p w14:paraId="3EC5AAEE">
            <w:pPr>
              <w:jc w:val="center"/>
              <w:rPr>
                <w:rFonts w:hAnsi="宋体" w:cs="宋体"/>
                <w:color w:val="auto"/>
                <w:sz w:val="24"/>
                <w:szCs w:val="24"/>
                <w:highlight w:val="none"/>
              </w:rPr>
            </w:pPr>
            <w:r>
              <w:rPr>
                <w:rFonts w:hAnsi="宋体" w:cs="宋体"/>
                <w:color w:val="auto"/>
                <w:sz w:val="24"/>
                <w:szCs w:val="24"/>
                <w:highlight w:val="none"/>
              </w:rPr>
              <w:t>工程名称</w:t>
            </w:r>
          </w:p>
        </w:tc>
        <w:tc>
          <w:tcPr>
            <w:tcW w:w="6300" w:type="dxa"/>
            <w:gridSpan w:val="5"/>
            <w:shd w:val="clear" w:color="auto" w:fill="auto"/>
            <w:noWrap w:val="0"/>
            <w:tcMar>
              <w:left w:w="108" w:type="dxa"/>
              <w:right w:w="108" w:type="dxa"/>
            </w:tcMar>
            <w:vAlign w:val="center"/>
          </w:tcPr>
          <w:p w14:paraId="074CA825">
            <w:pPr>
              <w:jc w:val="center"/>
              <w:rPr>
                <w:rFonts w:hAnsi="宋体" w:cs="宋体"/>
                <w:color w:val="auto"/>
                <w:sz w:val="24"/>
                <w:szCs w:val="24"/>
                <w:highlight w:val="none"/>
              </w:rPr>
            </w:pPr>
            <w:r>
              <w:rPr>
                <w:rFonts w:hAnsi="宋体" w:cs="宋体"/>
                <w:color w:val="auto"/>
                <w:sz w:val="24"/>
                <w:szCs w:val="24"/>
                <w:highlight w:val="none"/>
              </w:rPr>
              <w:t xml:space="preserve"> </w:t>
            </w:r>
          </w:p>
        </w:tc>
      </w:tr>
      <w:tr w14:paraId="319D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737" w:hRule="atLeast"/>
        </w:trPr>
        <w:tc>
          <w:tcPr>
            <w:tcW w:w="2808" w:type="dxa"/>
            <w:gridSpan w:val="3"/>
            <w:shd w:val="clear" w:color="auto" w:fill="auto"/>
            <w:noWrap w:val="0"/>
            <w:tcMar>
              <w:left w:w="108" w:type="dxa"/>
              <w:right w:w="108" w:type="dxa"/>
            </w:tcMar>
            <w:vAlign w:val="center"/>
          </w:tcPr>
          <w:p w14:paraId="71DB6D96">
            <w:pPr>
              <w:jc w:val="center"/>
              <w:rPr>
                <w:rFonts w:hAnsi="宋体" w:cs="宋体"/>
                <w:color w:val="auto"/>
                <w:sz w:val="24"/>
                <w:szCs w:val="24"/>
                <w:highlight w:val="none"/>
              </w:rPr>
            </w:pPr>
            <w:r>
              <w:rPr>
                <w:rFonts w:hAnsi="宋体" w:cs="宋体"/>
                <w:color w:val="auto"/>
                <w:sz w:val="24"/>
                <w:szCs w:val="24"/>
                <w:highlight w:val="none"/>
              </w:rPr>
              <w:t>投标人名称                (请务必填写单位全称)</w:t>
            </w:r>
          </w:p>
        </w:tc>
        <w:tc>
          <w:tcPr>
            <w:tcW w:w="6300" w:type="dxa"/>
            <w:gridSpan w:val="5"/>
            <w:shd w:val="clear" w:color="auto" w:fill="auto"/>
            <w:noWrap w:val="0"/>
            <w:tcMar>
              <w:left w:w="108" w:type="dxa"/>
              <w:right w:w="108" w:type="dxa"/>
            </w:tcMar>
            <w:vAlign w:val="center"/>
          </w:tcPr>
          <w:p w14:paraId="1613ACB8">
            <w:pPr>
              <w:jc w:val="center"/>
              <w:rPr>
                <w:rFonts w:hAnsi="宋体" w:cs="宋体"/>
                <w:color w:val="auto"/>
                <w:sz w:val="24"/>
                <w:szCs w:val="24"/>
                <w:highlight w:val="none"/>
              </w:rPr>
            </w:pPr>
            <w:r>
              <w:rPr>
                <w:rFonts w:hAnsi="宋体" w:cs="宋体"/>
                <w:color w:val="auto"/>
                <w:sz w:val="24"/>
                <w:szCs w:val="24"/>
                <w:highlight w:val="none"/>
              </w:rPr>
              <w:t>　</w:t>
            </w:r>
          </w:p>
        </w:tc>
      </w:tr>
      <w:tr w14:paraId="09FD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737" w:hRule="atLeast"/>
        </w:trPr>
        <w:tc>
          <w:tcPr>
            <w:tcW w:w="2808" w:type="dxa"/>
            <w:gridSpan w:val="3"/>
            <w:shd w:val="clear" w:color="auto" w:fill="auto"/>
            <w:noWrap w:val="0"/>
            <w:tcMar>
              <w:left w:w="108" w:type="dxa"/>
              <w:right w:w="108" w:type="dxa"/>
            </w:tcMar>
            <w:vAlign w:val="center"/>
          </w:tcPr>
          <w:p w14:paraId="7C0A9E0C">
            <w:pPr>
              <w:jc w:val="center"/>
              <w:rPr>
                <w:rFonts w:hint="eastAsia" w:hAnsi="宋体" w:cs="宋体"/>
                <w:color w:val="auto"/>
                <w:sz w:val="24"/>
                <w:szCs w:val="24"/>
                <w:highlight w:val="none"/>
              </w:rPr>
            </w:pPr>
            <w:r>
              <w:rPr>
                <w:rFonts w:hAnsi="宋体" w:cs="宋体"/>
                <w:color w:val="auto"/>
                <w:sz w:val="24"/>
                <w:szCs w:val="24"/>
                <w:highlight w:val="none"/>
              </w:rPr>
              <w:t>投标人法定代表人或其</w:t>
            </w:r>
          </w:p>
          <w:p w14:paraId="77524DC3">
            <w:pPr>
              <w:jc w:val="center"/>
              <w:rPr>
                <w:rFonts w:hAnsi="宋体" w:cs="宋体"/>
                <w:color w:val="auto"/>
                <w:sz w:val="24"/>
                <w:szCs w:val="24"/>
                <w:highlight w:val="none"/>
              </w:rPr>
            </w:pPr>
            <w:r>
              <w:rPr>
                <w:rFonts w:hAnsi="宋体" w:cs="宋体"/>
                <w:color w:val="auto"/>
                <w:sz w:val="24"/>
                <w:szCs w:val="24"/>
                <w:highlight w:val="none"/>
              </w:rPr>
              <w:t>委托代理人签名</w:t>
            </w:r>
          </w:p>
        </w:tc>
        <w:tc>
          <w:tcPr>
            <w:tcW w:w="3018" w:type="dxa"/>
            <w:gridSpan w:val="2"/>
            <w:shd w:val="clear" w:color="auto" w:fill="auto"/>
            <w:noWrap w:val="0"/>
            <w:tcMar>
              <w:left w:w="108" w:type="dxa"/>
              <w:right w:w="108" w:type="dxa"/>
            </w:tcMar>
            <w:vAlign w:val="center"/>
          </w:tcPr>
          <w:p w14:paraId="36806628">
            <w:pPr>
              <w:jc w:val="center"/>
              <w:rPr>
                <w:rFonts w:hAnsi="宋体" w:cs="宋体"/>
                <w:color w:val="auto"/>
                <w:sz w:val="24"/>
                <w:szCs w:val="24"/>
                <w:highlight w:val="none"/>
              </w:rPr>
            </w:pPr>
            <w:r>
              <w:rPr>
                <w:rFonts w:hAnsi="宋体" w:cs="宋体"/>
                <w:color w:val="auto"/>
                <w:sz w:val="24"/>
                <w:szCs w:val="24"/>
                <w:highlight w:val="none"/>
              </w:rPr>
              <w:t>　</w:t>
            </w:r>
          </w:p>
        </w:tc>
        <w:tc>
          <w:tcPr>
            <w:tcW w:w="754" w:type="dxa"/>
            <w:shd w:val="clear" w:color="auto" w:fill="auto"/>
            <w:noWrap w:val="0"/>
            <w:tcMar>
              <w:left w:w="108" w:type="dxa"/>
              <w:right w:w="108" w:type="dxa"/>
            </w:tcMar>
            <w:vAlign w:val="center"/>
          </w:tcPr>
          <w:p w14:paraId="4060398A">
            <w:pPr>
              <w:jc w:val="center"/>
              <w:rPr>
                <w:rFonts w:hAnsi="宋体" w:cs="宋体"/>
                <w:color w:val="auto"/>
                <w:sz w:val="24"/>
                <w:szCs w:val="24"/>
                <w:highlight w:val="none"/>
              </w:rPr>
            </w:pPr>
            <w:r>
              <w:rPr>
                <w:rFonts w:hAnsi="宋体" w:cs="宋体"/>
                <w:color w:val="auto"/>
                <w:sz w:val="24"/>
                <w:szCs w:val="24"/>
                <w:highlight w:val="none"/>
              </w:rPr>
              <w:t>手机号码</w:t>
            </w:r>
          </w:p>
        </w:tc>
        <w:tc>
          <w:tcPr>
            <w:tcW w:w="2528" w:type="dxa"/>
            <w:gridSpan w:val="2"/>
            <w:shd w:val="clear" w:color="auto" w:fill="auto"/>
            <w:noWrap w:val="0"/>
            <w:tcMar>
              <w:left w:w="108" w:type="dxa"/>
              <w:right w:w="108" w:type="dxa"/>
            </w:tcMar>
            <w:vAlign w:val="center"/>
          </w:tcPr>
          <w:p w14:paraId="0AE79DB3">
            <w:pPr>
              <w:jc w:val="center"/>
              <w:rPr>
                <w:rFonts w:hAnsi="宋体" w:cs="宋体"/>
                <w:color w:val="auto"/>
                <w:sz w:val="24"/>
                <w:szCs w:val="24"/>
                <w:highlight w:val="none"/>
              </w:rPr>
            </w:pPr>
            <w:r>
              <w:rPr>
                <w:rFonts w:hAnsi="宋体" w:cs="宋体"/>
                <w:color w:val="auto"/>
                <w:sz w:val="24"/>
                <w:szCs w:val="24"/>
                <w:highlight w:val="none"/>
              </w:rPr>
              <w:t>　</w:t>
            </w:r>
          </w:p>
        </w:tc>
      </w:tr>
      <w:tr w14:paraId="599D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737" w:hRule="atLeast"/>
        </w:trPr>
        <w:tc>
          <w:tcPr>
            <w:tcW w:w="9108" w:type="dxa"/>
            <w:gridSpan w:val="8"/>
            <w:shd w:val="clear" w:color="auto" w:fill="auto"/>
            <w:noWrap w:val="0"/>
            <w:tcMar>
              <w:left w:w="108" w:type="dxa"/>
              <w:right w:w="108" w:type="dxa"/>
            </w:tcMar>
            <w:vAlign w:val="center"/>
          </w:tcPr>
          <w:p w14:paraId="6543325B">
            <w:pPr>
              <w:jc w:val="center"/>
              <w:rPr>
                <w:rFonts w:hAnsi="宋体" w:cs="宋体"/>
                <w:color w:val="auto"/>
                <w:sz w:val="24"/>
                <w:szCs w:val="24"/>
                <w:highlight w:val="none"/>
              </w:rPr>
            </w:pPr>
            <w:r>
              <w:rPr>
                <w:rFonts w:hAnsi="宋体" w:cs="宋体"/>
                <w:color w:val="auto"/>
                <w:sz w:val="24"/>
                <w:szCs w:val="24"/>
                <w:highlight w:val="none"/>
              </w:rPr>
              <w:t>递交的证明材料原件如下：</w:t>
            </w:r>
          </w:p>
        </w:tc>
      </w:tr>
      <w:tr w14:paraId="51D6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737" w:hRule="atLeast"/>
        </w:trPr>
        <w:tc>
          <w:tcPr>
            <w:tcW w:w="701" w:type="dxa"/>
            <w:shd w:val="clear" w:color="auto" w:fill="auto"/>
            <w:noWrap w:val="0"/>
            <w:tcMar>
              <w:left w:w="108" w:type="dxa"/>
              <w:right w:w="108" w:type="dxa"/>
            </w:tcMar>
            <w:vAlign w:val="center"/>
          </w:tcPr>
          <w:p w14:paraId="13EDF76C">
            <w:pPr>
              <w:jc w:val="center"/>
              <w:rPr>
                <w:rFonts w:hAnsi="宋体" w:cs="宋体"/>
                <w:color w:val="auto"/>
                <w:sz w:val="24"/>
                <w:szCs w:val="24"/>
                <w:highlight w:val="none"/>
              </w:rPr>
            </w:pPr>
            <w:r>
              <w:rPr>
                <w:rFonts w:hAnsi="宋体" w:cs="宋体"/>
                <w:color w:val="auto"/>
                <w:sz w:val="24"/>
                <w:szCs w:val="24"/>
                <w:highlight w:val="none"/>
              </w:rPr>
              <w:t>序号</w:t>
            </w:r>
          </w:p>
        </w:tc>
        <w:tc>
          <w:tcPr>
            <w:tcW w:w="5125" w:type="dxa"/>
            <w:gridSpan w:val="4"/>
            <w:shd w:val="clear" w:color="auto" w:fill="auto"/>
            <w:noWrap w:val="0"/>
            <w:tcMar>
              <w:left w:w="108" w:type="dxa"/>
              <w:right w:w="108" w:type="dxa"/>
            </w:tcMar>
            <w:vAlign w:val="center"/>
          </w:tcPr>
          <w:p w14:paraId="559D06ED">
            <w:pPr>
              <w:jc w:val="center"/>
              <w:rPr>
                <w:rFonts w:hAnsi="宋体" w:cs="宋体"/>
                <w:color w:val="auto"/>
                <w:sz w:val="24"/>
                <w:szCs w:val="24"/>
                <w:highlight w:val="none"/>
              </w:rPr>
            </w:pPr>
            <w:r>
              <w:rPr>
                <w:rFonts w:hAnsi="宋体" w:cs="宋体"/>
                <w:color w:val="auto"/>
                <w:sz w:val="24"/>
                <w:szCs w:val="24"/>
                <w:highlight w:val="none"/>
              </w:rPr>
              <w:t>证明材料原件名称</w:t>
            </w:r>
          </w:p>
        </w:tc>
        <w:tc>
          <w:tcPr>
            <w:tcW w:w="1712" w:type="dxa"/>
            <w:gridSpan w:val="2"/>
            <w:shd w:val="clear" w:color="auto" w:fill="auto"/>
            <w:noWrap w:val="0"/>
            <w:tcMar>
              <w:left w:w="108" w:type="dxa"/>
              <w:right w:w="108" w:type="dxa"/>
            </w:tcMar>
            <w:vAlign w:val="center"/>
          </w:tcPr>
          <w:p w14:paraId="51CCC957">
            <w:pPr>
              <w:jc w:val="center"/>
              <w:rPr>
                <w:rFonts w:hAnsi="宋体" w:cs="宋体"/>
                <w:color w:val="auto"/>
                <w:sz w:val="24"/>
                <w:szCs w:val="24"/>
                <w:highlight w:val="none"/>
              </w:rPr>
            </w:pPr>
            <w:r>
              <w:rPr>
                <w:rFonts w:hAnsi="宋体" w:cs="宋体"/>
                <w:color w:val="auto"/>
                <w:sz w:val="24"/>
                <w:szCs w:val="24"/>
                <w:highlight w:val="none"/>
              </w:rPr>
              <w:t>单位</w:t>
            </w:r>
          </w:p>
        </w:tc>
        <w:tc>
          <w:tcPr>
            <w:tcW w:w="1570" w:type="dxa"/>
            <w:shd w:val="clear" w:color="auto" w:fill="auto"/>
            <w:noWrap w:val="0"/>
            <w:tcMar>
              <w:left w:w="108" w:type="dxa"/>
              <w:right w:w="108" w:type="dxa"/>
            </w:tcMar>
            <w:vAlign w:val="center"/>
          </w:tcPr>
          <w:p w14:paraId="3D03BCF5">
            <w:pPr>
              <w:jc w:val="center"/>
              <w:rPr>
                <w:rFonts w:hAnsi="宋体" w:cs="宋体"/>
                <w:color w:val="auto"/>
                <w:sz w:val="24"/>
                <w:szCs w:val="24"/>
                <w:highlight w:val="none"/>
              </w:rPr>
            </w:pPr>
            <w:r>
              <w:rPr>
                <w:rFonts w:hAnsi="宋体" w:cs="宋体"/>
                <w:color w:val="auto"/>
                <w:sz w:val="24"/>
                <w:szCs w:val="24"/>
                <w:highlight w:val="none"/>
              </w:rPr>
              <w:t>数量</w:t>
            </w:r>
          </w:p>
        </w:tc>
      </w:tr>
      <w:tr w14:paraId="73B0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737" w:hRule="atLeast"/>
        </w:trPr>
        <w:tc>
          <w:tcPr>
            <w:tcW w:w="701" w:type="dxa"/>
            <w:shd w:val="clear" w:color="auto" w:fill="auto"/>
            <w:noWrap w:val="0"/>
            <w:tcMar>
              <w:left w:w="108" w:type="dxa"/>
              <w:right w:w="108" w:type="dxa"/>
            </w:tcMar>
            <w:vAlign w:val="center"/>
          </w:tcPr>
          <w:p w14:paraId="5CBD3CF3">
            <w:pPr>
              <w:jc w:val="center"/>
              <w:rPr>
                <w:rFonts w:hint="eastAsia" w:hAnsi="宋体" w:cs="宋体"/>
                <w:color w:val="auto"/>
                <w:sz w:val="24"/>
                <w:szCs w:val="24"/>
                <w:highlight w:val="none"/>
              </w:rPr>
            </w:pPr>
            <w:r>
              <w:rPr>
                <w:rFonts w:hint="eastAsia" w:hAnsi="宋体" w:cs="宋体"/>
                <w:color w:val="auto"/>
                <w:sz w:val="24"/>
                <w:szCs w:val="24"/>
                <w:highlight w:val="none"/>
              </w:rPr>
              <w:t>1</w:t>
            </w:r>
          </w:p>
        </w:tc>
        <w:tc>
          <w:tcPr>
            <w:tcW w:w="5125" w:type="dxa"/>
            <w:gridSpan w:val="4"/>
            <w:shd w:val="clear" w:color="auto" w:fill="auto"/>
            <w:noWrap w:val="0"/>
            <w:tcMar>
              <w:left w:w="108" w:type="dxa"/>
              <w:right w:w="108" w:type="dxa"/>
            </w:tcMar>
            <w:vAlign w:val="center"/>
          </w:tcPr>
          <w:p w14:paraId="16DA3A6D">
            <w:pPr>
              <w:jc w:val="center"/>
              <w:rPr>
                <w:rFonts w:hAnsi="宋体" w:cs="宋体"/>
                <w:color w:val="auto"/>
                <w:sz w:val="24"/>
                <w:szCs w:val="24"/>
                <w:highlight w:val="none"/>
              </w:rPr>
            </w:pPr>
          </w:p>
        </w:tc>
        <w:tc>
          <w:tcPr>
            <w:tcW w:w="1712" w:type="dxa"/>
            <w:gridSpan w:val="2"/>
            <w:shd w:val="clear" w:color="auto" w:fill="auto"/>
            <w:noWrap w:val="0"/>
            <w:tcMar>
              <w:left w:w="108" w:type="dxa"/>
              <w:right w:w="108" w:type="dxa"/>
            </w:tcMar>
            <w:vAlign w:val="center"/>
          </w:tcPr>
          <w:p w14:paraId="24AA5BA0">
            <w:pPr>
              <w:jc w:val="center"/>
              <w:rPr>
                <w:rFonts w:hAnsi="宋体" w:cs="宋体"/>
                <w:color w:val="auto"/>
                <w:sz w:val="24"/>
                <w:szCs w:val="24"/>
                <w:highlight w:val="none"/>
              </w:rPr>
            </w:pPr>
          </w:p>
        </w:tc>
        <w:tc>
          <w:tcPr>
            <w:tcW w:w="1570" w:type="dxa"/>
            <w:shd w:val="clear" w:color="auto" w:fill="auto"/>
            <w:noWrap w:val="0"/>
            <w:tcMar>
              <w:left w:w="108" w:type="dxa"/>
              <w:right w:w="108" w:type="dxa"/>
            </w:tcMar>
            <w:vAlign w:val="center"/>
          </w:tcPr>
          <w:p w14:paraId="0557B405">
            <w:pPr>
              <w:jc w:val="center"/>
              <w:rPr>
                <w:rFonts w:hAnsi="宋体" w:cs="宋体"/>
                <w:color w:val="auto"/>
                <w:sz w:val="24"/>
                <w:szCs w:val="24"/>
                <w:highlight w:val="none"/>
              </w:rPr>
            </w:pPr>
            <w:r>
              <w:rPr>
                <w:rFonts w:hAnsi="宋体" w:cs="宋体"/>
                <w:color w:val="auto"/>
                <w:sz w:val="24"/>
                <w:szCs w:val="24"/>
                <w:highlight w:val="none"/>
              </w:rPr>
              <w:t>　</w:t>
            </w:r>
          </w:p>
        </w:tc>
      </w:tr>
      <w:tr w14:paraId="0645E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737" w:hRule="atLeast"/>
        </w:trPr>
        <w:tc>
          <w:tcPr>
            <w:tcW w:w="701" w:type="dxa"/>
            <w:shd w:val="clear" w:color="auto" w:fill="auto"/>
            <w:noWrap w:val="0"/>
            <w:tcMar>
              <w:left w:w="108" w:type="dxa"/>
              <w:right w:w="108" w:type="dxa"/>
            </w:tcMar>
            <w:vAlign w:val="center"/>
          </w:tcPr>
          <w:p w14:paraId="3564D036">
            <w:pPr>
              <w:jc w:val="center"/>
              <w:rPr>
                <w:rFonts w:hint="eastAsia" w:hAnsi="宋体" w:cs="宋体"/>
                <w:color w:val="auto"/>
                <w:sz w:val="24"/>
                <w:szCs w:val="24"/>
                <w:highlight w:val="none"/>
              </w:rPr>
            </w:pPr>
            <w:r>
              <w:rPr>
                <w:rFonts w:hint="eastAsia" w:hAnsi="宋体" w:cs="宋体"/>
                <w:color w:val="auto"/>
                <w:sz w:val="24"/>
                <w:szCs w:val="24"/>
                <w:highlight w:val="none"/>
              </w:rPr>
              <w:t>2</w:t>
            </w:r>
          </w:p>
        </w:tc>
        <w:tc>
          <w:tcPr>
            <w:tcW w:w="5125" w:type="dxa"/>
            <w:gridSpan w:val="4"/>
            <w:shd w:val="clear" w:color="auto" w:fill="auto"/>
            <w:noWrap w:val="0"/>
            <w:tcMar>
              <w:left w:w="108" w:type="dxa"/>
              <w:right w:w="108" w:type="dxa"/>
            </w:tcMar>
            <w:vAlign w:val="center"/>
          </w:tcPr>
          <w:p w14:paraId="0F8926A6">
            <w:pPr>
              <w:jc w:val="center"/>
              <w:rPr>
                <w:rFonts w:hAnsi="宋体" w:cs="宋体"/>
                <w:color w:val="auto"/>
                <w:sz w:val="24"/>
                <w:szCs w:val="24"/>
                <w:highlight w:val="none"/>
              </w:rPr>
            </w:pPr>
          </w:p>
        </w:tc>
        <w:tc>
          <w:tcPr>
            <w:tcW w:w="1712" w:type="dxa"/>
            <w:gridSpan w:val="2"/>
            <w:shd w:val="clear" w:color="auto" w:fill="auto"/>
            <w:noWrap w:val="0"/>
            <w:tcMar>
              <w:left w:w="108" w:type="dxa"/>
              <w:right w:w="108" w:type="dxa"/>
            </w:tcMar>
            <w:vAlign w:val="center"/>
          </w:tcPr>
          <w:p w14:paraId="37D88558">
            <w:pPr>
              <w:jc w:val="center"/>
              <w:rPr>
                <w:rFonts w:hAnsi="宋体" w:cs="宋体"/>
                <w:color w:val="auto"/>
                <w:sz w:val="24"/>
                <w:szCs w:val="24"/>
                <w:highlight w:val="none"/>
              </w:rPr>
            </w:pPr>
          </w:p>
        </w:tc>
        <w:tc>
          <w:tcPr>
            <w:tcW w:w="1570" w:type="dxa"/>
            <w:shd w:val="clear" w:color="auto" w:fill="auto"/>
            <w:noWrap w:val="0"/>
            <w:tcMar>
              <w:left w:w="108" w:type="dxa"/>
              <w:right w:w="108" w:type="dxa"/>
            </w:tcMar>
            <w:vAlign w:val="center"/>
          </w:tcPr>
          <w:p w14:paraId="65217A66">
            <w:pPr>
              <w:jc w:val="center"/>
              <w:rPr>
                <w:rFonts w:hAnsi="宋体" w:cs="宋体"/>
                <w:color w:val="auto"/>
                <w:sz w:val="24"/>
                <w:szCs w:val="24"/>
                <w:highlight w:val="none"/>
              </w:rPr>
            </w:pPr>
          </w:p>
        </w:tc>
      </w:tr>
      <w:tr w14:paraId="5CD0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737" w:hRule="atLeast"/>
        </w:trPr>
        <w:tc>
          <w:tcPr>
            <w:tcW w:w="701" w:type="dxa"/>
            <w:shd w:val="clear" w:color="auto" w:fill="auto"/>
            <w:noWrap w:val="0"/>
            <w:tcMar>
              <w:left w:w="108" w:type="dxa"/>
              <w:right w:w="108" w:type="dxa"/>
            </w:tcMar>
            <w:vAlign w:val="center"/>
          </w:tcPr>
          <w:p w14:paraId="6D922145">
            <w:pPr>
              <w:jc w:val="center"/>
              <w:rPr>
                <w:rFonts w:hint="eastAsia" w:hAnsi="宋体" w:cs="宋体"/>
                <w:color w:val="auto"/>
                <w:sz w:val="24"/>
                <w:szCs w:val="24"/>
                <w:highlight w:val="none"/>
              </w:rPr>
            </w:pPr>
            <w:r>
              <w:rPr>
                <w:rFonts w:hint="eastAsia" w:hAnsi="宋体" w:cs="宋体"/>
                <w:color w:val="auto"/>
                <w:sz w:val="24"/>
                <w:szCs w:val="24"/>
                <w:highlight w:val="none"/>
              </w:rPr>
              <w:t>3</w:t>
            </w:r>
          </w:p>
        </w:tc>
        <w:tc>
          <w:tcPr>
            <w:tcW w:w="5125" w:type="dxa"/>
            <w:gridSpan w:val="4"/>
            <w:shd w:val="clear" w:color="auto" w:fill="auto"/>
            <w:noWrap w:val="0"/>
            <w:tcMar>
              <w:left w:w="108" w:type="dxa"/>
              <w:right w:w="108" w:type="dxa"/>
            </w:tcMar>
            <w:vAlign w:val="center"/>
          </w:tcPr>
          <w:p w14:paraId="42248857">
            <w:pPr>
              <w:jc w:val="center"/>
              <w:rPr>
                <w:rFonts w:hAnsi="宋体" w:cs="宋体"/>
                <w:color w:val="auto"/>
                <w:sz w:val="24"/>
                <w:szCs w:val="24"/>
                <w:highlight w:val="none"/>
              </w:rPr>
            </w:pPr>
          </w:p>
        </w:tc>
        <w:tc>
          <w:tcPr>
            <w:tcW w:w="1712" w:type="dxa"/>
            <w:gridSpan w:val="2"/>
            <w:shd w:val="clear" w:color="auto" w:fill="auto"/>
            <w:noWrap w:val="0"/>
            <w:tcMar>
              <w:left w:w="108" w:type="dxa"/>
              <w:right w:w="108" w:type="dxa"/>
            </w:tcMar>
            <w:vAlign w:val="center"/>
          </w:tcPr>
          <w:p w14:paraId="375BF155">
            <w:pPr>
              <w:jc w:val="center"/>
              <w:rPr>
                <w:rFonts w:hAnsi="宋体" w:cs="宋体"/>
                <w:color w:val="auto"/>
                <w:sz w:val="24"/>
                <w:szCs w:val="24"/>
                <w:highlight w:val="none"/>
              </w:rPr>
            </w:pPr>
          </w:p>
        </w:tc>
        <w:tc>
          <w:tcPr>
            <w:tcW w:w="1570" w:type="dxa"/>
            <w:shd w:val="clear" w:color="auto" w:fill="auto"/>
            <w:noWrap w:val="0"/>
            <w:tcMar>
              <w:left w:w="108" w:type="dxa"/>
              <w:right w:w="108" w:type="dxa"/>
            </w:tcMar>
            <w:vAlign w:val="center"/>
          </w:tcPr>
          <w:p w14:paraId="624BA07C">
            <w:pPr>
              <w:jc w:val="center"/>
              <w:rPr>
                <w:rFonts w:hAnsi="宋体" w:cs="宋体"/>
                <w:color w:val="auto"/>
                <w:sz w:val="24"/>
                <w:szCs w:val="24"/>
                <w:highlight w:val="none"/>
              </w:rPr>
            </w:pPr>
          </w:p>
        </w:tc>
      </w:tr>
      <w:tr w14:paraId="6450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737" w:hRule="atLeast"/>
        </w:trPr>
        <w:tc>
          <w:tcPr>
            <w:tcW w:w="701" w:type="dxa"/>
            <w:shd w:val="clear" w:color="auto" w:fill="auto"/>
            <w:noWrap w:val="0"/>
            <w:tcMar>
              <w:left w:w="108" w:type="dxa"/>
              <w:right w:w="108" w:type="dxa"/>
            </w:tcMar>
            <w:vAlign w:val="center"/>
          </w:tcPr>
          <w:p w14:paraId="0824CEAD">
            <w:pPr>
              <w:jc w:val="center"/>
              <w:rPr>
                <w:rFonts w:hint="eastAsia" w:hAnsi="宋体" w:cs="宋体"/>
                <w:color w:val="auto"/>
                <w:sz w:val="24"/>
                <w:szCs w:val="24"/>
                <w:highlight w:val="none"/>
              </w:rPr>
            </w:pPr>
            <w:r>
              <w:rPr>
                <w:rFonts w:hint="eastAsia" w:hAnsi="宋体" w:cs="宋体"/>
                <w:color w:val="auto"/>
                <w:sz w:val="24"/>
                <w:szCs w:val="24"/>
                <w:highlight w:val="none"/>
              </w:rPr>
              <w:t>...</w:t>
            </w:r>
          </w:p>
        </w:tc>
        <w:tc>
          <w:tcPr>
            <w:tcW w:w="5125" w:type="dxa"/>
            <w:gridSpan w:val="4"/>
            <w:shd w:val="clear" w:color="auto" w:fill="auto"/>
            <w:noWrap w:val="0"/>
            <w:tcMar>
              <w:left w:w="108" w:type="dxa"/>
              <w:right w:w="108" w:type="dxa"/>
            </w:tcMar>
            <w:vAlign w:val="center"/>
          </w:tcPr>
          <w:p w14:paraId="6D22B6D5">
            <w:pPr>
              <w:jc w:val="center"/>
              <w:rPr>
                <w:rFonts w:hAnsi="宋体" w:cs="宋体"/>
                <w:color w:val="auto"/>
                <w:sz w:val="24"/>
                <w:szCs w:val="24"/>
                <w:highlight w:val="none"/>
              </w:rPr>
            </w:pPr>
          </w:p>
        </w:tc>
        <w:tc>
          <w:tcPr>
            <w:tcW w:w="1712" w:type="dxa"/>
            <w:gridSpan w:val="2"/>
            <w:shd w:val="clear" w:color="auto" w:fill="auto"/>
            <w:noWrap w:val="0"/>
            <w:tcMar>
              <w:left w:w="108" w:type="dxa"/>
              <w:right w:w="108" w:type="dxa"/>
            </w:tcMar>
            <w:vAlign w:val="center"/>
          </w:tcPr>
          <w:p w14:paraId="0D3863C3">
            <w:pPr>
              <w:jc w:val="center"/>
              <w:rPr>
                <w:rFonts w:hAnsi="宋体" w:cs="宋体"/>
                <w:color w:val="auto"/>
                <w:sz w:val="24"/>
                <w:szCs w:val="24"/>
                <w:highlight w:val="none"/>
              </w:rPr>
            </w:pPr>
          </w:p>
        </w:tc>
        <w:tc>
          <w:tcPr>
            <w:tcW w:w="1570" w:type="dxa"/>
            <w:shd w:val="clear" w:color="auto" w:fill="auto"/>
            <w:noWrap w:val="0"/>
            <w:tcMar>
              <w:left w:w="108" w:type="dxa"/>
              <w:right w:w="108" w:type="dxa"/>
            </w:tcMar>
            <w:vAlign w:val="center"/>
          </w:tcPr>
          <w:p w14:paraId="03487C6D">
            <w:pPr>
              <w:jc w:val="center"/>
              <w:rPr>
                <w:rFonts w:hAnsi="宋体" w:cs="宋体"/>
                <w:color w:val="auto"/>
                <w:sz w:val="24"/>
                <w:szCs w:val="24"/>
                <w:highlight w:val="none"/>
              </w:rPr>
            </w:pPr>
            <w:r>
              <w:rPr>
                <w:rFonts w:hAnsi="宋体" w:cs="宋体"/>
                <w:color w:val="auto"/>
                <w:sz w:val="24"/>
                <w:szCs w:val="24"/>
                <w:highlight w:val="none"/>
              </w:rPr>
              <w:t>　</w:t>
            </w:r>
          </w:p>
        </w:tc>
      </w:tr>
      <w:tr w14:paraId="5230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2037" w:hRule="atLeast"/>
        </w:trPr>
        <w:tc>
          <w:tcPr>
            <w:tcW w:w="701" w:type="dxa"/>
            <w:shd w:val="clear" w:color="auto" w:fill="auto"/>
            <w:noWrap w:val="0"/>
            <w:tcMar>
              <w:left w:w="108" w:type="dxa"/>
              <w:right w:w="108" w:type="dxa"/>
            </w:tcMar>
            <w:vAlign w:val="center"/>
          </w:tcPr>
          <w:p w14:paraId="12E8323D">
            <w:pPr>
              <w:ind w:left="8" w:hanging="94"/>
              <w:jc w:val="center"/>
              <w:rPr>
                <w:rFonts w:hint="eastAsia" w:hAnsi="宋体" w:cs="宋体"/>
                <w:color w:val="auto"/>
                <w:sz w:val="24"/>
                <w:szCs w:val="24"/>
                <w:highlight w:val="none"/>
              </w:rPr>
            </w:pPr>
            <w:r>
              <w:rPr>
                <w:rFonts w:hint="eastAsia" w:hAnsi="宋体" w:cs="宋体"/>
                <w:color w:val="auto"/>
                <w:sz w:val="24"/>
                <w:szCs w:val="24"/>
                <w:highlight w:val="none"/>
              </w:rPr>
              <w:t>注意：</w:t>
            </w:r>
          </w:p>
        </w:tc>
        <w:tc>
          <w:tcPr>
            <w:tcW w:w="8407" w:type="dxa"/>
            <w:gridSpan w:val="7"/>
            <w:shd w:val="clear" w:color="auto" w:fill="auto"/>
            <w:noWrap w:val="0"/>
            <w:tcMar>
              <w:left w:w="108" w:type="dxa"/>
              <w:right w:w="108" w:type="dxa"/>
            </w:tcMar>
            <w:vAlign w:val="center"/>
          </w:tcPr>
          <w:p w14:paraId="2276CCD2">
            <w:pPr>
              <w:ind w:firstLine="480"/>
              <w:rPr>
                <w:rFonts w:hint="eastAsia" w:hAnsi="宋体" w:cs="宋体"/>
                <w:color w:val="auto"/>
                <w:sz w:val="24"/>
                <w:szCs w:val="24"/>
                <w:highlight w:val="none"/>
              </w:rPr>
            </w:pPr>
            <w:r>
              <w:rPr>
                <w:rFonts w:hint="eastAsia" w:hAnsi="宋体" w:cs="宋体"/>
                <w:color w:val="auto"/>
                <w:sz w:val="24"/>
                <w:szCs w:val="24"/>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2883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20" w:hRule="atLeast"/>
        </w:trPr>
        <w:tc>
          <w:tcPr>
            <w:tcW w:w="2207" w:type="dxa"/>
            <w:gridSpan w:val="2"/>
            <w:shd w:val="clear" w:color="auto" w:fill="auto"/>
            <w:noWrap w:val="0"/>
            <w:tcMar>
              <w:left w:w="108" w:type="dxa"/>
              <w:right w:w="108" w:type="dxa"/>
            </w:tcMar>
            <w:vAlign w:val="center"/>
          </w:tcPr>
          <w:p w14:paraId="3074F0EA">
            <w:pPr>
              <w:jc w:val="both"/>
              <w:rPr>
                <w:rFonts w:hint="eastAsia" w:hAnsi="宋体" w:cs="宋体"/>
                <w:color w:val="auto"/>
                <w:sz w:val="24"/>
                <w:szCs w:val="24"/>
                <w:highlight w:val="none"/>
              </w:rPr>
            </w:pPr>
            <w:r>
              <w:rPr>
                <w:rFonts w:hint="eastAsia" w:hAnsi="宋体" w:cs="宋体"/>
                <w:color w:val="auto"/>
                <w:sz w:val="24"/>
                <w:szCs w:val="24"/>
                <w:highlight w:val="none"/>
              </w:rPr>
              <w:t>接收原件经办人(招标代理)：</w:t>
            </w:r>
          </w:p>
        </w:tc>
        <w:tc>
          <w:tcPr>
            <w:tcW w:w="1994" w:type="dxa"/>
            <w:gridSpan w:val="2"/>
            <w:shd w:val="clear" w:color="auto" w:fill="auto"/>
            <w:noWrap w:val="0"/>
            <w:tcMar>
              <w:left w:w="108" w:type="dxa"/>
              <w:right w:w="108" w:type="dxa"/>
            </w:tcMar>
            <w:vAlign w:val="center"/>
          </w:tcPr>
          <w:p w14:paraId="7039FF5D">
            <w:pPr>
              <w:jc w:val="center"/>
              <w:rPr>
                <w:rFonts w:hint="eastAsia" w:hAnsi="宋体" w:cs="宋体"/>
                <w:color w:val="auto"/>
                <w:sz w:val="24"/>
                <w:szCs w:val="24"/>
                <w:highlight w:val="none"/>
              </w:rPr>
            </w:pPr>
          </w:p>
        </w:tc>
        <w:tc>
          <w:tcPr>
            <w:tcW w:w="1625" w:type="dxa"/>
            <w:shd w:val="clear" w:color="auto" w:fill="auto"/>
            <w:noWrap w:val="0"/>
            <w:tcMar>
              <w:left w:w="108" w:type="dxa"/>
              <w:right w:w="108" w:type="dxa"/>
            </w:tcMar>
            <w:vAlign w:val="center"/>
          </w:tcPr>
          <w:p w14:paraId="6CFCB42E">
            <w:pPr>
              <w:jc w:val="center"/>
              <w:rPr>
                <w:rFonts w:hint="eastAsia" w:hAnsi="宋体" w:cs="宋体"/>
                <w:color w:val="auto"/>
                <w:sz w:val="24"/>
                <w:szCs w:val="24"/>
                <w:highlight w:val="none"/>
              </w:rPr>
            </w:pPr>
            <w:r>
              <w:rPr>
                <w:rFonts w:hint="eastAsia" w:hAnsi="宋体" w:cs="宋体"/>
                <w:color w:val="auto"/>
                <w:sz w:val="24"/>
                <w:szCs w:val="24"/>
                <w:highlight w:val="none"/>
              </w:rPr>
              <w:t>接收时间：</w:t>
            </w:r>
          </w:p>
        </w:tc>
        <w:tc>
          <w:tcPr>
            <w:tcW w:w="3282" w:type="dxa"/>
            <w:gridSpan w:val="3"/>
            <w:shd w:val="clear" w:color="auto" w:fill="auto"/>
            <w:noWrap w:val="0"/>
            <w:tcMar>
              <w:left w:w="108" w:type="dxa"/>
              <w:right w:w="108" w:type="dxa"/>
            </w:tcMar>
            <w:vAlign w:val="center"/>
          </w:tcPr>
          <w:p w14:paraId="5F3DDF19">
            <w:pPr>
              <w:ind w:firstLine="720" w:firstLineChars="300"/>
              <w:jc w:val="left"/>
              <w:rPr>
                <w:rFonts w:hint="eastAsia" w:hAnsi="宋体" w:cs="宋体"/>
                <w:color w:val="auto"/>
                <w:sz w:val="24"/>
                <w:szCs w:val="24"/>
                <w:highlight w:val="none"/>
              </w:rPr>
            </w:pPr>
            <w:r>
              <w:rPr>
                <w:rFonts w:hint="eastAsia" w:hAnsi="宋体" w:cs="宋体"/>
                <w:color w:val="auto"/>
                <w:sz w:val="24"/>
                <w:szCs w:val="24"/>
                <w:highlight w:val="none"/>
              </w:rPr>
              <w:t>年   月   日   时  分</w:t>
            </w:r>
          </w:p>
        </w:tc>
      </w:tr>
      <w:tr w14:paraId="03E3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990" w:hRule="atLeast"/>
        </w:trPr>
        <w:tc>
          <w:tcPr>
            <w:tcW w:w="2207" w:type="dxa"/>
            <w:gridSpan w:val="2"/>
            <w:shd w:val="clear" w:color="auto" w:fill="auto"/>
            <w:noWrap w:val="0"/>
            <w:tcMar>
              <w:left w:w="108" w:type="dxa"/>
              <w:right w:w="108" w:type="dxa"/>
            </w:tcMar>
            <w:vAlign w:val="center"/>
          </w:tcPr>
          <w:p w14:paraId="50C35FD0">
            <w:pPr>
              <w:jc w:val="center"/>
              <w:rPr>
                <w:rFonts w:hint="eastAsia" w:hAnsi="宋体" w:cs="宋体"/>
                <w:color w:val="auto"/>
                <w:sz w:val="24"/>
                <w:szCs w:val="24"/>
                <w:highlight w:val="none"/>
              </w:rPr>
            </w:pPr>
            <w:r>
              <w:rPr>
                <w:rFonts w:hint="eastAsia" w:hAnsi="宋体" w:cs="宋体"/>
                <w:color w:val="auto"/>
                <w:sz w:val="24"/>
                <w:szCs w:val="24"/>
                <w:highlight w:val="none"/>
              </w:rPr>
              <w:t>退还原件接收人(投标人)：</w:t>
            </w:r>
          </w:p>
        </w:tc>
        <w:tc>
          <w:tcPr>
            <w:tcW w:w="1994" w:type="dxa"/>
            <w:gridSpan w:val="2"/>
            <w:shd w:val="clear" w:color="auto" w:fill="auto"/>
            <w:noWrap w:val="0"/>
            <w:tcMar>
              <w:left w:w="108" w:type="dxa"/>
              <w:right w:w="108" w:type="dxa"/>
            </w:tcMar>
            <w:vAlign w:val="center"/>
          </w:tcPr>
          <w:p w14:paraId="2E306509">
            <w:pPr>
              <w:jc w:val="center"/>
              <w:rPr>
                <w:rFonts w:hint="eastAsia" w:hAnsi="宋体" w:cs="宋体"/>
                <w:color w:val="auto"/>
                <w:sz w:val="24"/>
                <w:szCs w:val="24"/>
                <w:highlight w:val="none"/>
              </w:rPr>
            </w:pPr>
          </w:p>
        </w:tc>
        <w:tc>
          <w:tcPr>
            <w:tcW w:w="1625" w:type="dxa"/>
            <w:shd w:val="clear" w:color="auto" w:fill="auto"/>
            <w:noWrap w:val="0"/>
            <w:tcMar>
              <w:left w:w="108" w:type="dxa"/>
              <w:right w:w="108" w:type="dxa"/>
            </w:tcMar>
            <w:vAlign w:val="center"/>
          </w:tcPr>
          <w:p w14:paraId="330B90B6">
            <w:pPr>
              <w:jc w:val="center"/>
              <w:rPr>
                <w:rFonts w:hint="eastAsia" w:hAnsi="宋体" w:cs="宋体"/>
                <w:color w:val="auto"/>
                <w:sz w:val="24"/>
                <w:szCs w:val="24"/>
                <w:highlight w:val="none"/>
              </w:rPr>
            </w:pPr>
            <w:r>
              <w:rPr>
                <w:rFonts w:hint="eastAsia" w:hAnsi="宋体" w:cs="宋体"/>
                <w:color w:val="auto"/>
                <w:sz w:val="24"/>
                <w:szCs w:val="24"/>
                <w:highlight w:val="none"/>
              </w:rPr>
              <w:t>退还时间：</w:t>
            </w:r>
          </w:p>
        </w:tc>
        <w:tc>
          <w:tcPr>
            <w:tcW w:w="3282" w:type="dxa"/>
            <w:gridSpan w:val="3"/>
            <w:shd w:val="clear" w:color="auto" w:fill="auto"/>
            <w:noWrap w:val="0"/>
            <w:tcMar>
              <w:left w:w="108" w:type="dxa"/>
              <w:right w:w="108" w:type="dxa"/>
            </w:tcMar>
            <w:vAlign w:val="center"/>
          </w:tcPr>
          <w:p w14:paraId="1B2E0C0D">
            <w:pPr>
              <w:ind w:firstLine="720" w:firstLineChars="300"/>
              <w:jc w:val="left"/>
              <w:rPr>
                <w:rFonts w:hint="eastAsia" w:hAnsi="宋体" w:cs="宋体"/>
                <w:color w:val="auto"/>
                <w:sz w:val="24"/>
                <w:szCs w:val="24"/>
                <w:highlight w:val="none"/>
              </w:rPr>
            </w:pPr>
            <w:r>
              <w:rPr>
                <w:rFonts w:hint="eastAsia" w:hAnsi="宋体" w:cs="宋体"/>
                <w:color w:val="auto"/>
                <w:sz w:val="24"/>
                <w:szCs w:val="24"/>
                <w:highlight w:val="none"/>
              </w:rPr>
              <w:t>年   月   日   时   分</w:t>
            </w:r>
          </w:p>
        </w:tc>
      </w:tr>
    </w:tbl>
    <w:p w14:paraId="2043B9AC">
      <w:pPr>
        <w:bidi w:val="0"/>
        <w:rPr>
          <w:color w:val="auto"/>
          <w:highlight w:val="none"/>
        </w:rPr>
      </w:pPr>
    </w:p>
    <w:p w14:paraId="59158BD3">
      <w:pPr>
        <w:rPr>
          <w:color w:val="auto"/>
          <w:highlight w:val="none"/>
        </w:rPr>
      </w:pPr>
    </w:p>
    <w:p w14:paraId="65603D6D">
      <w:pPr>
        <w:bidi w:val="0"/>
        <w:rPr>
          <w:color w:val="auto"/>
          <w:highlight w:val="none"/>
        </w:rPr>
      </w:pPr>
    </w:p>
    <w:p w14:paraId="0A3C98D3">
      <w:pPr>
        <w:bidi w:val="0"/>
        <w:rPr>
          <w:color w:val="auto"/>
          <w:highlight w:val="none"/>
        </w:rPr>
      </w:pPr>
    </w:p>
    <w:p w14:paraId="1E5C483D">
      <w:pPr>
        <w:pStyle w:val="3"/>
        <w:bidi w:val="0"/>
        <w:rPr>
          <w:rFonts w:hint="default" w:ascii="宋体" w:hAnsi="Times New Roman" w:eastAsia="宋体" w:cs="Times New Roman"/>
          <w:b/>
          <w:bCs/>
          <w:color w:val="auto"/>
          <w:highlight w:val="none"/>
          <w:lang w:val="en-US" w:eastAsia="zh-CN"/>
        </w:rPr>
      </w:pPr>
      <w:bookmarkStart w:id="339" w:name="_Toc26582"/>
      <w:bookmarkStart w:id="340" w:name="_Toc20950"/>
      <w:r>
        <w:rPr>
          <w:rFonts w:hint="eastAsia" w:ascii="宋体" w:hAnsi="Times New Roman" w:eastAsia="宋体" w:cs="Times New Roman"/>
          <w:b/>
          <w:bCs/>
          <w:color w:val="auto"/>
          <w:highlight w:val="none"/>
          <w:lang w:val="en-US" w:eastAsia="zh-CN"/>
        </w:rPr>
        <w:t>格式十四 定标因素评审资料</w:t>
      </w:r>
      <w:bookmarkEnd w:id="339"/>
      <w:bookmarkEnd w:id="340"/>
    </w:p>
    <w:p w14:paraId="24D780F8">
      <w:pPr>
        <w:spacing w:line="500" w:lineRule="exact"/>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lang w:eastAsia="zh-CN"/>
        </w:rPr>
        <w:t>定标因素评审资料</w:t>
      </w:r>
    </w:p>
    <w:p w14:paraId="5DDF89F2">
      <w:pPr>
        <w:jc w:val="left"/>
        <w:rPr>
          <w:rFonts w:hint="eastAsia" w:ascii="宋体" w:hAnsi="宋体" w:eastAsia="宋体" w:cs="宋体"/>
          <w:color w:val="auto"/>
          <w:sz w:val="24"/>
          <w:highlight w:val="none"/>
          <w:lang w:eastAsia="zh-CN"/>
        </w:rPr>
      </w:pPr>
    </w:p>
    <w:p w14:paraId="430FF920">
      <w:pPr>
        <w:bidi w:val="0"/>
        <w:ind w:firstLine="560" w:firstLineChars="200"/>
        <w:rPr>
          <w:rFonts w:hint="eastAsia"/>
          <w:color w:val="auto"/>
          <w:highlight w:val="none"/>
        </w:rPr>
      </w:pPr>
      <w:r>
        <w:rPr>
          <w:rFonts w:hint="eastAsia" w:ascii="宋体" w:hAnsi="宋体" w:eastAsia="宋体" w:cs="宋体"/>
          <w:b w:val="0"/>
          <w:bCs w:val="0"/>
          <w:color w:val="auto"/>
          <w:sz w:val="28"/>
          <w:szCs w:val="28"/>
          <w:highlight w:val="none"/>
          <w:lang w:val="en-US" w:eastAsia="zh-CN"/>
        </w:rPr>
        <w:t>投标人根据“</w:t>
      </w:r>
      <w:r>
        <w:rPr>
          <w:rFonts w:hint="eastAsia" w:ascii="宋体" w:hAnsi="宋体" w:eastAsia="宋体" w:cs="宋体"/>
          <w:b w:val="0"/>
          <w:bCs w:val="0"/>
          <w:color w:val="auto"/>
          <w:sz w:val="28"/>
          <w:szCs w:val="28"/>
          <w:highlight w:val="none"/>
        </w:rPr>
        <w:t>第</w:t>
      </w:r>
      <w:r>
        <w:rPr>
          <w:rFonts w:hint="eastAsia" w:ascii="宋体" w:hAnsi="宋体" w:eastAsia="宋体" w:cs="宋体"/>
          <w:b w:val="0"/>
          <w:bCs w:val="0"/>
          <w:color w:val="auto"/>
          <w:sz w:val="28"/>
          <w:szCs w:val="28"/>
          <w:highlight w:val="none"/>
          <w:lang w:val="en-US" w:eastAsia="zh-CN"/>
        </w:rPr>
        <w:t>一</w:t>
      </w:r>
      <w:r>
        <w:rPr>
          <w:rFonts w:hint="eastAsia" w:ascii="宋体" w:hAnsi="宋体" w:eastAsia="宋体" w:cs="宋体"/>
          <w:b w:val="0"/>
          <w:bCs w:val="0"/>
          <w:color w:val="auto"/>
          <w:sz w:val="28"/>
          <w:szCs w:val="28"/>
          <w:highlight w:val="none"/>
        </w:rPr>
        <w:t>章</w:t>
      </w:r>
      <w:r>
        <w:rPr>
          <w:rFonts w:hint="eastAsia" w:ascii="宋体" w:hAnsi="宋体" w:eastAsia="宋体" w:cs="宋体"/>
          <w:b w:val="0"/>
          <w:bCs w:val="0"/>
          <w:color w:val="auto"/>
          <w:sz w:val="28"/>
          <w:szCs w:val="28"/>
          <w:highlight w:val="none"/>
          <w:lang w:val="en-US" w:eastAsia="zh-CN"/>
        </w:rPr>
        <w:t xml:space="preserve"> 第五节 定标规定及细则”载明的</w:t>
      </w:r>
      <w:r>
        <w:rPr>
          <w:rFonts w:hint="eastAsia" w:ascii="宋体" w:hAnsi="宋体" w:eastAsia="宋体" w:cs="宋体"/>
          <w:b w:val="0"/>
          <w:bCs w:val="0"/>
          <w:color w:val="auto"/>
          <w:sz w:val="28"/>
          <w:szCs w:val="28"/>
          <w:highlight w:val="none"/>
          <w:lang w:eastAsia="zh-CN"/>
        </w:rPr>
        <w:t>定标因素，</w:t>
      </w:r>
      <w:r>
        <w:rPr>
          <w:rFonts w:hint="eastAsia" w:ascii="宋体" w:hAnsi="宋体" w:eastAsia="宋体" w:cs="宋体"/>
          <w:b w:val="0"/>
          <w:bCs w:val="0"/>
          <w:color w:val="auto"/>
          <w:sz w:val="28"/>
          <w:szCs w:val="28"/>
          <w:highlight w:val="none"/>
          <w:lang w:val="en-US" w:eastAsia="zh-CN"/>
        </w:rPr>
        <w:t>提交</w:t>
      </w:r>
      <w:r>
        <w:rPr>
          <w:rFonts w:hint="eastAsia" w:ascii="宋体" w:hAnsi="宋体" w:eastAsia="宋体" w:cs="宋体"/>
          <w:b w:val="0"/>
          <w:bCs w:val="0"/>
          <w:color w:val="auto"/>
          <w:sz w:val="28"/>
          <w:szCs w:val="28"/>
          <w:highlight w:val="none"/>
          <w:lang w:eastAsia="zh-CN"/>
        </w:rPr>
        <w:t>评审资料。</w:t>
      </w:r>
    </w:p>
    <w:p w14:paraId="5CD5A7CC">
      <w:pPr>
        <w:bidi w:val="0"/>
        <w:rPr>
          <w:color w:val="auto"/>
          <w:highlight w:val="none"/>
        </w:rPr>
      </w:pPr>
    </w:p>
    <w:p w14:paraId="224DCC5B">
      <w:pPr>
        <w:bidi w:val="0"/>
        <w:rPr>
          <w:color w:val="auto"/>
          <w:highlight w:val="none"/>
        </w:rPr>
      </w:pPr>
    </w:p>
    <w:p w14:paraId="1B7B353C">
      <w:pPr>
        <w:bidi w:val="0"/>
        <w:rPr>
          <w:color w:val="auto"/>
          <w:highlight w:val="none"/>
        </w:rPr>
      </w:pPr>
    </w:p>
    <w:p w14:paraId="4DD504FF">
      <w:pPr>
        <w:bidi w:val="0"/>
        <w:rPr>
          <w:color w:val="auto"/>
          <w:highlight w:val="none"/>
        </w:rPr>
      </w:pPr>
    </w:p>
    <w:p w14:paraId="71F4DEB1">
      <w:pPr>
        <w:bidi w:val="0"/>
        <w:rPr>
          <w:color w:val="auto"/>
          <w:highlight w:val="none"/>
        </w:rPr>
      </w:pPr>
    </w:p>
    <w:p w14:paraId="541FF22D">
      <w:pPr>
        <w:bidi w:val="0"/>
        <w:rPr>
          <w:color w:val="auto"/>
          <w:highlight w:val="none"/>
        </w:rPr>
      </w:pPr>
    </w:p>
    <w:p w14:paraId="6EF12BDF">
      <w:pPr>
        <w:bidi w:val="0"/>
        <w:rPr>
          <w:color w:val="auto"/>
          <w:highlight w:val="none"/>
        </w:rPr>
      </w:pPr>
    </w:p>
    <w:p w14:paraId="3C3E4EA6">
      <w:pPr>
        <w:bidi w:val="0"/>
        <w:rPr>
          <w:color w:val="auto"/>
          <w:highlight w:val="none"/>
        </w:rPr>
      </w:pPr>
    </w:p>
    <w:p w14:paraId="25A54F8A">
      <w:pPr>
        <w:bidi w:val="0"/>
        <w:rPr>
          <w:color w:val="auto"/>
          <w:highlight w:val="none"/>
        </w:rPr>
      </w:pPr>
    </w:p>
    <w:p w14:paraId="7BB2E1BE">
      <w:pPr>
        <w:bidi w:val="0"/>
        <w:rPr>
          <w:color w:val="auto"/>
          <w:highlight w:val="none"/>
        </w:rPr>
      </w:pPr>
    </w:p>
    <w:p w14:paraId="6E900E51">
      <w:pPr>
        <w:bidi w:val="0"/>
        <w:rPr>
          <w:color w:val="auto"/>
          <w:highlight w:val="none"/>
        </w:rPr>
      </w:pPr>
    </w:p>
    <w:p w14:paraId="3F0B6F08">
      <w:pPr>
        <w:bidi w:val="0"/>
        <w:rPr>
          <w:color w:val="auto"/>
          <w:highlight w:val="none"/>
        </w:rPr>
      </w:pPr>
    </w:p>
    <w:p w14:paraId="5DCC874D">
      <w:pPr>
        <w:bidi w:val="0"/>
        <w:rPr>
          <w:color w:val="auto"/>
          <w:highlight w:val="none"/>
        </w:rPr>
      </w:pPr>
    </w:p>
    <w:p w14:paraId="6526A244">
      <w:pPr>
        <w:bidi w:val="0"/>
        <w:rPr>
          <w:color w:val="auto"/>
          <w:highlight w:val="none"/>
        </w:rPr>
      </w:pPr>
    </w:p>
    <w:p w14:paraId="4ED48908">
      <w:pPr>
        <w:bidi w:val="0"/>
        <w:rPr>
          <w:color w:val="auto"/>
          <w:highlight w:val="none"/>
        </w:rPr>
      </w:pPr>
    </w:p>
    <w:p w14:paraId="3B5B7986">
      <w:pPr>
        <w:bidi w:val="0"/>
        <w:rPr>
          <w:color w:val="auto"/>
          <w:highlight w:val="none"/>
        </w:rPr>
      </w:pPr>
    </w:p>
    <w:p w14:paraId="4F80CCBE">
      <w:pPr>
        <w:bidi w:val="0"/>
        <w:rPr>
          <w:color w:val="auto"/>
          <w:highlight w:val="none"/>
        </w:rPr>
      </w:pPr>
    </w:p>
    <w:p w14:paraId="6256CBCA">
      <w:pPr>
        <w:bidi w:val="0"/>
        <w:rPr>
          <w:color w:val="auto"/>
          <w:highlight w:val="none"/>
        </w:rPr>
      </w:pPr>
    </w:p>
    <w:p w14:paraId="04C2EBA6">
      <w:pPr>
        <w:bidi w:val="0"/>
        <w:rPr>
          <w:color w:val="auto"/>
          <w:highlight w:val="none"/>
        </w:rPr>
      </w:pPr>
    </w:p>
    <w:p w14:paraId="2F12E276">
      <w:pPr>
        <w:bidi w:val="0"/>
        <w:rPr>
          <w:color w:val="auto"/>
          <w:highlight w:val="none"/>
        </w:rPr>
      </w:pPr>
    </w:p>
    <w:p w14:paraId="08784C83">
      <w:pPr>
        <w:bidi w:val="0"/>
        <w:rPr>
          <w:color w:val="auto"/>
          <w:highlight w:val="none"/>
        </w:rPr>
      </w:pPr>
    </w:p>
    <w:p w14:paraId="6EBFC516">
      <w:pPr>
        <w:bidi w:val="0"/>
        <w:rPr>
          <w:color w:val="auto"/>
          <w:highlight w:val="none"/>
        </w:rPr>
      </w:pPr>
    </w:p>
    <w:p w14:paraId="674D797D">
      <w:pPr>
        <w:bidi w:val="0"/>
        <w:rPr>
          <w:color w:val="auto"/>
          <w:highlight w:val="none"/>
        </w:rPr>
      </w:pPr>
    </w:p>
    <w:p w14:paraId="7223BA5B">
      <w:pPr>
        <w:bidi w:val="0"/>
        <w:rPr>
          <w:color w:val="auto"/>
          <w:highlight w:val="none"/>
        </w:rPr>
      </w:pPr>
    </w:p>
    <w:bookmarkEnd w:id="336"/>
    <w:bookmarkEnd w:id="337"/>
    <w:p w14:paraId="6FEFA5B3">
      <w:pPr>
        <w:pStyle w:val="149"/>
        <w:keepNext/>
        <w:keepLines/>
        <w:snapToGrid w:val="0"/>
        <w:spacing w:line="400" w:lineRule="exact"/>
        <w:jc w:val="center"/>
        <w:rPr>
          <w:rFonts w:ascii="宋体" w:hAnsi="宋体" w:cs="宋体"/>
          <w:b/>
          <w:color w:val="auto"/>
          <w:kern w:val="44"/>
          <w:sz w:val="32"/>
          <w:szCs w:val="22"/>
          <w:highlight w:val="none"/>
        </w:rPr>
      </w:pPr>
      <w:bookmarkStart w:id="341" w:name="_Toc13722"/>
      <w:bookmarkStart w:id="342" w:name="_Toc132687128"/>
      <w:bookmarkStart w:id="343" w:name="_Toc137444778"/>
      <w:bookmarkStart w:id="344" w:name="_Toc24615"/>
      <w:bookmarkStart w:id="345" w:name="_Toc142468134"/>
      <w:bookmarkStart w:id="346" w:name="_Toc3174"/>
      <w:bookmarkStart w:id="347" w:name="_Toc133160683"/>
      <w:bookmarkStart w:id="348" w:name="_Toc78794873"/>
      <w:bookmarkStart w:id="349" w:name="_Toc133815902"/>
      <w:r>
        <w:rPr>
          <w:rFonts w:hint="eastAsia" w:ascii="宋体" w:hAnsi="宋体" w:cs="宋体"/>
          <w:b/>
          <w:color w:val="auto"/>
          <w:kern w:val="44"/>
          <w:sz w:val="32"/>
          <w:szCs w:val="22"/>
          <w:highlight w:val="none"/>
        </w:rPr>
        <w:t>第六章 建设工程监理合同</w:t>
      </w:r>
      <w:bookmarkEnd w:id="341"/>
      <w:bookmarkEnd w:id="342"/>
      <w:bookmarkEnd w:id="343"/>
      <w:bookmarkEnd w:id="344"/>
      <w:bookmarkEnd w:id="345"/>
      <w:bookmarkEnd w:id="346"/>
      <w:bookmarkEnd w:id="347"/>
    </w:p>
    <w:p w14:paraId="489A5B59">
      <w:pPr>
        <w:wordWrap w:val="0"/>
        <w:adjustRightInd w:val="0"/>
        <w:snapToGrid w:val="0"/>
        <w:spacing w:before="360" w:beforeLines="150" w:line="400" w:lineRule="exact"/>
        <w:rPr>
          <w:rFonts w:hAnsi="宋体" w:cs="宋体"/>
          <w:color w:val="auto"/>
          <w:highlight w:val="none"/>
        </w:rPr>
      </w:pPr>
      <w:r>
        <w:rPr>
          <w:rFonts w:hint="eastAsia" w:hAnsi="宋体" w:cs="宋体"/>
          <w:snapToGrid w:val="0"/>
          <w:color w:val="auto"/>
          <w:kern w:val="0"/>
          <w:highlight w:val="none"/>
        </w:rPr>
        <w:t xml:space="preserve">    （略），</w:t>
      </w:r>
      <w:bookmarkEnd w:id="348"/>
      <w:bookmarkEnd w:id="349"/>
      <w:r>
        <w:rPr>
          <w:rFonts w:hint="eastAsia" w:hAnsi="宋体" w:cs="宋体"/>
          <w:snapToGrid w:val="0"/>
          <w:color w:val="auto"/>
          <w:kern w:val="0"/>
          <w:highlight w:val="none"/>
        </w:rPr>
        <w:t>按</w:t>
      </w:r>
      <w:r>
        <w:rPr>
          <w:rFonts w:hint="eastAsia" w:hAnsi="宋体" w:cs="宋体"/>
          <w:b/>
          <w:bCs/>
          <w:snapToGrid w:val="0"/>
          <w:color w:val="auto"/>
          <w:kern w:val="0"/>
          <w:highlight w:val="none"/>
          <w:lang w:eastAsia="zh-CN"/>
        </w:rPr>
        <w:t>《</w:t>
      </w:r>
      <w:r>
        <w:rPr>
          <w:rFonts w:hint="eastAsia" w:hAnsi="宋体" w:cs="宋体"/>
          <w:b/>
          <w:bCs/>
          <w:snapToGrid w:val="0"/>
          <w:color w:val="auto"/>
          <w:kern w:val="0"/>
          <w:highlight w:val="none"/>
        </w:rPr>
        <w:t>建设工程监理合同示范文本</w:t>
      </w:r>
      <w:r>
        <w:rPr>
          <w:rFonts w:hint="eastAsia" w:hAnsi="宋体" w:cs="宋体"/>
          <w:b/>
          <w:bCs/>
          <w:snapToGrid w:val="0"/>
          <w:color w:val="auto"/>
          <w:kern w:val="0"/>
          <w:highlight w:val="none"/>
          <w:lang w:eastAsia="zh-CN"/>
        </w:rPr>
        <w:t>》（房屋建筑</w:t>
      </w:r>
      <w:r>
        <w:rPr>
          <w:rFonts w:hint="eastAsia" w:hAnsi="宋体" w:cs="宋体"/>
          <w:b/>
          <w:bCs/>
          <w:snapToGrid w:val="0"/>
          <w:color w:val="auto"/>
          <w:kern w:val="0"/>
          <w:highlight w:val="none"/>
          <w:lang w:val="en-US" w:eastAsia="zh-CN"/>
        </w:rPr>
        <w:t>和市政工程</w:t>
      </w:r>
      <w:r>
        <w:rPr>
          <w:rFonts w:hint="eastAsia" w:hAnsi="宋体" w:cs="宋体"/>
          <w:b/>
          <w:bCs/>
          <w:snapToGrid w:val="0"/>
          <w:color w:val="auto"/>
          <w:kern w:val="0"/>
          <w:highlight w:val="none"/>
        </w:rPr>
        <w:t>WJ-2025-0922</w:t>
      </w:r>
      <w:r>
        <w:rPr>
          <w:rFonts w:hint="eastAsia" w:hAnsi="宋体" w:cs="宋体"/>
          <w:b/>
          <w:bCs/>
          <w:snapToGrid w:val="0"/>
          <w:color w:val="auto"/>
          <w:kern w:val="0"/>
          <w:highlight w:val="none"/>
          <w:lang w:eastAsia="zh-CN"/>
        </w:rPr>
        <w:t>）</w:t>
      </w:r>
      <w:r>
        <w:rPr>
          <w:rFonts w:hint="eastAsia" w:hAnsi="宋体" w:cs="宋体"/>
          <w:snapToGrid w:val="0"/>
          <w:color w:val="auto"/>
          <w:kern w:val="0"/>
          <w:highlight w:val="none"/>
        </w:rPr>
        <w:t>执行。</w:t>
      </w:r>
    </w:p>
    <w:p w14:paraId="6CF11764">
      <w:pPr>
        <w:pStyle w:val="9"/>
        <w:snapToGrid w:val="0"/>
        <w:spacing w:line="400" w:lineRule="exact"/>
        <w:rPr>
          <w:rFonts w:hAnsi="宋体" w:cs="宋体"/>
          <w:snapToGrid w:val="0"/>
          <w:color w:val="auto"/>
          <w:highlight w:val="none"/>
        </w:rPr>
      </w:pPr>
    </w:p>
    <w:p w14:paraId="1A971CE4">
      <w:pPr>
        <w:pStyle w:val="72"/>
        <w:widowControl w:val="0"/>
        <w:wordWrap w:val="0"/>
        <w:adjustRightInd w:val="0"/>
        <w:snapToGrid w:val="0"/>
        <w:spacing w:line="400" w:lineRule="exact"/>
        <w:ind w:firstLine="0"/>
        <w:rPr>
          <w:rFonts w:hAnsi="宋体" w:cs="宋体"/>
          <w:snapToGrid w:val="0"/>
          <w:color w:val="auto"/>
          <w:sz w:val="21"/>
          <w:highlight w:val="none"/>
        </w:rPr>
      </w:pPr>
    </w:p>
    <w:sectPr>
      <w:footerReference r:id="rId7" w:type="default"/>
      <w:endnotePr>
        <w:numFmt w:val="decimal"/>
      </w:endnotePr>
      <w:pgSz w:w="11906" w:h="16838"/>
      <w:pgMar w:top="1134" w:right="1134" w:bottom="1134" w:left="1134" w:header="850" w:footer="850" w:gutter="0"/>
      <w:cols w:space="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3DB4A">
    <w:pPr>
      <w:pStyle w:val="18"/>
      <w:pBdr>
        <w:between w:val="none" w:color="auto" w:sz="0" w:space="0"/>
      </w:pBdr>
      <w:rPr>
        <w:rFonts w:hint="eastAsia"/>
      </w:rPr>
    </w:pPr>
  </w:p>
  <w:p w14:paraId="323B49D0">
    <w:pPr>
      <w:pStyle w:val="18"/>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ED75B">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60097F">
                          <w:pPr>
                            <w:pStyle w:val="18"/>
                          </w:pPr>
                          <w:r>
                            <w:rPr>
                              <w:rFonts w:hint="eastAsia" w:ascii="Times New Roman"/>
                              <w:sz w:val="21"/>
                            </w:rPr>
                            <w:t>—</w:t>
                          </w:r>
                          <w:r>
                            <w:rPr>
                              <w:rFonts w:hint="eastAsia" w:hAnsi="宋体" w:cs="宋体"/>
                              <w:sz w:val="21"/>
                            </w:rPr>
                            <w:fldChar w:fldCharType="begin"/>
                          </w:r>
                          <w:r>
                            <w:rPr>
                              <w:rFonts w:hint="eastAsia" w:hAnsi="宋体" w:cs="宋体"/>
                              <w:sz w:val="21"/>
                            </w:rPr>
                            <w:instrText xml:space="preserve"> PAGE  \* MERGEFORMAT </w:instrText>
                          </w:r>
                          <w:r>
                            <w:rPr>
                              <w:rFonts w:hint="eastAsia" w:hAnsi="宋体" w:cs="宋体"/>
                              <w:sz w:val="21"/>
                            </w:rPr>
                            <w:fldChar w:fldCharType="separate"/>
                          </w:r>
                          <w:r>
                            <w:rPr>
                              <w:rFonts w:hAnsi="宋体" w:cs="宋体"/>
                            </w:rPr>
                            <w:t>45</w:t>
                          </w:r>
                          <w:r>
                            <w:rPr>
                              <w:rFonts w:hint="eastAsia" w:hAnsi="宋体" w:cs="宋体"/>
                              <w:sz w:val="21"/>
                            </w:rPr>
                            <w:fldChar w:fldCharType="end"/>
                          </w:r>
                          <w:r>
                            <w:rPr>
                              <w:rFonts w:hint="eastAsia" w:ascii="Times New Roman"/>
                              <w:sz w:val="21"/>
                            </w:rPr>
                            <w:t>—</w:t>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NospqfXAQAAsgMAAA4AAAAAAAAAAQAgAAAA&#10;HgEAAGRycy9lMm9Eb2MueG1sUEsFBgAAAAAGAAYAWQEAAGcFAAAAAA==&#10;">
              <v:fill on="f" focussize="0,0"/>
              <v:stroke on="f"/>
              <v:imagedata o:title=""/>
              <o:lock v:ext="edit" aspectratio="f"/>
              <v:textbox inset="0mm,0mm,0mm,0mm" style="mso-fit-shape-to-text:t;">
                <w:txbxContent>
                  <w:p w14:paraId="6360097F">
                    <w:pPr>
                      <w:pStyle w:val="18"/>
                    </w:pPr>
                    <w:r>
                      <w:rPr>
                        <w:rFonts w:hint="eastAsia" w:ascii="Times New Roman"/>
                        <w:sz w:val="21"/>
                      </w:rPr>
                      <w:t>—</w:t>
                    </w:r>
                    <w:r>
                      <w:rPr>
                        <w:rFonts w:hint="eastAsia" w:hAnsi="宋体" w:cs="宋体"/>
                        <w:sz w:val="21"/>
                      </w:rPr>
                      <w:fldChar w:fldCharType="begin"/>
                    </w:r>
                    <w:r>
                      <w:rPr>
                        <w:rFonts w:hint="eastAsia" w:hAnsi="宋体" w:cs="宋体"/>
                        <w:sz w:val="21"/>
                      </w:rPr>
                      <w:instrText xml:space="preserve"> PAGE  \* MERGEFORMAT </w:instrText>
                    </w:r>
                    <w:r>
                      <w:rPr>
                        <w:rFonts w:hint="eastAsia" w:hAnsi="宋体" w:cs="宋体"/>
                        <w:sz w:val="21"/>
                      </w:rPr>
                      <w:fldChar w:fldCharType="separate"/>
                    </w:r>
                    <w:r>
                      <w:rPr>
                        <w:rFonts w:hAnsi="宋体" w:cs="宋体"/>
                      </w:rPr>
                      <w:t>45</w:t>
                    </w:r>
                    <w:r>
                      <w:rPr>
                        <w:rFonts w:hint="eastAsia" w:hAnsi="宋体" w:cs="宋体"/>
                        <w:sz w:val="21"/>
                      </w:rPr>
                      <w:fldChar w:fldCharType="end"/>
                    </w:r>
                    <w:r>
                      <w:rPr>
                        <w:rFonts w:hint="eastAsia" w:ascii="Times New Roman"/>
                        <w:sz w:val="21"/>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E6401">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A73AE3">
                          <w:pPr>
                            <w:pStyle w:val="18"/>
                          </w:pP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57</w:t>
                          </w:r>
                          <w:r>
                            <w:rPr>
                              <w:rFonts w:ascii="Times New Roman"/>
                              <w:sz w:val="21"/>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xTN8ABAACN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2cg0Ib44JC5d+MuoENRfDKRVG80blNXh8L1kPf9H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CdDFM3wAEAAI0DAAAOAAAAAAAAAAEAIAAAAB4BAABkcnMvZTJvRG9jLnhtbFBLBQYA&#10;AAAABgAGAFkBAABQBQAAAAA=&#10;">
              <v:fill on="f" focussize="0,0"/>
              <v:stroke on="f"/>
              <v:imagedata o:title=""/>
              <o:lock v:ext="edit" aspectratio="f"/>
              <v:textbox inset="0mm,0mm,0mm,0mm" style="mso-fit-shape-to-text:t;">
                <w:txbxContent>
                  <w:p w14:paraId="75A73AE3">
                    <w:pPr>
                      <w:pStyle w:val="18"/>
                    </w:pP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57</w:t>
                    </w:r>
                    <w:r>
                      <w:rPr>
                        <w:rFonts w:ascii="Times New Roman"/>
                        <w:sz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xZDA0NTY0Yzc5OGVjODYxNjc1ZjJjYjI0MTIwNjIifQ=="/>
  </w:docVars>
  <w:rsids>
    <w:rsidRoot w:val="00172A27"/>
    <w:rsid w:val="00041C36"/>
    <w:rsid w:val="00050F86"/>
    <w:rsid w:val="000C1D2D"/>
    <w:rsid w:val="00153E0E"/>
    <w:rsid w:val="00172A27"/>
    <w:rsid w:val="001F053E"/>
    <w:rsid w:val="002543A6"/>
    <w:rsid w:val="002A3912"/>
    <w:rsid w:val="002A7E8D"/>
    <w:rsid w:val="00410516"/>
    <w:rsid w:val="00484F5E"/>
    <w:rsid w:val="004B70BA"/>
    <w:rsid w:val="004D7577"/>
    <w:rsid w:val="00567655"/>
    <w:rsid w:val="00590B05"/>
    <w:rsid w:val="005B2D42"/>
    <w:rsid w:val="00771397"/>
    <w:rsid w:val="00826BCD"/>
    <w:rsid w:val="008E4DA0"/>
    <w:rsid w:val="009329EC"/>
    <w:rsid w:val="00932BB8"/>
    <w:rsid w:val="00964E9C"/>
    <w:rsid w:val="00990279"/>
    <w:rsid w:val="00A110EA"/>
    <w:rsid w:val="00A32A2E"/>
    <w:rsid w:val="00A77565"/>
    <w:rsid w:val="00B5203F"/>
    <w:rsid w:val="00B640AC"/>
    <w:rsid w:val="00C04E46"/>
    <w:rsid w:val="00C621A8"/>
    <w:rsid w:val="00C933CE"/>
    <w:rsid w:val="00C970D2"/>
    <w:rsid w:val="00CB4415"/>
    <w:rsid w:val="00D52B05"/>
    <w:rsid w:val="00DA2408"/>
    <w:rsid w:val="00DC1846"/>
    <w:rsid w:val="00E40A50"/>
    <w:rsid w:val="00EF7950"/>
    <w:rsid w:val="00F214A7"/>
    <w:rsid w:val="00F679B3"/>
    <w:rsid w:val="0158531E"/>
    <w:rsid w:val="01AC7678"/>
    <w:rsid w:val="01AF70E0"/>
    <w:rsid w:val="01C427EB"/>
    <w:rsid w:val="01D07479"/>
    <w:rsid w:val="01D22CED"/>
    <w:rsid w:val="01DA01AC"/>
    <w:rsid w:val="01F86CD9"/>
    <w:rsid w:val="02647AB9"/>
    <w:rsid w:val="027C0AD0"/>
    <w:rsid w:val="02BB47BA"/>
    <w:rsid w:val="02BE191A"/>
    <w:rsid w:val="02D320E0"/>
    <w:rsid w:val="02E6644C"/>
    <w:rsid w:val="03280EF8"/>
    <w:rsid w:val="032B3195"/>
    <w:rsid w:val="03353615"/>
    <w:rsid w:val="03606DA8"/>
    <w:rsid w:val="03727922"/>
    <w:rsid w:val="03826431"/>
    <w:rsid w:val="03AA0611"/>
    <w:rsid w:val="03AE02E8"/>
    <w:rsid w:val="03B83805"/>
    <w:rsid w:val="0455083C"/>
    <w:rsid w:val="04780182"/>
    <w:rsid w:val="04841E6C"/>
    <w:rsid w:val="048707A2"/>
    <w:rsid w:val="04D81F7C"/>
    <w:rsid w:val="0540319E"/>
    <w:rsid w:val="05D37647"/>
    <w:rsid w:val="06096CBB"/>
    <w:rsid w:val="06336531"/>
    <w:rsid w:val="0636289C"/>
    <w:rsid w:val="06372B69"/>
    <w:rsid w:val="06403908"/>
    <w:rsid w:val="06437A4D"/>
    <w:rsid w:val="064E157F"/>
    <w:rsid w:val="06685A39"/>
    <w:rsid w:val="066863D5"/>
    <w:rsid w:val="0680104B"/>
    <w:rsid w:val="06B12BCD"/>
    <w:rsid w:val="06BD5A5C"/>
    <w:rsid w:val="06CE69E4"/>
    <w:rsid w:val="06F44232"/>
    <w:rsid w:val="071A4FFB"/>
    <w:rsid w:val="072F60EA"/>
    <w:rsid w:val="073003F6"/>
    <w:rsid w:val="073C1416"/>
    <w:rsid w:val="07626CD1"/>
    <w:rsid w:val="076349FE"/>
    <w:rsid w:val="07D52779"/>
    <w:rsid w:val="07F654CB"/>
    <w:rsid w:val="07F90245"/>
    <w:rsid w:val="08077FE9"/>
    <w:rsid w:val="08432B8E"/>
    <w:rsid w:val="085D1A1C"/>
    <w:rsid w:val="0872069D"/>
    <w:rsid w:val="08767FD2"/>
    <w:rsid w:val="087D7F38"/>
    <w:rsid w:val="08970A40"/>
    <w:rsid w:val="09702125"/>
    <w:rsid w:val="09B41737"/>
    <w:rsid w:val="09CA2D09"/>
    <w:rsid w:val="09E65669"/>
    <w:rsid w:val="09EA5159"/>
    <w:rsid w:val="09F5235C"/>
    <w:rsid w:val="0A0E69FD"/>
    <w:rsid w:val="0A3E54A5"/>
    <w:rsid w:val="0A570314"/>
    <w:rsid w:val="0A6523F4"/>
    <w:rsid w:val="0A685FB5"/>
    <w:rsid w:val="0A740EC6"/>
    <w:rsid w:val="0A9F6084"/>
    <w:rsid w:val="0B4006EB"/>
    <w:rsid w:val="0B914627"/>
    <w:rsid w:val="0B9B6EF0"/>
    <w:rsid w:val="0B9E10B5"/>
    <w:rsid w:val="0B9E1CB0"/>
    <w:rsid w:val="0BC47C2C"/>
    <w:rsid w:val="0BE65DF4"/>
    <w:rsid w:val="0BF24552"/>
    <w:rsid w:val="0C0D7AE6"/>
    <w:rsid w:val="0C227F1F"/>
    <w:rsid w:val="0C85560D"/>
    <w:rsid w:val="0CA02447"/>
    <w:rsid w:val="0CA20070"/>
    <w:rsid w:val="0CC7733C"/>
    <w:rsid w:val="0CC80FED"/>
    <w:rsid w:val="0CD32A34"/>
    <w:rsid w:val="0CF12128"/>
    <w:rsid w:val="0D140105"/>
    <w:rsid w:val="0D364445"/>
    <w:rsid w:val="0D710A31"/>
    <w:rsid w:val="0D7E1192"/>
    <w:rsid w:val="0DB82B2F"/>
    <w:rsid w:val="0E0322E5"/>
    <w:rsid w:val="0E650489"/>
    <w:rsid w:val="0E8273DD"/>
    <w:rsid w:val="0E954BA0"/>
    <w:rsid w:val="0EAF2288"/>
    <w:rsid w:val="0EC544EB"/>
    <w:rsid w:val="0F177F3C"/>
    <w:rsid w:val="0F287BA3"/>
    <w:rsid w:val="0F3B1552"/>
    <w:rsid w:val="0F823F1F"/>
    <w:rsid w:val="0FA01990"/>
    <w:rsid w:val="0FA1224B"/>
    <w:rsid w:val="0FAB1B4B"/>
    <w:rsid w:val="0FC147F0"/>
    <w:rsid w:val="0FC83017"/>
    <w:rsid w:val="0FCF62FB"/>
    <w:rsid w:val="0FDE143F"/>
    <w:rsid w:val="0FED49BA"/>
    <w:rsid w:val="0FEF717F"/>
    <w:rsid w:val="106F6EDC"/>
    <w:rsid w:val="10BB100E"/>
    <w:rsid w:val="10CF5BBB"/>
    <w:rsid w:val="10E072B6"/>
    <w:rsid w:val="10FB5335"/>
    <w:rsid w:val="10FD39C4"/>
    <w:rsid w:val="11160F29"/>
    <w:rsid w:val="112D1D65"/>
    <w:rsid w:val="11303196"/>
    <w:rsid w:val="11360437"/>
    <w:rsid w:val="113B11BA"/>
    <w:rsid w:val="11515ABE"/>
    <w:rsid w:val="116021A5"/>
    <w:rsid w:val="11A42091"/>
    <w:rsid w:val="11D67B34"/>
    <w:rsid w:val="11F70077"/>
    <w:rsid w:val="11FE6FE0"/>
    <w:rsid w:val="121459A3"/>
    <w:rsid w:val="127C2803"/>
    <w:rsid w:val="127E10FD"/>
    <w:rsid w:val="12851648"/>
    <w:rsid w:val="128819B3"/>
    <w:rsid w:val="12884038"/>
    <w:rsid w:val="12C13398"/>
    <w:rsid w:val="12F876BF"/>
    <w:rsid w:val="13114669"/>
    <w:rsid w:val="132029E9"/>
    <w:rsid w:val="132F1E2E"/>
    <w:rsid w:val="13351019"/>
    <w:rsid w:val="135B72ED"/>
    <w:rsid w:val="136C6CCA"/>
    <w:rsid w:val="13841C28"/>
    <w:rsid w:val="139A08A3"/>
    <w:rsid w:val="13B3480E"/>
    <w:rsid w:val="13BE434A"/>
    <w:rsid w:val="13C925E9"/>
    <w:rsid w:val="13D87533"/>
    <w:rsid w:val="13E2760C"/>
    <w:rsid w:val="13E55A7C"/>
    <w:rsid w:val="13ED238A"/>
    <w:rsid w:val="144D28BE"/>
    <w:rsid w:val="14A11363"/>
    <w:rsid w:val="14AD3C82"/>
    <w:rsid w:val="14AD638E"/>
    <w:rsid w:val="14D507B4"/>
    <w:rsid w:val="14E82BDD"/>
    <w:rsid w:val="150717C8"/>
    <w:rsid w:val="1530421B"/>
    <w:rsid w:val="15335E3C"/>
    <w:rsid w:val="15585425"/>
    <w:rsid w:val="15632821"/>
    <w:rsid w:val="156E0438"/>
    <w:rsid w:val="159710CE"/>
    <w:rsid w:val="1613202A"/>
    <w:rsid w:val="161D4E95"/>
    <w:rsid w:val="162C017A"/>
    <w:rsid w:val="16435C60"/>
    <w:rsid w:val="165B50B5"/>
    <w:rsid w:val="16715F6C"/>
    <w:rsid w:val="16744260"/>
    <w:rsid w:val="168C342C"/>
    <w:rsid w:val="16921052"/>
    <w:rsid w:val="16991967"/>
    <w:rsid w:val="16A92C1F"/>
    <w:rsid w:val="16AB4918"/>
    <w:rsid w:val="16DF3B6C"/>
    <w:rsid w:val="16E216B8"/>
    <w:rsid w:val="17292082"/>
    <w:rsid w:val="17394FF8"/>
    <w:rsid w:val="17A50E24"/>
    <w:rsid w:val="17DE305B"/>
    <w:rsid w:val="17EB6EF9"/>
    <w:rsid w:val="17EF123E"/>
    <w:rsid w:val="181E2472"/>
    <w:rsid w:val="186F67C2"/>
    <w:rsid w:val="18AC5722"/>
    <w:rsid w:val="18BA750B"/>
    <w:rsid w:val="18C03544"/>
    <w:rsid w:val="18D45DFC"/>
    <w:rsid w:val="18DD6311"/>
    <w:rsid w:val="19000928"/>
    <w:rsid w:val="192856B3"/>
    <w:rsid w:val="193A2057"/>
    <w:rsid w:val="19506374"/>
    <w:rsid w:val="19AB63C4"/>
    <w:rsid w:val="19B45EB3"/>
    <w:rsid w:val="1A0D6313"/>
    <w:rsid w:val="1A3810FE"/>
    <w:rsid w:val="1A3D0F0C"/>
    <w:rsid w:val="1A4A48FF"/>
    <w:rsid w:val="1A501F1B"/>
    <w:rsid w:val="1A7C0E8F"/>
    <w:rsid w:val="1A9A0468"/>
    <w:rsid w:val="1ABE60EB"/>
    <w:rsid w:val="1AFB4481"/>
    <w:rsid w:val="1B3626B5"/>
    <w:rsid w:val="1B544E28"/>
    <w:rsid w:val="1B5938A5"/>
    <w:rsid w:val="1B5D1E9E"/>
    <w:rsid w:val="1B6323E0"/>
    <w:rsid w:val="1B776451"/>
    <w:rsid w:val="1BAE4064"/>
    <w:rsid w:val="1BD16179"/>
    <w:rsid w:val="1BD712B5"/>
    <w:rsid w:val="1BDB2B53"/>
    <w:rsid w:val="1C0D795C"/>
    <w:rsid w:val="1C0F788B"/>
    <w:rsid w:val="1C141501"/>
    <w:rsid w:val="1C3D55BC"/>
    <w:rsid w:val="1C7726C5"/>
    <w:rsid w:val="1C814C75"/>
    <w:rsid w:val="1C8F2794"/>
    <w:rsid w:val="1CAE7812"/>
    <w:rsid w:val="1CB20AFB"/>
    <w:rsid w:val="1CB751D0"/>
    <w:rsid w:val="1CB919A4"/>
    <w:rsid w:val="1CD83537"/>
    <w:rsid w:val="1CFC0D17"/>
    <w:rsid w:val="1CFC2D19"/>
    <w:rsid w:val="1D105D93"/>
    <w:rsid w:val="1D1E0445"/>
    <w:rsid w:val="1D270AE4"/>
    <w:rsid w:val="1D44283A"/>
    <w:rsid w:val="1D60342F"/>
    <w:rsid w:val="1D78009C"/>
    <w:rsid w:val="1D796AC8"/>
    <w:rsid w:val="1D871C03"/>
    <w:rsid w:val="1D884CF0"/>
    <w:rsid w:val="1D8E0177"/>
    <w:rsid w:val="1DA3413D"/>
    <w:rsid w:val="1E545B64"/>
    <w:rsid w:val="1E7B6870"/>
    <w:rsid w:val="1EC73280"/>
    <w:rsid w:val="1EFF124F"/>
    <w:rsid w:val="1F114792"/>
    <w:rsid w:val="1F1E1F01"/>
    <w:rsid w:val="1F444EB4"/>
    <w:rsid w:val="1F503858"/>
    <w:rsid w:val="1F8E7284"/>
    <w:rsid w:val="1FB360E7"/>
    <w:rsid w:val="1FB873A4"/>
    <w:rsid w:val="1FF232DB"/>
    <w:rsid w:val="1FF45850"/>
    <w:rsid w:val="202D1235"/>
    <w:rsid w:val="203013AA"/>
    <w:rsid w:val="20327A15"/>
    <w:rsid w:val="206E565F"/>
    <w:rsid w:val="20D364EF"/>
    <w:rsid w:val="20E97676"/>
    <w:rsid w:val="21295B5E"/>
    <w:rsid w:val="212C04F0"/>
    <w:rsid w:val="212D27FA"/>
    <w:rsid w:val="219E373C"/>
    <w:rsid w:val="21AF599B"/>
    <w:rsid w:val="21D0774F"/>
    <w:rsid w:val="223713D9"/>
    <w:rsid w:val="227B2B13"/>
    <w:rsid w:val="22A461F0"/>
    <w:rsid w:val="22B12CDA"/>
    <w:rsid w:val="22C92E53"/>
    <w:rsid w:val="22FC4CE3"/>
    <w:rsid w:val="23187739"/>
    <w:rsid w:val="23291E8B"/>
    <w:rsid w:val="23437531"/>
    <w:rsid w:val="23596042"/>
    <w:rsid w:val="236457F5"/>
    <w:rsid w:val="236E081B"/>
    <w:rsid w:val="2387194A"/>
    <w:rsid w:val="238C2DA9"/>
    <w:rsid w:val="23E85901"/>
    <w:rsid w:val="241E63E6"/>
    <w:rsid w:val="24213A15"/>
    <w:rsid w:val="24372BE7"/>
    <w:rsid w:val="245105A4"/>
    <w:rsid w:val="245A0AF2"/>
    <w:rsid w:val="245C2F8D"/>
    <w:rsid w:val="249066DD"/>
    <w:rsid w:val="24E707BB"/>
    <w:rsid w:val="251C369C"/>
    <w:rsid w:val="25536401"/>
    <w:rsid w:val="2566287E"/>
    <w:rsid w:val="25FD1164"/>
    <w:rsid w:val="2612287C"/>
    <w:rsid w:val="26196704"/>
    <w:rsid w:val="26217CFD"/>
    <w:rsid w:val="26440673"/>
    <w:rsid w:val="26623C6C"/>
    <w:rsid w:val="26C86BA7"/>
    <w:rsid w:val="26E06C71"/>
    <w:rsid w:val="26EA0CB5"/>
    <w:rsid w:val="26FD55DC"/>
    <w:rsid w:val="27017996"/>
    <w:rsid w:val="273C36E8"/>
    <w:rsid w:val="2744740D"/>
    <w:rsid w:val="274B251F"/>
    <w:rsid w:val="274B5F1C"/>
    <w:rsid w:val="274C5507"/>
    <w:rsid w:val="274E67F3"/>
    <w:rsid w:val="275B14B6"/>
    <w:rsid w:val="27725362"/>
    <w:rsid w:val="27C923FA"/>
    <w:rsid w:val="281250A7"/>
    <w:rsid w:val="28131DB1"/>
    <w:rsid w:val="28251659"/>
    <w:rsid w:val="283C7070"/>
    <w:rsid w:val="284618DF"/>
    <w:rsid w:val="286F2FA1"/>
    <w:rsid w:val="289531DE"/>
    <w:rsid w:val="28E47B36"/>
    <w:rsid w:val="291C1B2F"/>
    <w:rsid w:val="29234F87"/>
    <w:rsid w:val="29554B1B"/>
    <w:rsid w:val="29671ECA"/>
    <w:rsid w:val="298A6B2C"/>
    <w:rsid w:val="29B66A0D"/>
    <w:rsid w:val="29F05B24"/>
    <w:rsid w:val="29F179E6"/>
    <w:rsid w:val="2A350D3C"/>
    <w:rsid w:val="2A4D7E90"/>
    <w:rsid w:val="2A532071"/>
    <w:rsid w:val="2A771831"/>
    <w:rsid w:val="2A960744"/>
    <w:rsid w:val="2AB51533"/>
    <w:rsid w:val="2AC60E73"/>
    <w:rsid w:val="2ADA3A0F"/>
    <w:rsid w:val="2AFF2BF3"/>
    <w:rsid w:val="2B037A34"/>
    <w:rsid w:val="2B2100D0"/>
    <w:rsid w:val="2B376FD2"/>
    <w:rsid w:val="2B593377"/>
    <w:rsid w:val="2B7C1908"/>
    <w:rsid w:val="2BC1086B"/>
    <w:rsid w:val="2BDC351D"/>
    <w:rsid w:val="2BE13AE1"/>
    <w:rsid w:val="2BEF2275"/>
    <w:rsid w:val="2C230203"/>
    <w:rsid w:val="2C8D32F9"/>
    <w:rsid w:val="2CEB0040"/>
    <w:rsid w:val="2D08614C"/>
    <w:rsid w:val="2D0A4DD2"/>
    <w:rsid w:val="2D427EAD"/>
    <w:rsid w:val="2D9515C6"/>
    <w:rsid w:val="2DC826D3"/>
    <w:rsid w:val="2DEF1607"/>
    <w:rsid w:val="2DF27D49"/>
    <w:rsid w:val="2DF803FC"/>
    <w:rsid w:val="2E0C16EA"/>
    <w:rsid w:val="2E910CDC"/>
    <w:rsid w:val="2EBD1EFD"/>
    <w:rsid w:val="2EC715D4"/>
    <w:rsid w:val="2F0B092E"/>
    <w:rsid w:val="2F1B3C50"/>
    <w:rsid w:val="2F1D4D98"/>
    <w:rsid w:val="2F4E3303"/>
    <w:rsid w:val="2F625641"/>
    <w:rsid w:val="2FAC2F79"/>
    <w:rsid w:val="2FBF699C"/>
    <w:rsid w:val="301C3E1D"/>
    <w:rsid w:val="303C6E79"/>
    <w:rsid w:val="304479DC"/>
    <w:rsid w:val="306B0278"/>
    <w:rsid w:val="308E63ED"/>
    <w:rsid w:val="30BF65F3"/>
    <w:rsid w:val="30C47C02"/>
    <w:rsid w:val="315F570D"/>
    <w:rsid w:val="31615422"/>
    <w:rsid w:val="3163741B"/>
    <w:rsid w:val="31E0281A"/>
    <w:rsid w:val="31FE12D4"/>
    <w:rsid w:val="32364B30"/>
    <w:rsid w:val="32973753"/>
    <w:rsid w:val="32B271D3"/>
    <w:rsid w:val="32BA0022"/>
    <w:rsid w:val="332643F5"/>
    <w:rsid w:val="33791178"/>
    <w:rsid w:val="3398526F"/>
    <w:rsid w:val="33CB12A8"/>
    <w:rsid w:val="33D267D7"/>
    <w:rsid w:val="33D66E83"/>
    <w:rsid w:val="33E82ECD"/>
    <w:rsid w:val="33F7209D"/>
    <w:rsid w:val="34022441"/>
    <w:rsid w:val="340D366E"/>
    <w:rsid w:val="3428064F"/>
    <w:rsid w:val="34414EE8"/>
    <w:rsid w:val="3460329E"/>
    <w:rsid w:val="34675E29"/>
    <w:rsid w:val="34E70363"/>
    <w:rsid w:val="34E76031"/>
    <w:rsid w:val="350C3E26"/>
    <w:rsid w:val="3511371C"/>
    <w:rsid w:val="352178D8"/>
    <w:rsid w:val="352251C2"/>
    <w:rsid w:val="353F2CB2"/>
    <w:rsid w:val="35435F75"/>
    <w:rsid w:val="357F2541"/>
    <w:rsid w:val="35827B62"/>
    <w:rsid w:val="358562B5"/>
    <w:rsid w:val="35AD5109"/>
    <w:rsid w:val="35B84990"/>
    <w:rsid w:val="35BA3E5B"/>
    <w:rsid w:val="35F21282"/>
    <w:rsid w:val="362F5B1E"/>
    <w:rsid w:val="36395EE4"/>
    <w:rsid w:val="36493477"/>
    <w:rsid w:val="364D6ED6"/>
    <w:rsid w:val="36673031"/>
    <w:rsid w:val="36721236"/>
    <w:rsid w:val="36B726AE"/>
    <w:rsid w:val="36C3101C"/>
    <w:rsid w:val="36F3211B"/>
    <w:rsid w:val="373525CE"/>
    <w:rsid w:val="374F73CF"/>
    <w:rsid w:val="375873B1"/>
    <w:rsid w:val="375A09AF"/>
    <w:rsid w:val="3766112D"/>
    <w:rsid w:val="37B46FED"/>
    <w:rsid w:val="37CF580A"/>
    <w:rsid w:val="37D1291E"/>
    <w:rsid w:val="37D4026E"/>
    <w:rsid w:val="37DA5E90"/>
    <w:rsid w:val="383A4B00"/>
    <w:rsid w:val="38A019C9"/>
    <w:rsid w:val="38A61F0C"/>
    <w:rsid w:val="38B03362"/>
    <w:rsid w:val="38B67EB0"/>
    <w:rsid w:val="38D26C34"/>
    <w:rsid w:val="38E01244"/>
    <w:rsid w:val="392A60A6"/>
    <w:rsid w:val="393110B2"/>
    <w:rsid w:val="393A310B"/>
    <w:rsid w:val="39471031"/>
    <w:rsid w:val="39684A29"/>
    <w:rsid w:val="3971644D"/>
    <w:rsid w:val="397C551E"/>
    <w:rsid w:val="3994602B"/>
    <w:rsid w:val="39A92D27"/>
    <w:rsid w:val="39B953E3"/>
    <w:rsid w:val="3A081ED6"/>
    <w:rsid w:val="3A0B3E46"/>
    <w:rsid w:val="3A2C5B75"/>
    <w:rsid w:val="3A483652"/>
    <w:rsid w:val="3A5024DC"/>
    <w:rsid w:val="3A6366DE"/>
    <w:rsid w:val="3AE13585"/>
    <w:rsid w:val="3AE500CF"/>
    <w:rsid w:val="3B051543"/>
    <w:rsid w:val="3B071DE4"/>
    <w:rsid w:val="3B1F5DC1"/>
    <w:rsid w:val="3B3A4AB6"/>
    <w:rsid w:val="3B43221E"/>
    <w:rsid w:val="3B732D74"/>
    <w:rsid w:val="3B8B7F8C"/>
    <w:rsid w:val="3B9A46DD"/>
    <w:rsid w:val="3BA174BE"/>
    <w:rsid w:val="3BA34FDA"/>
    <w:rsid w:val="3BBB7C7B"/>
    <w:rsid w:val="3BBD0245"/>
    <w:rsid w:val="3BC5576C"/>
    <w:rsid w:val="3C35213B"/>
    <w:rsid w:val="3C5067EE"/>
    <w:rsid w:val="3C581218"/>
    <w:rsid w:val="3CD218F9"/>
    <w:rsid w:val="3CD704BD"/>
    <w:rsid w:val="3CE75849"/>
    <w:rsid w:val="3D1A6A65"/>
    <w:rsid w:val="3D4B689C"/>
    <w:rsid w:val="3D6C74FD"/>
    <w:rsid w:val="3D8F7C9A"/>
    <w:rsid w:val="3E88226F"/>
    <w:rsid w:val="3EBC63BD"/>
    <w:rsid w:val="3EDB4A95"/>
    <w:rsid w:val="3EE057E6"/>
    <w:rsid w:val="3F18690D"/>
    <w:rsid w:val="3F1B285B"/>
    <w:rsid w:val="3F2A3743"/>
    <w:rsid w:val="3F310B59"/>
    <w:rsid w:val="3F43243B"/>
    <w:rsid w:val="3F47212A"/>
    <w:rsid w:val="3F6A3CD5"/>
    <w:rsid w:val="3FCB19D9"/>
    <w:rsid w:val="3FCB2D5B"/>
    <w:rsid w:val="3FE57C96"/>
    <w:rsid w:val="3FF5259B"/>
    <w:rsid w:val="3FF81D2D"/>
    <w:rsid w:val="402847E9"/>
    <w:rsid w:val="40302BBE"/>
    <w:rsid w:val="405E34A3"/>
    <w:rsid w:val="407C7161"/>
    <w:rsid w:val="407D5E86"/>
    <w:rsid w:val="40807762"/>
    <w:rsid w:val="409A44DC"/>
    <w:rsid w:val="40A92971"/>
    <w:rsid w:val="40BC08F6"/>
    <w:rsid w:val="40BE0F76"/>
    <w:rsid w:val="40CB718C"/>
    <w:rsid w:val="40DD59C2"/>
    <w:rsid w:val="41610361"/>
    <w:rsid w:val="41A8307D"/>
    <w:rsid w:val="41C06995"/>
    <w:rsid w:val="41DB1250"/>
    <w:rsid w:val="41E2613A"/>
    <w:rsid w:val="421B6FDC"/>
    <w:rsid w:val="42595C18"/>
    <w:rsid w:val="429E14C7"/>
    <w:rsid w:val="429F2762"/>
    <w:rsid w:val="42AB17FE"/>
    <w:rsid w:val="42B11DCD"/>
    <w:rsid w:val="42FF5094"/>
    <w:rsid w:val="436C03B1"/>
    <w:rsid w:val="43C7528C"/>
    <w:rsid w:val="43CB220C"/>
    <w:rsid w:val="441D1BE7"/>
    <w:rsid w:val="445415FA"/>
    <w:rsid w:val="445B3984"/>
    <w:rsid w:val="445B5455"/>
    <w:rsid w:val="44943A7F"/>
    <w:rsid w:val="44DF70BA"/>
    <w:rsid w:val="450F631C"/>
    <w:rsid w:val="453971E4"/>
    <w:rsid w:val="453C54BE"/>
    <w:rsid w:val="45476363"/>
    <w:rsid w:val="456D040C"/>
    <w:rsid w:val="458938E1"/>
    <w:rsid w:val="463F7FFF"/>
    <w:rsid w:val="46484BFF"/>
    <w:rsid w:val="46512233"/>
    <w:rsid w:val="46540D24"/>
    <w:rsid w:val="46A737E8"/>
    <w:rsid w:val="46C14018"/>
    <w:rsid w:val="46C73076"/>
    <w:rsid w:val="46D07EE5"/>
    <w:rsid w:val="46E465A3"/>
    <w:rsid w:val="46F806BD"/>
    <w:rsid w:val="47043CAB"/>
    <w:rsid w:val="472705CE"/>
    <w:rsid w:val="479A2C46"/>
    <w:rsid w:val="479C5136"/>
    <w:rsid w:val="47E06018"/>
    <w:rsid w:val="47FA3CDB"/>
    <w:rsid w:val="48197D96"/>
    <w:rsid w:val="48653A64"/>
    <w:rsid w:val="48811B8A"/>
    <w:rsid w:val="48C40B78"/>
    <w:rsid w:val="48C43988"/>
    <w:rsid w:val="48E83E36"/>
    <w:rsid w:val="49345B93"/>
    <w:rsid w:val="494C4B08"/>
    <w:rsid w:val="49951EFC"/>
    <w:rsid w:val="499A26FB"/>
    <w:rsid w:val="49B026D9"/>
    <w:rsid w:val="49B722B7"/>
    <w:rsid w:val="49C15E4A"/>
    <w:rsid w:val="49D955C3"/>
    <w:rsid w:val="49ED65A4"/>
    <w:rsid w:val="4A307756"/>
    <w:rsid w:val="4A6D7DCA"/>
    <w:rsid w:val="4A9910AB"/>
    <w:rsid w:val="4A992597"/>
    <w:rsid w:val="4A9B332A"/>
    <w:rsid w:val="4AD625B4"/>
    <w:rsid w:val="4AFF509B"/>
    <w:rsid w:val="4B04672A"/>
    <w:rsid w:val="4B4014D1"/>
    <w:rsid w:val="4B5E2E2F"/>
    <w:rsid w:val="4B664567"/>
    <w:rsid w:val="4B675E1C"/>
    <w:rsid w:val="4B9F7C0E"/>
    <w:rsid w:val="4BC73F17"/>
    <w:rsid w:val="4BEB73D9"/>
    <w:rsid w:val="4C166235"/>
    <w:rsid w:val="4C1C544C"/>
    <w:rsid w:val="4C313219"/>
    <w:rsid w:val="4C5D1828"/>
    <w:rsid w:val="4C6C738D"/>
    <w:rsid w:val="4C6D0CF6"/>
    <w:rsid w:val="4C6D1DE5"/>
    <w:rsid w:val="4C7E6A54"/>
    <w:rsid w:val="4C865C08"/>
    <w:rsid w:val="4D014489"/>
    <w:rsid w:val="4D317F76"/>
    <w:rsid w:val="4D7E2A50"/>
    <w:rsid w:val="4DA23565"/>
    <w:rsid w:val="4DA9629F"/>
    <w:rsid w:val="4DB7491F"/>
    <w:rsid w:val="4DD038A9"/>
    <w:rsid w:val="4DE1199C"/>
    <w:rsid w:val="4E49490E"/>
    <w:rsid w:val="4E551A8D"/>
    <w:rsid w:val="4EB250E6"/>
    <w:rsid w:val="4EE207BB"/>
    <w:rsid w:val="4EF75916"/>
    <w:rsid w:val="4F0F53A9"/>
    <w:rsid w:val="4F1720D5"/>
    <w:rsid w:val="4F1D51EC"/>
    <w:rsid w:val="4F1F0C9F"/>
    <w:rsid w:val="4F244C6A"/>
    <w:rsid w:val="4FB00148"/>
    <w:rsid w:val="4FE12F08"/>
    <w:rsid w:val="4FF63972"/>
    <w:rsid w:val="500B4BE0"/>
    <w:rsid w:val="504A7CCC"/>
    <w:rsid w:val="504B329A"/>
    <w:rsid w:val="50580297"/>
    <w:rsid w:val="50697817"/>
    <w:rsid w:val="506F6B37"/>
    <w:rsid w:val="5086682B"/>
    <w:rsid w:val="5090365A"/>
    <w:rsid w:val="50B93BFE"/>
    <w:rsid w:val="51096E4A"/>
    <w:rsid w:val="51106525"/>
    <w:rsid w:val="511A6C71"/>
    <w:rsid w:val="512567F5"/>
    <w:rsid w:val="513C4D1D"/>
    <w:rsid w:val="514C3DAD"/>
    <w:rsid w:val="515047BA"/>
    <w:rsid w:val="5157430C"/>
    <w:rsid w:val="516A7F37"/>
    <w:rsid w:val="516D2E7D"/>
    <w:rsid w:val="51916F53"/>
    <w:rsid w:val="51AA4C59"/>
    <w:rsid w:val="51CB4CC2"/>
    <w:rsid w:val="51D829D5"/>
    <w:rsid w:val="51ED0D38"/>
    <w:rsid w:val="51F31FFB"/>
    <w:rsid w:val="51FA103F"/>
    <w:rsid w:val="520170B1"/>
    <w:rsid w:val="524428F4"/>
    <w:rsid w:val="5257047F"/>
    <w:rsid w:val="525B5D4E"/>
    <w:rsid w:val="52693AF2"/>
    <w:rsid w:val="52765BD3"/>
    <w:rsid w:val="52851E0F"/>
    <w:rsid w:val="529B0943"/>
    <w:rsid w:val="52F44E38"/>
    <w:rsid w:val="52FE3AEF"/>
    <w:rsid w:val="53284056"/>
    <w:rsid w:val="537038AC"/>
    <w:rsid w:val="537540CD"/>
    <w:rsid w:val="53911E0A"/>
    <w:rsid w:val="53E13EC3"/>
    <w:rsid w:val="53E415EA"/>
    <w:rsid w:val="53FA7768"/>
    <w:rsid w:val="54140409"/>
    <w:rsid w:val="546837CB"/>
    <w:rsid w:val="54723DA3"/>
    <w:rsid w:val="547A0454"/>
    <w:rsid w:val="548C2969"/>
    <w:rsid w:val="54934AA7"/>
    <w:rsid w:val="549624AE"/>
    <w:rsid w:val="54CF254E"/>
    <w:rsid w:val="550B7745"/>
    <w:rsid w:val="554A42CB"/>
    <w:rsid w:val="55607267"/>
    <w:rsid w:val="556421BF"/>
    <w:rsid w:val="55676BB4"/>
    <w:rsid w:val="55835251"/>
    <w:rsid w:val="55913CA7"/>
    <w:rsid w:val="55CC6A83"/>
    <w:rsid w:val="55EA5046"/>
    <w:rsid w:val="560E3249"/>
    <w:rsid w:val="56186177"/>
    <w:rsid w:val="561B7A15"/>
    <w:rsid w:val="56532D14"/>
    <w:rsid w:val="56643F7B"/>
    <w:rsid w:val="56821842"/>
    <w:rsid w:val="569F0646"/>
    <w:rsid w:val="56B45E9F"/>
    <w:rsid w:val="56D3302D"/>
    <w:rsid w:val="56D973CF"/>
    <w:rsid w:val="56FC63ED"/>
    <w:rsid w:val="57035F7F"/>
    <w:rsid w:val="570E4942"/>
    <w:rsid w:val="573222F5"/>
    <w:rsid w:val="5737262D"/>
    <w:rsid w:val="57517B92"/>
    <w:rsid w:val="579A0B0F"/>
    <w:rsid w:val="57BA102C"/>
    <w:rsid w:val="57D61931"/>
    <w:rsid w:val="57DD6DD0"/>
    <w:rsid w:val="582A366D"/>
    <w:rsid w:val="583542C0"/>
    <w:rsid w:val="584D2ADC"/>
    <w:rsid w:val="58510CFB"/>
    <w:rsid w:val="585169D2"/>
    <w:rsid w:val="58861256"/>
    <w:rsid w:val="58906680"/>
    <w:rsid w:val="58D03F93"/>
    <w:rsid w:val="59016B9E"/>
    <w:rsid w:val="595963DC"/>
    <w:rsid w:val="595A456A"/>
    <w:rsid w:val="59607A95"/>
    <w:rsid w:val="59964FFE"/>
    <w:rsid w:val="59D32AE1"/>
    <w:rsid w:val="59DB6FF7"/>
    <w:rsid w:val="59E20C6B"/>
    <w:rsid w:val="5A2515C6"/>
    <w:rsid w:val="5A2E66EC"/>
    <w:rsid w:val="5A395940"/>
    <w:rsid w:val="5A4028B1"/>
    <w:rsid w:val="5A513553"/>
    <w:rsid w:val="5A7F7348"/>
    <w:rsid w:val="5A8329E1"/>
    <w:rsid w:val="5A8D4028"/>
    <w:rsid w:val="5A976D2B"/>
    <w:rsid w:val="5A9B5D67"/>
    <w:rsid w:val="5AD059E8"/>
    <w:rsid w:val="5AE92B8E"/>
    <w:rsid w:val="5AFD0924"/>
    <w:rsid w:val="5B075A06"/>
    <w:rsid w:val="5B153530"/>
    <w:rsid w:val="5B3168E5"/>
    <w:rsid w:val="5B4C3B08"/>
    <w:rsid w:val="5B6D574D"/>
    <w:rsid w:val="5B8338B0"/>
    <w:rsid w:val="5B885B4D"/>
    <w:rsid w:val="5BDB7A2A"/>
    <w:rsid w:val="5BFB6474"/>
    <w:rsid w:val="5C0D7037"/>
    <w:rsid w:val="5C2A7DE1"/>
    <w:rsid w:val="5C6829AF"/>
    <w:rsid w:val="5C6D1843"/>
    <w:rsid w:val="5C806B92"/>
    <w:rsid w:val="5C8F1D6F"/>
    <w:rsid w:val="5C9F5B4C"/>
    <w:rsid w:val="5CDC1F44"/>
    <w:rsid w:val="5CF26970"/>
    <w:rsid w:val="5D1860EA"/>
    <w:rsid w:val="5D352289"/>
    <w:rsid w:val="5D5B375C"/>
    <w:rsid w:val="5D5D1495"/>
    <w:rsid w:val="5D634689"/>
    <w:rsid w:val="5D6D26E9"/>
    <w:rsid w:val="5D703886"/>
    <w:rsid w:val="5D9A4716"/>
    <w:rsid w:val="5E0733DA"/>
    <w:rsid w:val="5E1406C1"/>
    <w:rsid w:val="5E1A1D20"/>
    <w:rsid w:val="5E2F7E48"/>
    <w:rsid w:val="5E602469"/>
    <w:rsid w:val="5E717821"/>
    <w:rsid w:val="5EAB5584"/>
    <w:rsid w:val="5EC52DEA"/>
    <w:rsid w:val="5ECB3D0A"/>
    <w:rsid w:val="5ED510A9"/>
    <w:rsid w:val="5EF263E7"/>
    <w:rsid w:val="5EF75F46"/>
    <w:rsid w:val="5F21609C"/>
    <w:rsid w:val="5F230BEF"/>
    <w:rsid w:val="5F622ECF"/>
    <w:rsid w:val="5FA665A1"/>
    <w:rsid w:val="5FAB7FB5"/>
    <w:rsid w:val="5FAD2544"/>
    <w:rsid w:val="5FB66017"/>
    <w:rsid w:val="5FFE29B9"/>
    <w:rsid w:val="60424709"/>
    <w:rsid w:val="60786190"/>
    <w:rsid w:val="608E7761"/>
    <w:rsid w:val="60915473"/>
    <w:rsid w:val="6092153B"/>
    <w:rsid w:val="609B683C"/>
    <w:rsid w:val="60A00576"/>
    <w:rsid w:val="60AF2097"/>
    <w:rsid w:val="60B34A44"/>
    <w:rsid w:val="60B753A8"/>
    <w:rsid w:val="60BB7E2A"/>
    <w:rsid w:val="60C870C1"/>
    <w:rsid w:val="60F51603"/>
    <w:rsid w:val="61572349"/>
    <w:rsid w:val="615D7134"/>
    <w:rsid w:val="618F268C"/>
    <w:rsid w:val="61EA23B0"/>
    <w:rsid w:val="620A72BB"/>
    <w:rsid w:val="62287615"/>
    <w:rsid w:val="622F67B3"/>
    <w:rsid w:val="627D4254"/>
    <w:rsid w:val="62897466"/>
    <w:rsid w:val="62AD3683"/>
    <w:rsid w:val="62B261AF"/>
    <w:rsid w:val="62F57B08"/>
    <w:rsid w:val="6303429D"/>
    <w:rsid w:val="63205356"/>
    <w:rsid w:val="63424833"/>
    <w:rsid w:val="63464D73"/>
    <w:rsid w:val="635822A8"/>
    <w:rsid w:val="63583AEB"/>
    <w:rsid w:val="637177A0"/>
    <w:rsid w:val="63737FC7"/>
    <w:rsid w:val="63C656BB"/>
    <w:rsid w:val="63CE3380"/>
    <w:rsid w:val="63E36016"/>
    <w:rsid w:val="63F21DB5"/>
    <w:rsid w:val="63FF6480"/>
    <w:rsid w:val="640A1EA8"/>
    <w:rsid w:val="642900E6"/>
    <w:rsid w:val="64302590"/>
    <w:rsid w:val="6439089B"/>
    <w:rsid w:val="64495DD6"/>
    <w:rsid w:val="64623809"/>
    <w:rsid w:val="64746C6E"/>
    <w:rsid w:val="647C3D75"/>
    <w:rsid w:val="65080F89"/>
    <w:rsid w:val="651E4E2C"/>
    <w:rsid w:val="655A76A7"/>
    <w:rsid w:val="655C6589"/>
    <w:rsid w:val="66047425"/>
    <w:rsid w:val="661052EF"/>
    <w:rsid w:val="66207331"/>
    <w:rsid w:val="662830CF"/>
    <w:rsid w:val="66747DFB"/>
    <w:rsid w:val="66767F83"/>
    <w:rsid w:val="66D54C1C"/>
    <w:rsid w:val="66F41F1E"/>
    <w:rsid w:val="6701113C"/>
    <w:rsid w:val="671C40AC"/>
    <w:rsid w:val="672D4EE4"/>
    <w:rsid w:val="677658C0"/>
    <w:rsid w:val="6797113A"/>
    <w:rsid w:val="67AF1F51"/>
    <w:rsid w:val="67BC1DD1"/>
    <w:rsid w:val="67C86935"/>
    <w:rsid w:val="67D14F07"/>
    <w:rsid w:val="67E07000"/>
    <w:rsid w:val="67E77C07"/>
    <w:rsid w:val="67EA3883"/>
    <w:rsid w:val="67EC51A3"/>
    <w:rsid w:val="680F17C8"/>
    <w:rsid w:val="681C04AD"/>
    <w:rsid w:val="683A6B4A"/>
    <w:rsid w:val="68444162"/>
    <w:rsid w:val="686A6F2B"/>
    <w:rsid w:val="68825416"/>
    <w:rsid w:val="68AA0B6B"/>
    <w:rsid w:val="68AC217A"/>
    <w:rsid w:val="68C77ED2"/>
    <w:rsid w:val="68E24AEE"/>
    <w:rsid w:val="68E331BF"/>
    <w:rsid w:val="6922138F"/>
    <w:rsid w:val="69F85C86"/>
    <w:rsid w:val="6A09523D"/>
    <w:rsid w:val="6A1B26B7"/>
    <w:rsid w:val="6A244C92"/>
    <w:rsid w:val="6A2809FC"/>
    <w:rsid w:val="6A883CBC"/>
    <w:rsid w:val="6A902328"/>
    <w:rsid w:val="6B19056F"/>
    <w:rsid w:val="6B340F05"/>
    <w:rsid w:val="6B345E30"/>
    <w:rsid w:val="6B3A216D"/>
    <w:rsid w:val="6B505357"/>
    <w:rsid w:val="6B874EAB"/>
    <w:rsid w:val="6B985938"/>
    <w:rsid w:val="6BAC4A1E"/>
    <w:rsid w:val="6BFB3E5A"/>
    <w:rsid w:val="6BFD3458"/>
    <w:rsid w:val="6C423778"/>
    <w:rsid w:val="6CAF118B"/>
    <w:rsid w:val="6CBB7E1F"/>
    <w:rsid w:val="6CC01E51"/>
    <w:rsid w:val="6CF372CA"/>
    <w:rsid w:val="6D027F59"/>
    <w:rsid w:val="6D2D1C64"/>
    <w:rsid w:val="6D475F5F"/>
    <w:rsid w:val="6D600E21"/>
    <w:rsid w:val="6D68133A"/>
    <w:rsid w:val="6DA82289"/>
    <w:rsid w:val="6DE915B6"/>
    <w:rsid w:val="6E061A11"/>
    <w:rsid w:val="6E345B45"/>
    <w:rsid w:val="6E63668A"/>
    <w:rsid w:val="6E671CA5"/>
    <w:rsid w:val="6E741E30"/>
    <w:rsid w:val="6E851E19"/>
    <w:rsid w:val="6E9A5352"/>
    <w:rsid w:val="6EA04641"/>
    <w:rsid w:val="6EA0733B"/>
    <w:rsid w:val="6EBB122E"/>
    <w:rsid w:val="6EBB2C83"/>
    <w:rsid w:val="6EC77A48"/>
    <w:rsid w:val="6EC77E06"/>
    <w:rsid w:val="6EC97030"/>
    <w:rsid w:val="6EF6175D"/>
    <w:rsid w:val="6EFE0B8E"/>
    <w:rsid w:val="6EFF49CF"/>
    <w:rsid w:val="6F125A01"/>
    <w:rsid w:val="6F2B35AD"/>
    <w:rsid w:val="6F332F4A"/>
    <w:rsid w:val="6F3C2DD2"/>
    <w:rsid w:val="6F8063CA"/>
    <w:rsid w:val="6FB66044"/>
    <w:rsid w:val="6FE8588F"/>
    <w:rsid w:val="700A492A"/>
    <w:rsid w:val="703F6602"/>
    <w:rsid w:val="705E2709"/>
    <w:rsid w:val="70F34F86"/>
    <w:rsid w:val="70F759D2"/>
    <w:rsid w:val="70FA674D"/>
    <w:rsid w:val="71211F2C"/>
    <w:rsid w:val="713E329A"/>
    <w:rsid w:val="7146159B"/>
    <w:rsid w:val="714D0321"/>
    <w:rsid w:val="715C7211"/>
    <w:rsid w:val="718D73C3"/>
    <w:rsid w:val="71900A0A"/>
    <w:rsid w:val="719A4E18"/>
    <w:rsid w:val="71BC787F"/>
    <w:rsid w:val="71BE3E19"/>
    <w:rsid w:val="72011EEA"/>
    <w:rsid w:val="720A0C12"/>
    <w:rsid w:val="727517BE"/>
    <w:rsid w:val="72BB53F2"/>
    <w:rsid w:val="73004C22"/>
    <w:rsid w:val="73555EBD"/>
    <w:rsid w:val="7386317F"/>
    <w:rsid w:val="7395781C"/>
    <w:rsid w:val="73A53748"/>
    <w:rsid w:val="73B01345"/>
    <w:rsid w:val="73F00452"/>
    <w:rsid w:val="73F97D41"/>
    <w:rsid w:val="745612A8"/>
    <w:rsid w:val="74A353FC"/>
    <w:rsid w:val="74B55FCA"/>
    <w:rsid w:val="751E6462"/>
    <w:rsid w:val="7547670C"/>
    <w:rsid w:val="754B5EDD"/>
    <w:rsid w:val="756D7FC7"/>
    <w:rsid w:val="75B626CC"/>
    <w:rsid w:val="75D86956"/>
    <w:rsid w:val="75EE1EAC"/>
    <w:rsid w:val="761205FE"/>
    <w:rsid w:val="761518EF"/>
    <w:rsid w:val="761D11FC"/>
    <w:rsid w:val="76393874"/>
    <w:rsid w:val="76753CC2"/>
    <w:rsid w:val="768947FB"/>
    <w:rsid w:val="768A49A6"/>
    <w:rsid w:val="76BA279A"/>
    <w:rsid w:val="76BD3140"/>
    <w:rsid w:val="76C4526D"/>
    <w:rsid w:val="76D75E34"/>
    <w:rsid w:val="76DB2A57"/>
    <w:rsid w:val="76DD04DF"/>
    <w:rsid w:val="76EE5BC6"/>
    <w:rsid w:val="76F1318D"/>
    <w:rsid w:val="76F226CA"/>
    <w:rsid w:val="770245AD"/>
    <w:rsid w:val="77360703"/>
    <w:rsid w:val="773B1F42"/>
    <w:rsid w:val="77492189"/>
    <w:rsid w:val="776E61EE"/>
    <w:rsid w:val="777D019A"/>
    <w:rsid w:val="779D0C3B"/>
    <w:rsid w:val="77BA27C4"/>
    <w:rsid w:val="77C16217"/>
    <w:rsid w:val="781E6439"/>
    <w:rsid w:val="78214A6B"/>
    <w:rsid w:val="7824041B"/>
    <w:rsid w:val="78897474"/>
    <w:rsid w:val="78A64B86"/>
    <w:rsid w:val="78BD078C"/>
    <w:rsid w:val="78DE3D6C"/>
    <w:rsid w:val="78E33867"/>
    <w:rsid w:val="78E52BDC"/>
    <w:rsid w:val="78F93EFF"/>
    <w:rsid w:val="790776EC"/>
    <w:rsid w:val="798701EE"/>
    <w:rsid w:val="798720C7"/>
    <w:rsid w:val="798B75C8"/>
    <w:rsid w:val="798D230A"/>
    <w:rsid w:val="79A3081B"/>
    <w:rsid w:val="79A8143C"/>
    <w:rsid w:val="7A071D78"/>
    <w:rsid w:val="7A2D742D"/>
    <w:rsid w:val="7A5600FC"/>
    <w:rsid w:val="7A5C06AF"/>
    <w:rsid w:val="7A6447EC"/>
    <w:rsid w:val="7A6E489C"/>
    <w:rsid w:val="7A716D06"/>
    <w:rsid w:val="7AC662B5"/>
    <w:rsid w:val="7B347D8A"/>
    <w:rsid w:val="7B8F4980"/>
    <w:rsid w:val="7B972CB9"/>
    <w:rsid w:val="7BA61501"/>
    <w:rsid w:val="7BAC3598"/>
    <w:rsid w:val="7BAF14B0"/>
    <w:rsid w:val="7BD06448"/>
    <w:rsid w:val="7BE85AB6"/>
    <w:rsid w:val="7C3074C7"/>
    <w:rsid w:val="7CA103C5"/>
    <w:rsid w:val="7CA420D7"/>
    <w:rsid w:val="7CC52305"/>
    <w:rsid w:val="7CD54E02"/>
    <w:rsid w:val="7CE922B5"/>
    <w:rsid w:val="7CF0056D"/>
    <w:rsid w:val="7CFD4359"/>
    <w:rsid w:val="7D196F8A"/>
    <w:rsid w:val="7D324E38"/>
    <w:rsid w:val="7D376D09"/>
    <w:rsid w:val="7D3A16E9"/>
    <w:rsid w:val="7D4A2A43"/>
    <w:rsid w:val="7D7B5294"/>
    <w:rsid w:val="7D9D74DD"/>
    <w:rsid w:val="7DA92784"/>
    <w:rsid w:val="7DB37D69"/>
    <w:rsid w:val="7DCA019C"/>
    <w:rsid w:val="7DCA17AE"/>
    <w:rsid w:val="7DE55723"/>
    <w:rsid w:val="7DED451A"/>
    <w:rsid w:val="7E2214CE"/>
    <w:rsid w:val="7E2F24BC"/>
    <w:rsid w:val="7E560813"/>
    <w:rsid w:val="7E564EE1"/>
    <w:rsid w:val="7E6D3957"/>
    <w:rsid w:val="7E6D67B0"/>
    <w:rsid w:val="7E8D7C7B"/>
    <w:rsid w:val="7EA83077"/>
    <w:rsid w:val="7ECD0B10"/>
    <w:rsid w:val="7ED53E1B"/>
    <w:rsid w:val="7F1D6A6D"/>
    <w:rsid w:val="7F2554A7"/>
    <w:rsid w:val="7F2A34D9"/>
    <w:rsid w:val="7F3156BC"/>
    <w:rsid w:val="7F4D44C9"/>
    <w:rsid w:val="7F7A3881"/>
    <w:rsid w:val="7FA606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2">
    <w:name w:val="heading 1"/>
    <w:basedOn w:val="1"/>
    <w:next w:val="1"/>
    <w:autoRedefine/>
    <w:qFormat/>
    <w:uiPriority w:val="0"/>
    <w:pPr>
      <w:autoSpaceDE w:val="0"/>
      <w:autoSpaceDN w:val="0"/>
      <w:adjustRightInd w:val="0"/>
      <w:jc w:val="left"/>
      <w:outlineLvl w:val="0"/>
    </w:pPr>
    <w:rPr>
      <w:kern w:val="0"/>
      <w:sz w:val="30"/>
    </w:rPr>
  </w:style>
  <w:style w:type="paragraph" w:styleId="3">
    <w:name w:val="heading 2"/>
    <w:basedOn w:val="1"/>
    <w:next w:val="1"/>
    <w:autoRedefine/>
    <w:qFormat/>
    <w:uiPriority w:val="0"/>
    <w:pPr>
      <w:autoSpaceDE w:val="0"/>
      <w:autoSpaceDN w:val="0"/>
      <w:adjustRightInd w:val="0"/>
      <w:jc w:val="left"/>
      <w:outlineLvl w:val="1"/>
    </w:pPr>
    <w:rPr>
      <w:kern w:val="0"/>
    </w:rPr>
  </w:style>
  <w:style w:type="paragraph" w:styleId="4">
    <w:name w:val="heading 3"/>
    <w:basedOn w:val="1"/>
    <w:next w:val="1"/>
    <w:autoRedefine/>
    <w:qFormat/>
    <w:uiPriority w:val="0"/>
    <w:pPr>
      <w:keepNext/>
      <w:keepLines/>
      <w:spacing w:before="120" w:after="120"/>
      <w:jc w:val="center"/>
      <w:outlineLvl w:val="2"/>
    </w:pPr>
    <w:rPr>
      <w:rFonts w:ascii="Times New Roman" w:hAnsi="Times New Roman" w:eastAsia="宋体" w:cs="Times New Roman"/>
      <w:sz w:val="24"/>
      <w:lang w:val="en-US" w:eastAsia="zh-CN" w:bidi="ar-SA"/>
    </w:rPr>
  </w:style>
  <w:style w:type="paragraph" w:styleId="5">
    <w:name w:val="heading 4"/>
    <w:basedOn w:val="1"/>
    <w:next w:val="1"/>
    <w:autoRedefine/>
    <w:qFormat/>
    <w:uiPriority w:val="0"/>
    <w:pPr>
      <w:keepNext/>
      <w:keepLines/>
      <w:spacing w:before="280" w:after="290" w:line="374" w:lineRule="auto"/>
      <w:outlineLvl w:val="3"/>
    </w:pPr>
    <w:rPr>
      <w:rFonts w:ascii="Arial" w:hAnsi="Arial"/>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0"/>
    <w:pPr>
      <w:ind w:left="1680"/>
      <w:jc w:val="left"/>
    </w:pPr>
  </w:style>
  <w:style w:type="paragraph" w:styleId="7">
    <w:name w:val="table of authorities"/>
    <w:basedOn w:val="1"/>
    <w:next w:val="1"/>
    <w:autoRedefine/>
    <w:qFormat/>
    <w:uiPriority w:val="0"/>
    <w:pPr>
      <w:ind w:left="420" w:leftChars="200"/>
    </w:pPr>
  </w:style>
  <w:style w:type="paragraph" w:styleId="8">
    <w:name w:val="Document Map"/>
    <w:basedOn w:val="1"/>
    <w:autoRedefine/>
    <w:qFormat/>
    <w:uiPriority w:val="0"/>
    <w:pPr>
      <w:shd w:val="clear" w:color="auto" w:fill="000080"/>
    </w:pPr>
  </w:style>
  <w:style w:type="paragraph" w:styleId="9">
    <w:name w:val="annotation text"/>
    <w:basedOn w:val="1"/>
    <w:autoRedefine/>
    <w:qFormat/>
    <w:uiPriority w:val="0"/>
    <w:pPr>
      <w:adjustRightInd w:val="0"/>
      <w:spacing w:line="360" w:lineRule="atLeast"/>
      <w:jc w:val="left"/>
      <w:textAlignment w:val="baseline"/>
    </w:pPr>
    <w:rPr>
      <w:kern w:val="0"/>
    </w:rPr>
  </w:style>
  <w:style w:type="paragraph" w:styleId="10">
    <w:name w:val="Body Text"/>
    <w:basedOn w:val="1"/>
    <w:autoRedefine/>
    <w:qFormat/>
    <w:uiPriority w:val="0"/>
    <w:pPr>
      <w:spacing w:after="120"/>
    </w:pPr>
  </w:style>
  <w:style w:type="paragraph" w:styleId="11">
    <w:name w:val="Body Text Indent"/>
    <w:basedOn w:val="1"/>
    <w:link w:val="44"/>
    <w:autoRedefine/>
    <w:qFormat/>
    <w:uiPriority w:val="0"/>
    <w:pPr>
      <w:ind w:firstLine="560" w:firstLineChars="200"/>
    </w:pPr>
  </w:style>
  <w:style w:type="paragraph" w:styleId="12">
    <w:name w:val="toc 5"/>
    <w:basedOn w:val="1"/>
    <w:next w:val="1"/>
    <w:autoRedefine/>
    <w:qFormat/>
    <w:uiPriority w:val="0"/>
    <w:pPr>
      <w:ind w:left="1120"/>
      <w:jc w:val="left"/>
    </w:pPr>
  </w:style>
  <w:style w:type="paragraph" w:styleId="13">
    <w:name w:val="toc 3"/>
    <w:basedOn w:val="1"/>
    <w:next w:val="1"/>
    <w:autoRedefine/>
    <w:qFormat/>
    <w:uiPriority w:val="0"/>
    <w:pPr>
      <w:ind w:left="561"/>
      <w:jc w:val="left"/>
    </w:pPr>
  </w:style>
  <w:style w:type="paragraph" w:styleId="14">
    <w:name w:val="Plain Text"/>
    <w:basedOn w:val="1"/>
    <w:qFormat/>
    <w:uiPriority w:val="0"/>
    <w:rPr>
      <w:rFonts w:ascii="宋体" w:hAnsi="Courier New" w:eastAsia="宋体" w:cs="Courier New"/>
      <w:szCs w:val="21"/>
    </w:rPr>
  </w:style>
  <w:style w:type="paragraph" w:styleId="15">
    <w:name w:val="toc 8"/>
    <w:basedOn w:val="1"/>
    <w:next w:val="1"/>
    <w:autoRedefine/>
    <w:qFormat/>
    <w:uiPriority w:val="0"/>
    <w:pPr>
      <w:ind w:left="1960"/>
      <w:jc w:val="left"/>
    </w:pPr>
  </w:style>
  <w:style w:type="paragraph" w:styleId="16">
    <w:name w:val="Body Text Indent 2"/>
    <w:basedOn w:val="1"/>
    <w:autoRedefine/>
    <w:qFormat/>
    <w:uiPriority w:val="0"/>
    <w:pPr>
      <w:spacing w:line="480" w:lineRule="auto"/>
      <w:ind w:firstLine="561"/>
    </w:pPr>
  </w:style>
  <w:style w:type="paragraph" w:styleId="17">
    <w:name w:val="Balloon Text"/>
    <w:basedOn w:val="1"/>
    <w:autoRedefine/>
    <w:qFormat/>
    <w:uiPriority w:val="0"/>
    <w:rPr>
      <w:sz w:val="18"/>
      <w:szCs w:val="18"/>
    </w:rPr>
  </w:style>
  <w:style w:type="paragraph" w:styleId="18">
    <w:name w:val="footer"/>
    <w:basedOn w:val="1"/>
    <w:autoRedefine/>
    <w:qFormat/>
    <w:uiPriority w:val="0"/>
    <w:pPr>
      <w:widowControl/>
      <w:tabs>
        <w:tab w:val="center" w:pos="4153"/>
        <w:tab w:val="right" w:pos="8306"/>
      </w:tabs>
      <w:snapToGrid w:val="0"/>
      <w:jc w:val="left"/>
    </w:pPr>
    <w:rPr>
      <w:kern w:val="0"/>
      <w:sz w:val="18"/>
    </w:rPr>
  </w:style>
  <w:style w:type="paragraph" w:styleId="19">
    <w:name w:val="header"/>
    <w:basedOn w:val="1"/>
    <w:autoRedefine/>
    <w:qFormat/>
    <w:uiPriority w:val="0"/>
    <w:pPr>
      <w:widowControl/>
      <w:pBdr>
        <w:bottom w:val="single" w:color="auto" w:sz="6" w:space="1"/>
      </w:pBdr>
      <w:tabs>
        <w:tab w:val="center" w:pos="4153"/>
        <w:tab w:val="right" w:pos="8306"/>
      </w:tabs>
      <w:snapToGrid w:val="0"/>
      <w:jc w:val="center"/>
    </w:pPr>
    <w:rPr>
      <w:kern w:val="0"/>
      <w:sz w:val="18"/>
    </w:rPr>
  </w:style>
  <w:style w:type="paragraph" w:styleId="20">
    <w:name w:val="toc 1"/>
    <w:basedOn w:val="1"/>
    <w:next w:val="1"/>
    <w:autoRedefine/>
    <w:qFormat/>
    <w:uiPriority w:val="0"/>
    <w:pPr>
      <w:spacing w:before="120" w:after="120"/>
      <w:jc w:val="left"/>
    </w:pPr>
    <w:rPr>
      <w:caps/>
    </w:rPr>
  </w:style>
  <w:style w:type="paragraph" w:styleId="21">
    <w:name w:val="toc 4"/>
    <w:basedOn w:val="1"/>
    <w:next w:val="1"/>
    <w:autoRedefine/>
    <w:qFormat/>
    <w:uiPriority w:val="0"/>
    <w:pPr>
      <w:ind w:left="840"/>
      <w:jc w:val="left"/>
    </w:pPr>
  </w:style>
  <w:style w:type="paragraph" w:styleId="22">
    <w:name w:val="toc 6"/>
    <w:basedOn w:val="1"/>
    <w:next w:val="1"/>
    <w:autoRedefine/>
    <w:qFormat/>
    <w:uiPriority w:val="0"/>
    <w:pPr>
      <w:ind w:left="1400"/>
      <w:jc w:val="left"/>
    </w:pPr>
  </w:style>
  <w:style w:type="paragraph" w:styleId="23">
    <w:name w:val="Body Text Indent 3"/>
    <w:basedOn w:val="1"/>
    <w:link w:val="45"/>
    <w:autoRedefine/>
    <w:qFormat/>
    <w:uiPriority w:val="0"/>
    <w:pPr>
      <w:ind w:firstLine="560"/>
    </w:pPr>
    <w:rPr>
      <w:color w:val="FF0000"/>
    </w:rPr>
  </w:style>
  <w:style w:type="paragraph" w:styleId="24">
    <w:name w:val="toc 2"/>
    <w:basedOn w:val="1"/>
    <w:next w:val="1"/>
    <w:autoRedefine/>
    <w:qFormat/>
    <w:uiPriority w:val="0"/>
    <w:pPr>
      <w:ind w:left="278"/>
      <w:jc w:val="left"/>
    </w:pPr>
    <w:rPr>
      <w:smallCaps/>
    </w:rPr>
  </w:style>
  <w:style w:type="paragraph" w:styleId="25">
    <w:name w:val="toc 9"/>
    <w:basedOn w:val="1"/>
    <w:next w:val="1"/>
    <w:autoRedefine/>
    <w:qFormat/>
    <w:uiPriority w:val="0"/>
    <w:pPr>
      <w:ind w:left="2240"/>
      <w:jc w:val="left"/>
    </w:pPr>
  </w:style>
  <w:style w:type="paragraph" w:styleId="26">
    <w:name w:val="Body Text 2"/>
    <w:basedOn w:val="1"/>
    <w:next w:val="10"/>
    <w:autoRedefine/>
    <w:qFormat/>
    <w:uiPriority w:val="0"/>
    <w:pPr>
      <w:spacing w:line="500" w:lineRule="exact"/>
    </w:pPr>
  </w:style>
  <w:style w:type="paragraph" w:styleId="27">
    <w:name w:val="Normal (Web)"/>
    <w:basedOn w:val="1"/>
    <w:autoRedefine/>
    <w:qFormat/>
    <w:uiPriority w:val="0"/>
    <w:pPr>
      <w:widowControl/>
      <w:spacing w:before="100" w:beforeAutospacing="1" w:after="100" w:afterAutospacing="1" w:line="240" w:lineRule="auto"/>
      <w:jc w:val="left"/>
    </w:pPr>
    <w:rPr>
      <w:rFonts w:hAnsi="宋体" w:cs="宋体"/>
      <w:color w:val="000000"/>
      <w:kern w:val="0"/>
      <w:szCs w:val="24"/>
    </w:rPr>
  </w:style>
  <w:style w:type="paragraph" w:styleId="28">
    <w:name w:val="annotation subject"/>
    <w:basedOn w:val="9"/>
    <w:next w:val="9"/>
    <w:autoRedefine/>
    <w:qFormat/>
    <w:uiPriority w:val="0"/>
    <w:pPr>
      <w:adjustRightInd/>
      <w:spacing w:line="360" w:lineRule="auto"/>
      <w:textAlignment w:val="auto"/>
    </w:pPr>
    <w:rPr>
      <w:b/>
      <w:bCs/>
      <w:kern w:val="2"/>
    </w:rPr>
  </w:style>
  <w:style w:type="paragraph" w:styleId="29">
    <w:name w:val="Body Text First Indent 2"/>
    <w:next w:val="30"/>
    <w:autoRedefine/>
    <w:qFormat/>
    <w:uiPriority w:val="0"/>
    <w:pPr>
      <w:widowControl w:val="0"/>
      <w:spacing w:line="360" w:lineRule="auto"/>
      <w:ind w:firstLine="420"/>
      <w:jc w:val="both"/>
    </w:pPr>
    <w:rPr>
      <w:rFonts w:ascii="宋体" w:hAnsi="宋体" w:eastAsia="宋体" w:cs="Times New Roman"/>
      <w:kern w:val="1"/>
      <w:sz w:val="24"/>
      <w:lang w:val="en-US" w:eastAsia="zh-CN" w:bidi="ar-SA"/>
    </w:rPr>
  </w:style>
  <w:style w:type="paragraph" w:customStyle="1" w:styleId="30">
    <w:name w:val="章标题"/>
    <w:next w:val="1"/>
    <w:qFormat/>
    <w:uiPriority w:val="0"/>
    <w:pPr>
      <w:spacing w:before="50" w:after="50"/>
      <w:jc w:val="both"/>
      <w:outlineLvl w:val="1"/>
    </w:pPr>
    <w:rPr>
      <w:rFonts w:ascii="黑体" w:hAnsi="Calibri" w:eastAsia="黑体" w:cs="Times New Roman"/>
      <w:kern w:val="0"/>
      <w:sz w:val="21"/>
      <w:szCs w:val="20"/>
      <w:lang w:val="en-US" w:eastAsia="zh-CN" w:bidi="ar-SA"/>
    </w:rPr>
  </w:style>
  <w:style w:type="table" w:styleId="32">
    <w:name w:val="Table Grid"/>
    <w:basedOn w:val="3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autoRedefine/>
    <w:qFormat/>
    <w:uiPriority w:val="0"/>
    <w:rPr>
      <w:b/>
      <w:bCs/>
    </w:rPr>
  </w:style>
  <w:style w:type="character" w:styleId="35">
    <w:name w:val="page number"/>
    <w:basedOn w:val="33"/>
    <w:autoRedefine/>
    <w:qFormat/>
    <w:uiPriority w:val="0"/>
  </w:style>
  <w:style w:type="character" w:styleId="36">
    <w:name w:val="FollowedHyperlink"/>
    <w:autoRedefine/>
    <w:qFormat/>
    <w:uiPriority w:val="0"/>
    <w:rPr>
      <w:color w:val="800080"/>
      <w:u w:val="single"/>
    </w:rPr>
  </w:style>
  <w:style w:type="character" w:styleId="37">
    <w:name w:val="Hyperlink"/>
    <w:autoRedefine/>
    <w:qFormat/>
    <w:uiPriority w:val="0"/>
    <w:rPr>
      <w:color w:val="0000FF"/>
      <w:u w:val="single"/>
    </w:rPr>
  </w:style>
  <w:style w:type="character" w:styleId="38">
    <w:name w:val="annotation reference"/>
    <w:autoRedefine/>
    <w:qFormat/>
    <w:uiPriority w:val="0"/>
    <w:rPr>
      <w:sz w:val="21"/>
    </w:rPr>
  </w:style>
  <w:style w:type="paragraph" w:customStyle="1" w:styleId="39">
    <w:name w:val="Normal Indent1"/>
    <w:basedOn w:val="1"/>
    <w:autoRedefine/>
    <w:qFormat/>
    <w:uiPriority w:val="0"/>
    <w:pPr>
      <w:widowControl/>
      <w:ind w:firstLine="420"/>
      <w:jc w:val="left"/>
    </w:pPr>
    <w:rPr>
      <w:rFonts w:ascii="Times New Roman"/>
      <w:kern w:val="0"/>
    </w:rPr>
  </w:style>
  <w:style w:type="paragraph" w:customStyle="1" w:styleId="40">
    <w:name w:val="样式 宋体 行距: 1.5 倍行距"/>
    <w:basedOn w:val="41"/>
    <w:next w:val="1"/>
    <w:autoRedefine/>
    <w:qFormat/>
    <w:uiPriority w:val="0"/>
    <w:pPr>
      <w:jc w:val="center"/>
    </w:pPr>
    <w:rPr>
      <w:rFonts w:ascii="Times New Roman"/>
      <w:b/>
    </w:rPr>
  </w:style>
  <w:style w:type="paragraph" w:customStyle="1" w:styleId="41">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40"/>
    <w:qFormat/>
    <w:uiPriority w:val="0"/>
    <w:pPr>
      <w:widowControl w:val="0"/>
      <w:jc w:val="both"/>
    </w:pPr>
    <w:rPr>
      <w:rFonts w:ascii="Calibri" w:hAnsi="Calibri" w:eastAsia="宋体" w:cs="黑体"/>
      <w:kern w:val="2"/>
      <w:sz w:val="21"/>
      <w:szCs w:val="24"/>
      <w:lang w:val="en-US" w:eastAsia="zh-CN" w:bidi="ar-SA"/>
    </w:rPr>
  </w:style>
  <w:style w:type="paragraph" w:customStyle="1" w:styleId="42">
    <w:name w:val="正文 New New New New New New New New New New New New New New New New New New New New New New New New New New New New New New New New New New New New New New New New New New New New New New New New New New New New New New New New New New New New New New Ne"/>
    <w:next w:val="40"/>
    <w:autoRedefine/>
    <w:qFormat/>
    <w:uiPriority w:val="0"/>
    <w:pPr>
      <w:widowControl w:val="0"/>
      <w:jc w:val="both"/>
    </w:pPr>
    <w:rPr>
      <w:rFonts w:ascii="Calibri" w:hAnsi="Calibri" w:eastAsia="宋体" w:cs="黑体"/>
      <w:kern w:val="2"/>
      <w:sz w:val="21"/>
      <w:szCs w:val="24"/>
      <w:lang w:val="en-US" w:eastAsia="zh-CN" w:bidi="ar-SA"/>
    </w:rPr>
  </w:style>
  <w:style w:type="paragraph" w:customStyle="1" w:styleId="43">
    <w:name w:val="Char Char2"/>
    <w:basedOn w:val="8"/>
    <w:autoRedefine/>
    <w:qFormat/>
    <w:uiPriority w:val="0"/>
    <w:pPr>
      <w:spacing w:line="240" w:lineRule="auto"/>
    </w:pPr>
  </w:style>
  <w:style w:type="character" w:customStyle="1" w:styleId="44">
    <w:name w:val="正文文本缩进 字符"/>
    <w:link w:val="11"/>
    <w:autoRedefine/>
    <w:qFormat/>
    <w:uiPriority w:val="0"/>
    <w:rPr>
      <w:rFonts w:ascii="宋体"/>
      <w:kern w:val="2"/>
      <w:sz w:val="24"/>
    </w:rPr>
  </w:style>
  <w:style w:type="character" w:customStyle="1" w:styleId="45">
    <w:name w:val="正文文本缩进 3 字符"/>
    <w:link w:val="23"/>
    <w:autoRedefine/>
    <w:qFormat/>
    <w:uiPriority w:val="0"/>
    <w:rPr>
      <w:rFonts w:ascii="宋体" w:eastAsia="宋体"/>
      <w:color w:val="FF0000"/>
      <w:kern w:val="2"/>
      <w:sz w:val="24"/>
      <w:lang w:val="en-US" w:eastAsia="zh-CN" w:bidi="ar-SA"/>
    </w:rPr>
  </w:style>
  <w:style w:type="character" w:customStyle="1" w:styleId="46">
    <w:name w:val="超链接 New New"/>
    <w:autoRedefine/>
    <w:qFormat/>
    <w:uiPriority w:val="0"/>
    <w:rPr>
      <w:color w:val="000000"/>
      <w:sz w:val="18"/>
      <w:szCs w:val="18"/>
      <w:u w:val="none"/>
    </w:rPr>
  </w:style>
  <w:style w:type="character" w:customStyle="1" w:styleId="47">
    <w:name w:val="超链接 New"/>
    <w:autoRedefine/>
    <w:qFormat/>
    <w:uiPriority w:val="0"/>
    <w:rPr>
      <w:color w:val="000000"/>
      <w:sz w:val="18"/>
      <w:szCs w:val="18"/>
      <w:u w:val="none"/>
    </w:rPr>
  </w:style>
  <w:style w:type="character" w:customStyle="1" w:styleId="48">
    <w:name w:val="默认段落字体1"/>
    <w:autoRedefine/>
    <w:qFormat/>
    <w:uiPriority w:val="0"/>
    <w:rPr>
      <w:rFonts w:hint="default"/>
    </w:rPr>
  </w:style>
  <w:style w:type="character" w:customStyle="1" w:styleId="49">
    <w:name w:val="默认段落字体 New New"/>
    <w:link w:val="50"/>
    <w:autoRedefine/>
    <w:qFormat/>
    <w:uiPriority w:val="0"/>
    <w:rPr>
      <w:rFonts w:ascii="Tahoma" w:hAnsi="Tahoma"/>
      <w:szCs w:val="24"/>
    </w:rPr>
  </w:style>
  <w:style w:type="paragraph" w:customStyle="1" w:styleId="50">
    <w:name w:val="Char New New"/>
    <w:basedOn w:val="1"/>
    <w:link w:val="49"/>
    <w:autoRedefine/>
    <w:qFormat/>
    <w:uiPriority w:val="0"/>
    <w:pPr>
      <w:spacing w:line="240" w:lineRule="auto"/>
    </w:pPr>
    <w:rPr>
      <w:rFonts w:ascii="Tahoma" w:hAnsi="Tahoma"/>
      <w:szCs w:val="24"/>
    </w:rPr>
  </w:style>
  <w:style w:type="character" w:customStyle="1" w:styleId="51">
    <w:name w:val="默认段落字体 New"/>
    <w:link w:val="52"/>
    <w:autoRedefine/>
    <w:qFormat/>
    <w:uiPriority w:val="0"/>
    <w:rPr>
      <w:rFonts w:ascii="Tahoma" w:hAnsi="Tahoma"/>
      <w:szCs w:val="24"/>
    </w:rPr>
  </w:style>
  <w:style w:type="paragraph" w:customStyle="1" w:styleId="52">
    <w:name w:val="Char New"/>
    <w:basedOn w:val="1"/>
    <w:link w:val="51"/>
    <w:autoRedefine/>
    <w:qFormat/>
    <w:uiPriority w:val="0"/>
    <w:pPr>
      <w:spacing w:line="240" w:lineRule="auto"/>
    </w:pPr>
    <w:rPr>
      <w:rFonts w:ascii="Tahoma" w:hAnsi="Tahoma"/>
      <w:szCs w:val="24"/>
    </w:rPr>
  </w:style>
  <w:style w:type="character" w:customStyle="1" w:styleId="53">
    <w:name w:val="页码 New New New"/>
    <w:autoRedefine/>
    <w:qFormat/>
    <w:uiPriority w:val="0"/>
    <w:rPr>
      <w:rFonts w:eastAsia="宋体"/>
      <w:kern w:val="2"/>
      <w:sz w:val="24"/>
      <w:szCs w:val="24"/>
      <w:lang w:val="en-US" w:eastAsia="zh-CN" w:bidi="ar-SA"/>
    </w:rPr>
  </w:style>
  <w:style w:type="character" w:customStyle="1" w:styleId="54">
    <w:name w:val="页码 New New"/>
    <w:autoRedefine/>
    <w:qFormat/>
    <w:uiPriority w:val="0"/>
    <w:rPr>
      <w:rFonts w:eastAsia="宋体"/>
      <w:kern w:val="2"/>
      <w:sz w:val="24"/>
      <w:szCs w:val="24"/>
      <w:lang w:val="en-US" w:eastAsia="zh-CN" w:bidi="ar-SA"/>
    </w:rPr>
  </w:style>
  <w:style w:type="character" w:customStyle="1" w:styleId="55">
    <w:name w:val="Char Char1"/>
    <w:autoRedefine/>
    <w:qFormat/>
    <w:uiPriority w:val="0"/>
    <w:rPr>
      <w:rFonts w:ascii="宋体" w:eastAsia="宋体"/>
      <w:color w:val="FF0000"/>
      <w:kern w:val="2"/>
      <w:sz w:val="24"/>
      <w:lang w:val="en-US" w:eastAsia="zh-CN" w:bidi="ar-SA"/>
    </w:rPr>
  </w:style>
  <w:style w:type="character" w:customStyle="1" w:styleId="56">
    <w:name w:val="页码 New"/>
    <w:autoRedefine/>
    <w:qFormat/>
    <w:uiPriority w:val="0"/>
    <w:rPr>
      <w:rFonts w:eastAsia="宋体"/>
      <w:kern w:val="2"/>
      <w:sz w:val="24"/>
      <w:szCs w:val="24"/>
      <w:lang w:val="en-US" w:eastAsia="zh-CN" w:bidi="ar-SA"/>
    </w:rPr>
  </w:style>
  <w:style w:type="paragraph" w:customStyle="1" w:styleId="57">
    <w:name w:val="标题 3 New"/>
    <w:autoRedefine/>
    <w:qFormat/>
    <w:uiPriority w:val="0"/>
    <w:pPr>
      <w:keepNext/>
      <w:keepLines/>
      <w:spacing w:before="120" w:after="120"/>
      <w:jc w:val="center"/>
      <w:outlineLvl w:val="2"/>
    </w:pPr>
    <w:rPr>
      <w:rFonts w:ascii="Times New Roman" w:hAnsi="Times New Roman" w:eastAsia="宋体" w:cs="Times New Roman"/>
      <w:sz w:val="24"/>
      <w:lang w:val="en-US" w:eastAsia="zh-CN" w:bidi="ar-SA"/>
    </w:rPr>
  </w:style>
  <w:style w:type="paragraph" w:customStyle="1" w:styleId="58">
    <w:name w:val="正文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59">
    <w:name w:val="页脚 New New New New New New New New New New New New New"/>
    <w:basedOn w:val="60"/>
    <w:autoRedefine/>
    <w:qFormat/>
    <w:uiPriority w:val="0"/>
    <w:pPr>
      <w:widowControl/>
      <w:tabs>
        <w:tab w:val="center" w:pos="4153"/>
        <w:tab w:val="right" w:pos="8306"/>
      </w:tabs>
      <w:snapToGrid w:val="0"/>
      <w:jc w:val="left"/>
    </w:pPr>
    <w:rPr>
      <w:sz w:val="18"/>
    </w:rPr>
  </w:style>
  <w:style w:type="paragraph" w:customStyle="1" w:styleId="60">
    <w:name w:val="正文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61">
    <w:name w:val="正文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
    <w:name w:val="正文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3">
    <w:name w:val="正文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4">
    <w:name w:val="页脚 New New New New New"/>
    <w:basedOn w:val="65"/>
    <w:autoRedefine/>
    <w:qFormat/>
    <w:uiPriority w:val="0"/>
    <w:pPr>
      <w:tabs>
        <w:tab w:val="center" w:pos="4153"/>
        <w:tab w:val="right" w:pos="8306"/>
      </w:tabs>
      <w:snapToGrid w:val="0"/>
      <w:jc w:val="left"/>
    </w:pPr>
    <w:rPr>
      <w:sz w:val="18"/>
    </w:rPr>
  </w:style>
  <w:style w:type="paragraph" w:customStyle="1" w:styleId="65">
    <w:name w:val="正文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6">
    <w:name w:val="纯文本 New New"/>
    <w:basedOn w:val="67"/>
    <w:autoRedefine/>
    <w:qFormat/>
    <w:uiPriority w:val="0"/>
    <w:rPr>
      <w:rFonts w:ascii="宋体" w:hAnsi="Courier New"/>
      <w:szCs w:val="24"/>
    </w:rPr>
  </w:style>
  <w:style w:type="paragraph" w:customStyle="1" w:styleId="67">
    <w:name w:val="正文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8">
    <w:name w:val="正文1"/>
    <w:autoRedefine/>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69">
    <w:name w:val="页脚1"/>
    <w:basedOn w:val="68"/>
    <w:autoRedefine/>
    <w:qFormat/>
    <w:uiPriority w:val="0"/>
    <w:pPr>
      <w:widowControl/>
      <w:tabs>
        <w:tab w:val="center" w:pos="4153"/>
        <w:tab w:val="right" w:pos="8306"/>
      </w:tabs>
      <w:snapToGrid w:val="0"/>
      <w:jc w:val="left"/>
    </w:pPr>
    <w:rPr>
      <w:kern w:val="0"/>
      <w:sz w:val="18"/>
    </w:rPr>
  </w:style>
  <w:style w:type="paragraph" w:customStyle="1" w:styleId="70">
    <w:name w:val="正文 New New New New New New New New New New New New New New New New New New New New New New New New"/>
    <w:autoRedefine/>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1">
    <w:name w:val="标题 3 New New"/>
    <w:basedOn w:val="72"/>
    <w:next w:val="72"/>
    <w:autoRedefine/>
    <w:qFormat/>
    <w:uiPriority w:val="0"/>
    <w:pPr>
      <w:keepNext/>
      <w:keepLines/>
      <w:spacing w:before="120" w:after="120"/>
      <w:jc w:val="center"/>
      <w:outlineLvl w:val="2"/>
    </w:pPr>
    <w:rPr>
      <w:sz w:val="24"/>
    </w:rPr>
  </w:style>
  <w:style w:type="paragraph" w:customStyle="1" w:styleId="72">
    <w:name w:val="正文缩进 New"/>
    <w:basedOn w:val="73"/>
    <w:autoRedefine/>
    <w:qFormat/>
    <w:uiPriority w:val="0"/>
    <w:pPr>
      <w:widowControl/>
      <w:ind w:firstLine="420"/>
      <w:jc w:val="left"/>
    </w:pPr>
    <w:rPr>
      <w:kern w:val="0"/>
      <w:sz w:val="20"/>
    </w:rPr>
  </w:style>
  <w:style w:type="paragraph" w:customStyle="1" w:styleId="73">
    <w:name w:val="正文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74">
    <w:name w:val="普通(网站) New"/>
    <w:basedOn w:val="75"/>
    <w:autoRedefine/>
    <w:qFormat/>
    <w:uiPriority w:val="0"/>
    <w:rPr>
      <w:sz w:val="24"/>
    </w:rPr>
  </w:style>
  <w:style w:type="paragraph" w:customStyle="1" w:styleId="75">
    <w:name w:val="正文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6">
    <w:name w:val="正文文本缩进 New"/>
    <w:basedOn w:val="73"/>
    <w:autoRedefine/>
    <w:qFormat/>
    <w:uiPriority w:val="0"/>
    <w:pPr>
      <w:ind w:firstLine="560" w:firstLineChars="200"/>
    </w:pPr>
  </w:style>
  <w:style w:type="paragraph" w:customStyle="1" w:styleId="77">
    <w:name w:val="Char"/>
    <w:basedOn w:val="8"/>
    <w:autoRedefine/>
    <w:qFormat/>
    <w:uiPriority w:val="0"/>
    <w:pPr>
      <w:spacing w:line="240" w:lineRule="auto"/>
    </w:pPr>
  </w:style>
  <w:style w:type="paragraph" w:customStyle="1" w:styleId="78">
    <w:name w:val="正文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79">
    <w:name w:val="页脚 New New New New"/>
    <w:basedOn w:val="80"/>
    <w:autoRedefine/>
    <w:qFormat/>
    <w:uiPriority w:val="0"/>
    <w:pPr>
      <w:tabs>
        <w:tab w:val="center" w:pos="4153"/>
        <w:tab w:val="right" w:pos="8306"/>
      </w:tabs>
      <w:snapToGrid w:val="0"/>
      <w:jc w:val="left"/>
    </w:pPr>
    <w:rPr>
      <w:sz w:val="18"/>
      <w:szCs w:val="18"/>
    </w:rPr>
  </w:style>
  <w:style w:type="paragraph" w:customStyle="1" w:styleId="80">
    <w:name w:val="正文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
    <w:name w:val="正文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2">
    <w:name w:val="正文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83">
    <w:name w:val="页眉 New New New New New New New New New"/>
    <w:basedOn w:val="60"/>
    <w:autoRedefine/>
    <w:qFormat/>
    <w:uiPriority w:val="0"/>
    <w:pPr>
      <w:widowControl/>
      <w:pBdr>
        <w:bottom w:val="single" w:color="auto" w:sz="6" w:space="1"/>
      </w:pBdr>
      <w:tabs>
        <w:tab w:val="center" w:pos="4153"/>
        <w:tab w:val="right" w:pos="8306"/>
      </w:tabs>
      <w:snapToGrid w:val="0"/>
      <w:jc w:val="center"/>
    </w:pPr>
    <w:rPr>
      <w:sz w:val="18"/>
    </w:rPr>
  </w:style>
  <w:style w:type="paragraph" w:customStyle="1" w:styleId="84">
    <w:name w:val="正文 New New New New New New New New New New New New New New New New New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5">
    <w:name w:val="页眉 New New New New New New New New"/>
    <w:basedOn w:val="86"/>
    <w:autoRedefine/>
    <w:qFormat/>
    <w:uiPriority w:val="0"/>
    <w:pPr>
      <w:widowControl/>
      <w:pBdr>
        <w:bottom w:val="single" w:color="auto" w:sz="6" w:space="1"/>
      </w:pBdr>
      <w:tabs>
        <w:tab w:val="center" w:pos="4153"/>
        <w:tab w:val="right" w:pos="8306"/>
      </w:tabs>
      <w:snapToGrid w:val="0"/>
      <w:jc w:val="center"/>
    </w:pPr>
    <w:rPr>
      <w:sz w:val="18"/>
    </w:rPr>
  </w:style>
  <w:style w:type="paragraph" w:customStyle="1" w:styleId="86">
    <w:name w:val="正文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87">
    <w:name w:val="正文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8">
    <w:name w:val="正文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
    <w:name w:val="p18"/>
    <w:autoRedefine/>
    <w:qFormat/>
    <w:uiPriority w:val="0"/>
    <w:pPr>
      <w:spacing w:after="120" w:line="360" w:lineRule="auto"/>
    </w:pPr>
    <w:rPr>
      <w:rFonts w:ascii="宋体" w:hAnsi="宋体" w:eastAsia="宋体" w:cs="宋体"/>
      <w:sz w:val="24"/>
      <w:szCs w:val="24"/>
      <w:lang w:val="en-US" w:eastAsia="zh-CN" w:bidi="ar-SA"/>
    </w:rPr>
  </w:style>
  <w:style w:type="paragraph" w:customStyle="1" w:styleId="90">
    <w:name w:val="正文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1">
    <w:name w:val="样式2"/>
    <w:basedOn w:val="20"/>
    <w:autoRedefine/>
    <w:qFormat/>
    <w:uiPriority w:val="0"/>
    <w:pPr>
      <w:tabs>
        <w:tab w:val="right" w:leader="dot" w:pos="9345"/>
      </w:tabs>
    </w:pPr>
    <w:rPr>
      <w:rFonts w:hAnsi="宋体"/>
      <w:b/>
      <w:color w:val="0000FF"/>
      <w:u w:val="single"/>
    </w:rPr>
  </w:style>
  <w:style w:type="paragraph" w:customStyle="1" w:styleId="92">
    <w:name w:val="页脚 New New New New New New New New"/>
    <w:basedOn w:val="93"/>
    <w:autoRedefine/>
    <w:qFormat/>
    <w:uiPriority w:val="0"/>
    <w:pPr>
      <w:tabs>
        <w:tab w:val="center" w:pos="4153"/>
        <w:tab w:val="right" w:pos="8306"/>
      </w:tabs>
      <w:snapToGrid w:val="0"/>
      <w:jc w:val="left"/>
    </w:pPr>
    <w:rPr>
      <w:sz w:val="18"/>
      <w:szCs w:val="18"/>
    </w:rPr>
  </w:style>
  <w:style w:type="paragraph" w:customStyle="1" w:styleId="93">
    <w:name w:val="正文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
    <w:name w:val="正文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5">
    <w:name w:val="页脚 New New New New New New New New New New"/>
    <w:basedOn w:val="90"/>
    <w:autoRedefine/>
    <w:qFormat/>
    <w:uiPriority w:val="0"/>
    <w:pPr>
      <w:widowControl/>
      <w:tabs>
        <w:tab w:val="center" w:pos="4153"/>
        <w:tab w:val="right" w:pos="8306"/>
      </w:tabs>
      <w:snapToGrid w:val="0"/>
      <w:jc w:val="left"/>
    </w:pPr>
    <w:rPr>
      <w:sz w:val="18"/>
    </w:rPr>
  </w:style>
  <w:style w:type="paragraph" w:customStyle="1" w:styleId="96">
    <w:name w:val="正文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7">
    <w:name w:val="页脚 New New New New New New"/>
    <w:basedOn w:val="75"/>
    <w:autoRedefine/>
    <w:qFormat/>
    <w:uiPriority w:val="0"/>
    <w:pPr>
      <w:tabs>
        <w:tab w:val="center" w:pos="4153"/>
        <w:tab w:val="right" w:pos="8306"/>
      </w:tabs>
      <w:snapToGrid w:val="0"/>
      <w:jc w:val="left"/>
    </w:pPr>
    <w:rPr>
      <w:sz w:val="18"/>
    </w:rPr>
  </w:style>
  <w:style w:type="paragraph" w:customStyle="1" w:styleId="98">
    <w:name w:val="正文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9">
    <w:name w:val="正文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0">
    <w:name w:val="正文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01">
    <w:name w:val="页眉 New New New New New"/>
    <w:basedOn w:val="75"/>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02">
    <w:name w:val="页脚 New New New New New New New New New New New"/>
    <w:basedOn w:val="86"/>
    <w:autoRedefine/>
    <w:qFormat/>
    <w:uiPriority w:val="0"/>
    <w:pPr>
      <w:widowControl/>
      <w:tabs>
        <w:tab w:val="center" w:pos="4153"/>
        <w:tab w:val="right" w:pos="8306"/>
      </w:tabs>
      <w:snapToGrid w:val="0"/>
      <w:jc w:val="left"/>
    </w:pPr>
    <w:rPr>
      <w:sz w:val="18"/>
    </w:rPr>
  </w:style>
  <w:style w:type="paragraph" w:customStyle="1" w:styleId="103">
    <w:name w:val="页眉 New New New New New New"/>
    <w:basedOn w:val="82"/>
    <w:autoRedefine/>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04">
    <w:name w:val="正文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5">
    <w:name w:val="页眉 New New"/>
    <w:basedOn w:val="62"/>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106">
    <w:name w:val="页眉 New"/>
    <w:basedOn w:val="107"/>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107">
    <w:name w:val="正文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8">
    <w:name w:val="正文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9">
    <w:name w:val="页脚 New"/>
    <w:basedOn w:val="107"/>
    <w:autoRedefine/>
    <w:qFormat/>
    <w:uiPriority w:val="0"/>
    <w:pPr>
      <w:tabs>
        <w:tab w:val="center" w:pos="4153"/>
        <w:tab w:val="right" w:pos="8306"/>
      </w:tabs>
      <w:snapToGrid w:val="0"/>
      <w:jc w:val="left"/>
    </w:pPr>
    <w:rPr>
      <w:sz w:val="18"/>
      <w:szCs w:val="18"/>
    </w:rPr>
  </w:style>
  <w:style w:type="paragraph" w:customStyle="1" w:styleId="110">
    <w:name w:val="正文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1">
    <w:name w:val="正文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2">
    <w:name w:val="正文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13">
    <w:name w:val="页脚 New New New"/>
    <w:basedOn w:val="67"/>
    <w:autoRedefine/>
    <w:qFormat/>
    <w:uiPriority w:val="0"/>
    <w:pPr>
      <w:tabs>
        <w:tab w:val="center" w:pos="4153"/>
        <w:tab w:val="right" w:pos="8306"/>
      </w:tabs>
      <w:snapToGrid w:val="0"/>
      <w:jc w:val="left"/>
    </w:pPr>
    <w:rPr>
      <w:sz w:val="18"/>
      <w:szCs w:val="18"/>
    </w:rPr>
  </w:style>
  <w:style w:type="paragraph" w:customStyle="1" w:styleId="114">
    <w:name w:val="页眉 New New New New"/>
    <w:basedOn w:val="65"/>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15">
    <w:name w:val="纯文本 New"/>
    <w:basedOn w:val="62"/>
    <w:autoRedefine/>
    <w:qFormat/>
    <w:uiPriority w:val="0"/>
    <w:rPr>
      <w:rFonts w:ascii="宋体" w:hAnsi="Courier New"/>
      <w:szCs w:val="24"/>
    </w:rPr>
  </w:style>
  <w:style w:type="paragraph" w:customStyle="1" w:styleId="116">
    <w:name w:val="正文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17">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8">
    <w:name w:val="正文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9">
    <w:name w:val="正文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0">
    <w:name w:val="正文 New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1">
    <w:name w:val="页脚 New New New New New New New New New New New New"/>
    <w:basedOn w:val="122"/>
    <w:autoRedefine/>
    <w:qFormat/>
    <w:uiPriority w:val="0"/>
    <w:pPr>
      <w:tabs>
        <w:tab w:val="center" w:pos="4153"/>
        <w:tab w:val="right" w:pos="8306"/>
      </w:tabs>
      <w:snapToGrid w:val="0"/>
      <w:jc w:val="left"/>
    </w:pPr>
    <w:rPr>
      <w:sz w:val="18"/>
      <w:szCs w:val="18"/>
    </w:rPr>
  </w:style>
  <w:style w:type="paragraph" w:customStyle="1" w:styleId="122">
    <w:name w:val="正文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3">
    <w:name w:val="目录 31"/>
    <w:basedOn w:val="68"/>
    <w:next w:val="68"/>
    <w:autoRedefine/>
    <w:qFormat/>
    <w:uiPriority w:val="0"/>
    <w:pPr>
      <w:ind w:left="561"/>
      <w:jc w:val="left"/>
    </w:pPr>
  </w:style>
  <w:style w:type="paragraph" w:customStyle="1" w:styleId="124">
    <w:name w:val="p0"/>
    <w:basedOn w:val="61"/>
    <w:autoRedefine/>
    <w:qFormat/>
    <w:uiPriority w:val="0"/>
    <w:pPr>
      <w:widowControl/>
      <w:spacing w:line="360" w:lineRule="auto"/>
    </w:pPr>
    <w:rPr>
      <w:rFonts w:ascii="宋体" w:hAnsi="宋体" w:cs="宋体"/>
      <w:kern w:val="0"/>
      <w:sz w:val="24"/>
      <w:szCs w:val="24"/>
    </w:rPr>
  </w:style>
  <w:style w:type="paragraph" w:customStyle="1" w:styleId="125">
    <w:name w:val="页眉 New New New New New New New"/>
    <w:basedOn w:val="90"/>
    <w:autoRedefine/>
    <w:qFormat/>
    <w:uiPriority w:val="0"/>
    <w:pPr>
      <w:widowControl/>
      <w:pBdr>
        <w:bottom w:val="single" w:color="auto" w:sz="6" w:space="1"/>
      </w:pBdr>
      <w:tabs>
        <w:tab w:val="center" w:pos="4153"/>
        <w:tab w:val="right" w:pos="8306"/>
      </w:tabs>
      <w:snapToGrid w:val="0"/>
      <w:jc w:val="center"/>
    </w:pPr>
    <w:rPr>
      <w:sz w:val="18"/>
    </w:rPr>
  </w:style>
  <w:style w:type="paragraph" w:customStyle="1" w:styleId="126">
    <w:name w:val="正文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7">
    <w:name w:val="正文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28">
    <w:name w:val="正文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9">
    <w:name w:val="标题 2 New"/>
    <w:basedOn w:val="88"/>
    <w:autoRedefine/>
    <w:qFormat/>
    <w:uiPriority w:val="0"/>
    <w:pPr>
      <w:widowControl/>
      <w:spacing w:before="100" w:beforeAutospacing="1" w:after="100" w:afterAutospacing="1"/>
      <w:jc w:val="left"/>
      <w:outlineLvl w:val="1"/>
    </w:pPr>
    <w:rPr>
      <w:rFonts w:ascii="宋体" w:hAnsi="宋体" w:cs="宋体"/>
      <w:b/>
      <w:bCs/>
      <w:kern w:val="0"/>
      <w:sz w:val="36"/>
      <w:szCs w:val="36"/>
    </w:rPr>
  </w:style>
  <w:style w:type="paragraph" w:customStyle="1" w:styleId="130">
    <w:name w:val="正文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1">
    <w:name w:val="blockquote"/>
    <w:basedOn w:val="1"/>
    <w:autoRedefine/>
    <w:qFormat/>
    <w:uiPriority w:val="0"/>
    <w:pPr>
      <w:widowControl/>
      <w:spacing w:before="100" w:beforeAutospacing="1" w:after="100" w:afterAutospacing="1" w:line="240" w:lineRule="auto"/>
      <w:jc w:val="left"/>
    </w:pPr>
    <w:rPr>
      <w:rFonts w:hAnsi="宋体"/>
      <w:kern w:val="0"/>
    </w:rPr>
  </w:style>
  <w:style w:type="paragraph" w:customStyle="1" w:styleId="132">
    <w:name w:val="正文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3">
    <w:name w:val="Normal New"/>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34">
    <w:name w:val="正文文本缩进 New New New New"/>
    <w:basedOn w:val="127"/>
    <w:autoRedefine/>
    <w:qFormat/>
    <w:uiPriority w:val="0"/>
    <w:pPr>
      <w:ind w:firstLine="560" w:firstLineChars="200"/>
    </w:pPr>
    <w:rPr>
      <w:szCs w:val="28"/>
    </w:rPr>
  </w:style>
  <w:style w:type="paragraph" w:customStyle="1" w:styleId="135">
    <w:name w:val="页脚 New New New New New New New"/>
    <w:basedOn w:val="82"/>
    <w:autoRedefine/>
    <w:qFormat/>
    <w:uiPriority w:val="0"/>
    <w:pPr>
      <w:widowControl/>
      <w:tabs>
        <w:tab w:val="center" w:pos="4153"/>
        <w:tab w:val="right" w:pos="8306"/>
      </w:tabs>
      <w:snapToGrid w:val="0"/>
      <w:jc w:val="left"/>
    </w:pPr>
    <w:rPr>
      <w:kern w:val="0"/>
      <w:sz w:val="18"/>
      <w:szCs w:val="20"/>
    </w:rPr>
  </w:style>
  <w:style w:type="paragraph" w:customStyle="1" w:styleId="136">
    <w:name w:val="正文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7">
    <w:name w:val="页脚 New New New New New New New New New"/>
    <w:basedOn w:val="81"/>
    <w:autoRedefine/>
    <w:qFormat/>
    <w:uiPriority w:val="0"/>
    <w:pPr>
      <w:tabs>
        <w:tab w:val="center" w:pos="4153"/>
        <w:tab w:val="right" w:pos="8306"/>
      </w:tabs>
      <w:snapToGrid w:val="0"/>
      <w:jc w:val="left"/>
    </w:pPr>
    <w:rPr>
      <w:sz w:val="18"/>
      <w:szCs w:val="18"/>
    </w:rPr>
  </w:style>
  <w:style w:type="paragraph" w:customStyle="1" w:styleId="138">
    <w:name w:val="页脚 New New"/>
    <w:basedOn w:val="62"/>
    <w:autoRedefine/>
    <w:qFormat/>
    <w:uiPriority w:val="0"/>
    <w:pPr>
      <w:tabs>
        <w:tab w:val="center" w:pos="4153"/>
        <w:tab w:val="right" w:pos="8306"/>
      </w:tabs>
      <w:snapToGrid w:val="0"/>
      <w:jc w:val="left"/>
    </w:pPr>
    <w:rPr>
      <w:sz w:val="18"/>
      <w:szCs w:val="18"/>
    </w:rPr>
  </w:style>
  <w:style w:type="paragraph" w:customStyle="1" w:styleId="139">
    <w:name w:val="正文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0">
    <w:name w:val="正文 New New New New New New New New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1">
    <w:name w:val="正文 New New New New New New New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2">
    <w:name w:val="样式1"/>
    <w:basedOn w:val="5"/>
    <w:autoRedefine/>
    <w:qFormat/>
    <w:uiPriority w:val="0"/>
    <w:pPr>
      <w:tabs>
        <w:tab w:val="right" w:leader="dot" w:pos="9345"/>
      </w:tabs>
    </w:pPr>
    <w:rPr>
      <w:rFonts w:ascii="宋体" w:hAnsi="宋体"/>
      <w:b/>
      <w:caps/>
      <w:u w:val="single"/>
    </w:rPr>
  </w:style>
  <w:style w:type="paragraph" w:customStyle="1" w:styleId="143">
    <w:name w:val="页眉 New New New"/>
    <w:basedOn w:val="67"/>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144">
    <w:name w:val="正文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45">
    <w:name w:val="正文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6">
    <w:name w:val="正文正"/>
    <w:basedOn w:val="1"/>
    <w:autoRedefine/>
    <w:qFormat/>
    <w:uiPriority w:val="0"/>
    <w:pPr>
      <w:spacing w:line="560" w:lineRule="exact"/>
      <w:ind w:firstLine="561"/>
    </w:pPr>
    <w:rPr>
      <w:rFonts w:ascii="Calibri" w:hAnsi="Calibri"/>
      <w:sz w:val="28"/>
      <w:szCs w:val="28"/>
    </w:rPr>
  </w:style>
  <w:style w:type="paragraph" w:customStyle="1" w:styleId="147">
    <w:name w:val="正文 New New New New New New New New New New New New New New New New New New New New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8">
    <w:name w:val="标题 2 New New"/>
    <w:basedOn w:val="117"/>
    <w:next w:val="117"/>
    <w:autoRedefine/>
    <w:qFormat/>
    <w:uiPriority w:val="0"/>
    <w:pPr>
      <w:autoSpaceDE w:val="0"/>
      <w:autoSpaceDN w:val="0"/>
      <w:adjustRightInd w:val="0"/>
      <w:jc w:val="left"/>
      <w:outlineLvl w:val="1"/>
    </w:pPr>
    <w:rPr>
      <w:kern w:val="0"/>
      <w:sz w:val="24"/>
    </w:rPr>
  </w:style>
  <w:style w:type="paragraph" w:customStyle="1" w:styleId="149">
    <w:name w:val="标题 1 New"/>
    <w:basedOn w:val="117"/>
    <w:next w:val="117"/>
    <w:autoRedefine/>
    <w:qFormat/>
    <w:uiPriority w:val="0"/>
    <w:pPr>
      <w:autoSpaceDE w:val="0"/>
      <w:autoSpaceDN w:val="0"/>
      <w:adjustRightInd w:val="0"/>
      <w:jc w:val="left"/>
      <w:outlineLvl w:val="0"/>
    </w:pPr>
    <w:rPr>
      <w:kern w:val="0"/>
      <w:sz w:val="30"/>
    </w:rPr>
  </w:style>
  <w:style w:type="paragraph" w:customStyle="1" w:styleId="150">
    <w:name w:val="WPSOffice手动目录 1"/>
    <w:autoRedefine/>
    <w:qFormat/>
    <w:uiPriority w:val="0"/>
    <w:rPr>
      <w:rFonts w:ascii="Times New Roman" w:hAnsi="Times New Roman" w:eastAsia="宋体" w:cs="Times New Roman"/>
      <w:lang w:val="en-US" w:eastAsia="zh-CN" w:bidi="ar-SA"/>
    </w:rPr>
  </w:style>
  <w:style w:type="paragraph" w:customStyle="1" w:styleId="151">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52">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153">
    <w:name w:val="正文缩进1"/>
    <w:basedOn w:val="1"/>
    <w:autoRedefine/>
    <w:qFormat/>
    <w:uiPriority w:val="0"/>
    <w:pPr>
      <w:widowControl/>
      <w:ind w:firstLine="420"/>
      <w:jc w:val="left"/>
    </w:pPr>
    <w:rPr>
      <w:kern w:val="0"/>
    </w:rPr>
  </w:style>
  <w:style w:type="character" w:styleId="154">
    <w:name w:val="Placeholder Text"/>
    <w:basedOn w:val="33"/>
    <w:semiHidden/>
    <w:qFormat/>
    <w:uiPriority w:val="99"/>
    <w:rPr>
      <w:color w:val="808080"/>
    </w:rPr>
  </w:style>
  <w:style w:type="paragraph" w:customStyle="1" w:styleId="155">
    <w:name w:val="正文文本1"/>
    <w:basedOn w:val="1"/>
    <w:qFormat/>
    <w:uiPriority w:val="0"/>
    <w:pPr>
      <w:spacing w:after="12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1</Company>
  <Pages>76</Pages>
  <Words>18379</Words>
  <Characters>20194</Characters>
  <Lines>292</Lines>
  <Paragraphs>82</Paragraphs>
  <TotalTime>0</TotalTime>
  <ScaleCrop>false</ScaleCrop>
  <LinksUpToDate>false</LinksUpToDate>
  <CharactersWithSpaces>20639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2014-03-11T01:35:00Z</dcterms:created>
  <dc:creator>kingsons</dc:creator>
  <cp:lastModifiedBy>Administrator</cp:lastModifiedBy>
  <cp:lastPrinted>2026-03-13T01:10:00Z</cp:lastPrinted>
  <dcterms:modified xsi:type="dcterms:W3CDTF">2026-05-25T04:53:23Z</dcterms:modified>
  <dc:title>广东省韶关学院第三期学生公寓第一、二组团工程施工</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ribbonExt">
    <vt:lpwstr>{"WPSExtOfficeTab":{"OnGetEnabled":false,"OnGetVisible":false}}</vt:lpwstr>
  </property>
  <property fmtid="{D5CDD505-2E9C-101B-9397-08002B2CF9AE}" pid="4" name="ICV">
    <vt:lpwstr>1B501801416B4B6D8CE7912B6711C930</vt:lpwstr>
  </property>
  <property fmtid="{D5CDD505-2E9C-101B-9397-08002B2CF9AE}" pid="5" name="KSOTemplateDocerSaveRecord">
    <vt:lpwstr>eyJoZGlkIjoiNGViZmFhY2RhMTY0YTg5YTJjZGE4MmU5MWI2Y2MzYTMiLCJ1c2VySWQiOiIxMjE1Mzc4MTYwIn0=</vt:lpwstr>
  </property>
</Properties>
</file>